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6240" w:type="dxa"/>
            <w:vAlign w:val="bottom"/>
            <w:gridSpan w:val="3"/>
          </w:tcPr>
          <w:p>
            <w:pPr>
              <w:jc w:val="center"/>
              <w:ind w:left="727"/>
              <w:spacing w:after="0"/>
              <w:rPr>
                <w:sz w:val="20"/>
                <w:szCs w:val="20"/>
                <w:color w:val="auto"/>
              </w:rPr>
            </w:pPr>
            <w:r>
              <w:rPr>
                <w:rFonts w:ascii="Courier New" w:cs="Courier New" w:eastAsia="Courier New" w:hAnsi="Courier New"/>
                <w:sz w:val="15"/>
                <w:szCs w:val="15"/>
                <w:color w:val="auto"/>
                <w:w w:val="98"/>
              </w:rPr>
              <w:t>SECURITIES AND EXCHANGE COMMISSION</w:t>
            </w:r>
          </w:p>
        </w:tc>
        <w:tc>
          <w:tcPr>
            <w:tcW w:w="720" w:type="dxa"/>
            <w:vAlign w:val="bottom"/>
          </w:tcPr>
          <w:p>
            <w:pPr>
              <w:spacing w:after="0"/>
              <w:rPr>
                <w:sz w:val="14"/>
                <w:szCs w:val="14"/>
                <w:color w:val="auto"/>
              </w:rPr>
            </w:pPr>
          </w:p>
        </w:tc>
      </w:tr>
      <w:tr>
        <w:trPr>
          <w:trHeight w:val="170"/>
        </w:trPr>
        <w:tc>
          <w:tcPr>
            <w:tcW w:w="4840" w:type="dxa"/>
            <w:vAlign w:val="bottom"/>
            <w:gridSpan w:val="2"/>
          </w:tcPr>
          <w:p>
            <w:pPr>
              <w:jc w:val="center"/>
              <w:ind w:left="2107"/>
              <w:spacing w:after="0"/>
              <w:rPr>
                <w:sz w:val="20"/>
                <w:szCs w:val="20"/>
                <w:color w:val="auto"/>
              </w:rPr>
            </w:pPr>
            <w:r>
              <w:rPr>
                <w:rFonts w:ascii="Courier New" w:cs="Courier New" w:eastAsia="Courier New" w:hAnsi="Courier New"/>
                <w:sz w:val="15"/>
                <w:szCs w:val="15"/>
                <w:color w:val="auto"/>
                <w:w w:val="97"/>
              </w:rPr>
              <w:t>WASHINGTON, D.C. 20549</w:t>
            </w:r>
          </w:p>
        </w:tc>
        <w:tc>
          <w:tcPr>
            <w:tcW w:w="1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840" w:type="dxa"/>
            <w:vAlign w:val="bottom"/>
            <w:gridSpan w:val="2"/>
          </w:tcPr>
          <w:p>
            <w:pPr>
              <w:jc w:val="center"/>
              <w:ind w:left="2127"/>
              <w:spacing w:after="0"/>
              <w:rPr>
                <w:sz w:val="20"/>
                <w:szCs w:val="20"/>
                <w:color w:val="auto"/>
              </w:rPr>
            </w:pPr>
            <w:r>
              <w:rPr>
                <w:rFonts w:ascii="Courier New" w:cs="Courier New" w:eastAsia="Courier New" w:hAnsi="Courier New"/>
                <w:sz w:val="15"/>
                <w:szCs w:val="15"/>
                <w:color w:val="auto"/>
                <w:w w:val="98"/>
              </w:rPr>
              <w:t>------------------------</w:t>
            </w:r>
          </w:p>
        </w:tc>
        <w:tc>
          <w:tcPr>
            <w:tcW w:w="1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300" w:type="dxa"/>
            <w:vAlign w:val="bottom"/>
          </w:tcPr>
          <w:p>
            <w:pPr>
              <w:jc w:val="center"/>
              <w:ind w:left="2747"/>
              <w:spacing w:after="0"/>
              <w:rPr>
                <w:sz w:val="20"/>
                <w:szCs w:val="20"/>
                <w:color w:val="auto"/>
              </w:rPr>
            </w:pPr>
            <w:r>
              <w:rPr>
                <w:rFonts w:ascii="Courier New" w:cs="Courier New" w:eastAsia="Courier New" w:hAnsi="Courier New"/>
                <w:sz w:val="15"/>
                <w:szCs w:val="15"/>
                <w:color w:val="auto"/>
                <w:w w:val="98"/>
              </w:rPr>
              <w:t>FORM 10-K</w:t>
            </w:r>
          </w:p>
        </w:tc>
        <w:tc>
          <w:tcPr>
            <w:tcW w:w="5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840" w:type="dxa"/>
            <w:vAlign w:val="bottom"/>
            <w:gridSpan w:val="2"/>
          </w:tcPr>
          <w:p>
            <w:pPr>
              <w:jc w:val="center"/>
              <w:ind w:left="2127"/>
              <w:spacing w:after="0"/>
              <w:rPr>
                <w:sz w:val="20"/>
                <w:szCs w:val="20"/>
                <w:color w:val="auto"/>
              </w:rPr>
            </w:pPr>
            <w:r>
              <w:rPr>
                <w:rFonts w:ascii="Courier New" w:cs="Courier New" w:eastAsia="Courier New" w:hAnsi="Courier New"/>
                <w:sz w:val="15"/>
                <w:szCs w:val="15"/>
                <w:color w:val="auto"/>
                <w:w w:val="98"/>
              </w:rPr>
              <w:t>------------------------</w:t>
            </w:r>
          </w:p>
        </w:tc>
        <w:tc>
          <w:tcPr>
            <w:tcW w:w="1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300" w:type="dxa"/>
            <w:vAlign w:val="bottom"/>
          </w:tcPr>
          <w:p>
            <w:pPr>
              <w:jc w:val="center"/>
              <w:ind w:left="2747"/>
              <w:spacing w:after="0"/>
              <w:rPr>
                <w:sz w:val="20"/>
                <w:szCs w:val="20"/>
                <w:color w:val="auto"/>
              </w:rPr>
            </w:pPr>
            <w:r>
              <w:rPr>
                <w:rFonts w:ascii="Courier New" w:cs="Courier New" w:eastAsia="Courier New" w:hAnsi="Courier New"/>
                <w:sz w:val="15"/>
                <w:szCs w:val="15"/>
                <w:color w:val="auto"/>
                <w:w w:val="99"/>
              </w:rPr>
              <w:t>ANNUAL REPORT</w:t>
            </w:r>
          </w:p>
        </w:tc>
        <w:tc>
          <w:tcPr>
            <w:tcW w:w="5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PURSUANT TO SECTION 13 OR 15(D) OF</w:t>
            </w:r>
          </w:p>
        </w:tc>
        <w:tc>
          <w:tcPr>
            <w:tcW w:w="1400" w:type="dxa"/>
            <w:vAlign w:val="bottom"/>
          </w:tcPr>
          <w:p>
            <w:pPr>
              <w:ind w:left="80"/>
              <w:spacing w:after="0"/>
              <w:rPr>
                <w:sz w:val="20"/>
                <w:szCs w:val="20"/>
                <w:color w:val="auto"/>
              </w:rPr>
            </w:pPr>
            <w:r>
              <w:rPr>
                <w:rFonts w:ascii="Courier New" w:cs="Courier New" w:eastAsia="Courier New" w:hAnsi="Courier New"/>
                <w:sz w:val="15"/>
                <w:szCs w:val="15"/>
                <w:color w:val="auto"/>
              </w:rPr>
              <w:t>THE</w:t>
            </w:r>
          </w:p>
        </w:tc>
        <w:tc>
          <w:tcPr>
            <w:tcW w:w="720" w:type="dxa"/>
            <w:vAlign w:val="bottom"/>
          </w:tcPr>
          <w:p>
            <w:pPr>
              <w:spacing w:after="0"/>
              <w:rPr>
                <w:sz w:val="14"/>
                <w:szCs w:val="14"/>
                <w:color w:val="auto"/>
              </w:rPr>
            </w:pPr>
          </w:p>
        </w:tc>
      </w:tr>
      <w:tr>
        <w:trPr>
          <w:trHeight w:val="170"/>
        </w:trPr>
        <w:tc>
          <w:tcPr>
            <w:tcW w:w="6240" w:type="dxa"/>
            <w:vAlign w:val="bottom"/>
            <w:gridSpan w:val="3"/>
          </w:tcPr>
          <w:p>
            <w:pPr>
              <w:jc w:val="center"/>
              <w:ind w:left="807"/>
              <w:spacing w:after="0"/>
              <w:rPr>
                <w:sz w:val="20"/>
                <w:szCs w:val="20"/>
                <w:color w:val="auto"/>
              </w:rPr>
            </w:pPr>
            <w:r>
              <w:rPr>
                <w:rFonts w:ascii="Courier New" w:cs="Courier New" w:eastAsia="Courier New" w:hAnsi="Courier New"/>
                <w:sz w:val="15"/>
                <w:szCs w:val="15"/>
                <w:color w:val="auto"/>
                <w:w w:val="97"/>
              </w:rPr>
              <w:t>SECURITIES EXCHANGE ACT OF 1934</w:t>
            </w:r>
          </w:p>
        </w:tc>
        <w:tc>
          <w:tcPr>
            <w:tcW w:w="720" w:type="dxa"/>
            <w:vAlign w:val="bottom"/>
          </w:tcPr>
          <w:p>
            <w:pPr>
              <w:spacing w:after="0"/>
              <w:rPr>
                <w:sz w:val="14"/>
                <w:szCs w:val="14"/>
                <w:color w:val="auto"/>
              </w:rPr>
            </w:pPr>
          </w:p>
        </w:tc>
      </w:tr>
      <w:tr>
        <w:trPr>
          <w:trHeight w:val="170"/>
        </w:trPr>
        <w:tc>
          <w:tcPr>
            <w:tcW w:w="62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FOR THE FISCAL YEAR ENDED DECEMBER 31, 1995 COMMISSION FILE NUMBER</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1-9553</w:t>
            </w:r>
          </w:p>
        </w:tc>
      </w:tr>
      <w:tr>
        <w:trPr>
          <w:trHeight w:val="170"/>
        </w:trPr>
        <w:tc>
          <w:tcPr>
            <w:tcW w:w="4840" w:type="dxa"/>
            <w:vAlign w:val="bottom"/>
            <w:gridSpan w:val="2"/>
          </w:tcPr>
          <w:p>
            <w:pPr>
              <w:jc w:val="center"/>
              <w:ind w:left="2127"/>
              <w:spacing w:after="0"/>
              <w:rPr>
                <w:sz w:val="20"/>
                <w:szCs w:val="20"/>
                <w:color w:val="auto"/>
              </w:rPr>
            </w:pPr>
            <w:r>
              <w:rPr>
                <w:rFonts w:ascii="Courier New" w:cs="Courier New" w:eastAsia="Courier New" w:hAnsi="Courier New"/>
                <w:sz w:val="15"/>
                <w:szCs w:val="15"/>
                <w:color w:val="auto"/>
                <w:w w:val="98"/>
              </w:rPr>
              <w:t>------------------------</w:t>
            </w:r>
          </w:p>
        </w:tc>
        <w:tc>
          <w:tcPr>
            <w:tcW w:w="1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9"/>
        </w:trPr>
        <w:tc>
          <w:tcPr>
            <w:tcW w:w="4300" w:type="dxa"/>
            <w:vAlign w:val="bottom"/>
          </w:tcPr>
          <w:p>
            <w:pPr>
              <w:jc w:val="center"/>
              <w:ind w:left="2747"/>
              <w:spacing w:after="0"/>
              <w:rPr>
                <w:sz w:val="20"/>
                <w:szCs w:val="20"/>
                <w:color w:val="auto"/>
              </w:rPr>
            </w:pPr>
            <w:r>
              <w:rPr>
                <w:rFonts w:ascii="Courier New" w:cs="Courier New" w:eastAsia="Courier New" w:hAnsi="Courier New"/>
                <w:sz w:val="15"/>
                <w:szCs w:val="15"/>
                <w:color w:val="auto"/>
                <w:w w:val="96"/>
              </w:rPr>
              <w:t>VIACOM INC.</w:t>
            </w: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0"/>
        </w:trPr>
        <w:tc>
          <w:tcPr>
            <w:tcW w:w="6240" w:type="dxa"/>
            <w:vAlign w:val="bottom"/>
            <w:gridSpan w:val="3"/>
          </w:tcPr>
          <w:p>
            <w:pPr>
              <w:jc w:val="center"/>
              <w:ind w:left="727"/>
              <w:spacing w:after="0"/>
              <w:rPr>
                <w:sz w:val="20"/>
                <w:szCs w:val="20"/>
                <w:color w:val="auto"/>
              </w:rPr>
            </w:pPr>
            <w:r>
              <w:rPr>
                <w:rFonts w:ascii="Courier New" w:cs="Courier New" w:eastAsia="Courier New" w:hAnsi="Courier New"/>
                <w:sz w:val="15"/>
                <w:szCs w:val="15"/>
                <w:color w:val="auto"/>
                <w:w w:val="97"/>
              </w:rPr>
              <w:t>(Exact Name Of Registrant As Specified In Its Charter)</w:t>
            </w:r>
          </w:p>
        </w:tc>
        <w:tc>
          <w:tcPr>
            <w:tcW w:w="720" w:type="dxa"/>
            <w:vAlign w:val="bottom"/>
          </w:tcPr>
          <w:p>
            <w:pPr>
              <w:spacing w:after="0"/>
              <w:rPr>
                <w:sz w:val="14"/>
                <w:szCs w:val="14"/>
                <w:color w:val="auto"/>
              </w:rPr>
            </w:pPr>
          </w:p>
        </w:tc>
      </w:tr>
      <w:tr>
        <w:trPr>
          <w:trHeight w:val="170"/>
        </w:trPr>
        <w:tc>
          <w:tcPr>
            <w:tcW w:w="4840" w:type="dxa"/>
            <w:vAlign w:val="bottom"/>
            <w:gridSpan w:val="2"/>
          </w:tcPr>
          <w:p>
            <w:pPr>
              <w:jc w:val="center"/>
              <w:ind w:left="2127"/>
              <w:spacing w:after="0"/>
              <w:rPr>
                <w:sz w:val="20"/>
                <w:szCs w:val="20"/>
                <w:color w:val="auto"/>
              </w:rPr>
            </w:pPr>
            <w:r>
              <w:rPr>
                <w:rFonts w:ascii="Courier New" w:cs="Courier New" w:eastAsia="Courier New" w:hAnsi="Courier New"/>
                <w:sz w:val="15"/>
                <w:szCs w:val="15"/>
                <w:color w:val="auto"/>
                <w:w w:val="98"/>
              </w:rPr>
              <w:t>------------------------</w:t>
            </w:r>
          </w:p>
        </w:tc>
        <w:tc>
          <w:tcPr>
            <w:tcW w:w="1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9"/>
        </w:trPr>
        <w:tc>
          <w:tcPr>
            <w:tcW w:w="4300" w:type="dxa"/>
            <w:vAlign w:val="bottom"/>
          </w:tcPr>
          <w:p>
            <w:pPr>
              <w:ind w:left="1920"/>
              <w:spacing w:after="0"/>
              <w:rPr>
                <w:sz w:val="20"/>
                <w:szCs w:val="20"/>
                <w:color w:val="auto"/>
              </w:rPr>
            </w:pPr>
            <w:r>
              <w:rPr>
                <w:rFonts w:ascii="Courier New" w:cs="Courier New" w:eastAsia="Courier New" w:hAnsi="Courier New"/>
                <w:sz w:val="15"/>
                <w:szCs w:val="15"/>
                <w:color w:val="auto"/>
              </w:rPr>
              <w:t>Delaware</w:t>
            </w:r>
          </w:p>
        </w:tc>
        <w:tc>
          <w:tcPr>
            <w:tcW w:w="540" w:type="dxa"/>
            <w:vAlign w:val="bottom"/>
          </w:tcPr>
          <w:p>
            <w:pPr>
              <w:spacing w:after="0"/>
              <w:rPr>
                <w:sz w:val="24"/>
                <w:szCs w:val="24"/>
                <w:color w:val="auto"/>
              </w:rPr>
            </w:pP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5"/>
              </w:rPr>
              <w:t>04-2949533</w:t>
            </w:r>
          </w:p>
        </w:tc>
        <w:tc>
          <w:tcPr>
            <w:tcW w:w="720" w:type="dxa"/>
            <w:vAlign w:val="bottom"/>
          </w:tcPr>
          <w:p>
            <w:pPr>
              <w:spacing w:after="0"/>
              <w:rPr>
                <w:sz w:val="24"/>
                <w:szCs w:val="24"/>
                <w:color w:val="auto"/>
              </w:rPr>
            </w:pPr>
          </w:p>
        </w:tc>
      </w:tr>
      <w:tr>
        <w:trPr>
          <w:trHeight w:val="170"/>
        </w:trPr>
        <w:tc>
          <w:tcPr>
            <w:tcW w:w="4300" w:type="dxa"/>
            <w:vAlign w:val="bottom"/>
          </w:tcPr>
          <w:p>
            <w:pPr>
              <w:ind w:left="880"/>
              <w:spacing w:after="0"/>
              <w:rPr>
                <w:sz w:val="20"/>
                <w:szCs w:val="20"/>
                <w:color w:val="auto"/>
              </w:rPr>
            </w:pPr>
            <w:r>
              <w:rPr>
                <w:rFonts w:ascii="Courier New" w:cs="Courier New" w:eastAsia="Courier New" w:hAnsi="Courier New"/>
                <w:sz w:val="15"/>
                <w:szCs w:val="15"/>
                <w:color w:val="auto"/>
              </w:rPr>
              <w:t>(State or Other Jurisdiction of</w:t>
            </w:r>
          </w:p>
        </w:tc>
        <w:tc>
          <w:tcPr>
            <w:tcW w:w="19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(I.R.S. Employer</w:t>
            </w:r>
          </w:p>
        </w:tc>
        <w:tc>
          <w:tcPr>
            <w:tcW w:w="720" w:type="dxa"/>
            <w:vAlign w:val="bottom"/>
          </w:tcPr>
          <w:p>
            <w:pPr>
              <w:spacing w:after="0"/>
              <w:rPr>
                <w:sz w:val="14"/>
                <w:szCs w:val="14"/>
                <w:color w:val="auto"/>
              </w:rPr>
            </w:pPr>
          </w:p>
        </w:tc>
      </w:tr>
      <w:tr>
        <w:trPr>
          <w:trHeight w:val="170"/>
        </w:trPr>
        <w:tc>
          <w:tcPr>
            <w:tcW w:w="4300" w:type="dxa"/>
            <w:vAlign w:val="bottom"/>
          </w:tcPr>
          <w:p>
            <w:pPr>
              <w:ind w:left="880"/>
              <w:spacing w:after="0"/>
              <w:rPr>
                <w:sz w:val="20"/>
                <w:szCs w:val="20"/>
                <w:color w:val="auto"/>
              </w:rPr>
            </w:pPr>
            <w:r>
              <w:rPr>
                <w:rFonts w:ascii="Courier New" w:cs="Courier New" w:eastAsia="Courier New" w:hAnsi="Courier New"/>
                <w:sz w:val="15"/>
                <w:szCs w:val="15"/>
                <w:color w:val="auto"/>
              </w:rPr>
              <w:t>Incorporation Or Organization)</w:t>
            </w:r>
          </w:p>
        </w:tc>
        <w:tc>
          <w:tcPr>
            <w:tcW w:w="19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Identification No.)</w:t>
            </w:r>
          </w:p>
        </w:tc>
        <w:tc>
          <w:tcPr>
            <w:tcW w:w="720" w:type="dxa"/>
            <w:vAlign w:val="bottom"/>
          </w:tcPr>
          <w:p>
            <w:pPr>
              <w:spacing w:after="0"/>
              <w:rPr>
                <w:sz w:val="14"/>
                <w:szCs w:val="14"/>
                <w:color w:val="auto"/>
              </w:rPr>
            </w:pPr>
          </w:p>
        </w:tc>
      </w:tr>
      <w:tr>
        <w:trPr>
          <w:trHeight w:val="339"/>
        </w:trPr>
        <w:tc>
          <w:tcPr>
            <w:tcW w:w="6240" w:type="dxa"/>
            <w:vAlign w:val="bottom"/>
            <w:gridSpan w:val="3"/>
          </w:tcPr>
          <w:p>
            <w:pPr>
              <w:jc w:val="center"/>
              <w:ind w:left="807"/>
              <w:spacing w:after="0"/>
              <w:rPr>
                <w:sz w:val="20"/>
                <w:szCs w:val="20"/>
                <w:color w:val="auto"/>
              </w:rPr>
            </w:pPr>
            <w:r>
              <w:rPr>
                <w:rFonts w:ascii="Courier New" w:cs="Courier New" w:eastAsia="Courier New" w:hAnsi="Courier New"/>
                <w:sz w:val="15"/>
                <w:szCs w:val="15"/>
                <w:color w:val="auto"/>
                <w:w w:val="98"/>
              </w:rPr>
              <w:t>1515 Broadway, New York, NY 10036</w:t>
            </w:r>
          </w:p>
        </w:tc>
        <w:tc>
          <w:tcPr>
            <w:tcW w:w="720" w:type="dxa"/>
            <w:vAlign w:val="bottom"/>
          </w:tcPr>
          <w:p>
            <w:pPr>
              <w:spacing w:after="0"/>
              <w:rPr>
                <w:sz w:val="24"/>
                <w:szCs w:val="24"/>
                <w:color w:val="auto"/>
              </w:rPr>
            </w:pPr>
          </w:p>
        </w:tc>
      </w:tr>
      <w:tr>
        <w:trPr>
          <w:trHeight w:val="170"/>
        </w:trPr>
        <w:tc>
          <w:tcPr>
            <w:tcW w:w="4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(Address of Principal Executive Offices)</w:t>
            </w:r>
          </w:p>
        </w:tc>
        <w:tc>
          <w:tcPr>
            <w:tcW w:w="1400" w:type="dxa"/>
            <w:vAlign w:val="bottom"/>
          </w:tcPr>
          <w:p>
            <w:pPr>
              <w:ind w:left="80"/>
              <w:spacing w:after="0"/>
              <w:rPr>
                <w:sz w:val="20"/>
                <w:szCs w:val="20"/>
                <w:color w:val="auto"/>
              </w:rPr>
            </w:pPr>
            <w:r>
              <w:rPr>
                <w:rFonts w:ascii="Courier New" w:cs="Courier New" w:eastAsia="Courier New" w:hAnsi="Courier New"/>
                <w:sz w:val="15"/>
                <w:szCs w:val="15"/>
                <w:color w:val="auto"/>
              </w:rPr>
              <w:t>(Zip Code)</w:t>
            </w:r>
          </w:p>
        </w:tc>
        <w:tc>
          <w:tcPr>
            <w:tcW w:w="720" w:type="dxa"/>
            <w:vAlign w:val="bottom"/>
          </w:tcPr>
          <w:p>
            <w:pPr>
              <w:spacing w:after="0"/>
              <w:rPr>
                <w:sz w:val="14"/>
                <w:szCs w:val="14"/>
                <w:color w:val="auto"/>
              </w:rPr>
            </w:pPr>
          </w:p>
        </w:tc>
      </w:tr>
      <w:tr>
        <w:trPr>
          <w:trHeight w:val="339"/>
        </w:trPr>
        <w:tc>
          <w:tcPr>
            <w:tcW w:w="6960" w:type="dxa"/>
            <w:vAlign w:val="bottom"/>
            <w:gridSpan w:val="4"/>
          </w:tcPr>
          <w:p>
            <w:pPr>
              <w:jc w:val="center"/>
              <w:ind w:left="87"/>
              <w:spacing w:after="0"/>
              <w:rPr>
                <w:sz w:val="20"/>
                <w:szCs w:val="20"/>
                <w:color w:val="auto"/>
              </w:rPr>
            </w:pPr>
            <w:r>
              <w:rPr>
                <w:rFonts w:ascii="Courier New" w:cs="Courier New" w:eastAsia="Courier New" w:hAnsi="Courier New"/>
                <w:sz w:val="15"/>
                <w:szCs w:val="15"/>
                <w:color w:val="auto"/>
                <w:w w:val="97"/>
              </w:rPr>
              <w:t>Registrant's telephone number, including area code (212) 258-6000</w:t>
            </w:r>
          </w:p>
        </w:tc>
      </w:tr>
      <w:tr>
        <w:trPr>
          <w:trHeight w:val="170"/>
        </w:trPr>
        <w:tc>
          <w:tcPr>
            <w:tcW w:w="4840" w:type="dxa"/>
            <w:vAlign w:val="bottom"/>
            <w:gridSpan w:val="2"/>
          </w:tcPr>
          <w:p>
            <w:pPr>
              <w:jc w:val="center"/>
              <w:ind w:left="2127"/>
              <w:spacing w:after="0"/>
              <w:rPr>
                <w:sz w:val="20"/>
                <w:szCs w:val="20"/>
                <w:color w:val="auto"/>
              </w:rPr>
            </w:pPr>
            <w:r>
              <w:rPr>
                <w:rFonts w:ascii="Courier New" w:cs="Courier New" w:eastAsia="Courier New" w:hAnsi="Courier New"/>
                <w:sz w:val="15"/>
                <w:szCs w:val="15"/>
                <w:color w:val="auto"/>
                <w:w w:val="98"/>
              </w:rPr>
              <w:t>------------------------</w:t>
            </w:r>
          </w:p>
        </w:tc>
        <w:tc>
          <w:tcPr>
            <w:tcW w:w="1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62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Securities Registered Pursuant to Section 12(B) of the Act:</w:t>
            </w:r>
          </w:p>
        </w:tc>
        <w:tc>
          <w:tcPr>
            <w:tcW w:w="720" w:type="dxa"/>
            <w:vAlign w:val="bottom"/>
          </w:tcPr>
          <w:p>
            <w:pPr>
              <w:spacing w:after="0"/>
              <w:rPr>
                <w:sz w:val="14"/>
                <w:szCs w:val="14"/>
                <w:color w:val="auto"/>
              </w:rPr>
            </w:pPr>
          </w:p>
        </w:tc>
      </w:tr>
      <w:tr>
        <w:trPr>
          <w:trHeight w:val="339"/>
        </w:trPr>
        <w:tc>
          <w:tcPr>
            <w:tcW w:w="6240" w:type="dxa"/>
            <w:vAlign w:val="bottom"/>
            <w:gridSpan w:val="3"/>
          </w:tcPr>
          <w:p>
            <w:pPr>
              <w:jc w:val="center"/>
              <w:ind w:left="807"/>
              <w:spacing w:after="0"/>
              <w:rPr>
                <w:sz w:val="20"/>
                <w:szCs w:val="20"/>
                <w:color w:val="auto"/>
              </w:rPr>
            </w:pPr>
            <w:r>
              <w:rPr>
                <w:rFonts w:ascii="Courier New" w:cs="Courier New" w:eastAsia="Courier New" w:hAnsi="Courier New"/>
                <w:sz w:val="15"/>
                <w:szCs w:val="15"/>
                <w:color w:val="auto"/>
                <w:w w:val="97"/>
              </w:rPr>
              <w:t>Title of Each Class Name of Each Exchange on Which Registered</w:t>
            </w:r>
          </w:p>
        </w:tc>
        <w:tc>
          <w:tcPr>
            <w:tcW w:w="720" w:type="dxa"/>
            <w:vAlign w:val="bottom"/>
          </w:tcPr>
          <w:p>
            <w:pPr>
              <w:spacing w:after="0"/>
              <w:rPr>
                <w:sz w:val="24"/>
                <w:szCs w:val="24"/>
                <w:color w:val="auto"/>
              </w:rPr>
            </w:pPr>
          </w:p>
        </w:tc>
      </w:tr>
      <w:tr>
        <w:trPr>
          <w:trHeight w:val="170"/>
        </w:trPr>
        <w:tc>
          <w:tcPr>
            <w:tcW w:w="6960" w:type="dxa"/>
            <w:vAlign w:val="bottom"/>
            <w:gridSpan w:val="4"/>
          </w:tcPr>
          <w:p>
            <w:pPr>
              <w:jc w:val="center"/>
              <w:ind w:left="8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Class A Common Stock, $0.01 par value</w:t>
            </w:r>
          </w:p>
        </w:tc>
        <w:tc>
          <w:tcPr>
            <w:tcW w:w="540" w:type="dxa"/>
            <w:vAlign w:val="bottom"/>
          </w:tcPr>
          <w:p>
            <w:pPr>
              <w:spacing w:after="0"/>
              <w:rPr>
                <w:sz w:val="14"/>
                <w:szCs w:val="14"/>
                <w:color w:val="auto"/>
              </w:rPr>
            </w:pP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American Stock</w:t>
            </w:r>
          </w:p>
        </w:tc>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Exchange</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Class B Common Stock, $0.01 par value</w:t>
            </w:r>
          </w:p>
        </w:tc>
        <w:tc>
          <w:tcPr>
            <w:tcW w:w="540" w:type="dxa"/>
            <w:vAlign w:val="bottom"/>
          </w:tcPr>
          <w:p>
            <w:pPr>
              <w:spacing w:after="0"/>
              <w:rPr>
                <w:sz w:val="14"/>
                <w:szCs w:val="14"/>
                <w:color w:val="auto"/>
              </w:rPr>
            </w:pP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American Stock</w:t>
            </w:r>
          </w:p>
        </w:tc>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Exchange</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Warrants Expiring on July 7, 1997</w:t>
            </w:r>
          </w:p>
        </w:tc>
        <w:tc>
          <w:tcPr>
            <w:tcW w:w="540" w:type="dxa"/>
            <w:vAlign w:val="bottom"/>
          </w:tcPr>
          <w:p>
            <w:pPr>
              <w:spacing w:after="0"/>
              <w:rPr>
                <w:sz w:val="14"/>
                <w:szCs w:val="14"/>
                <w:color w:val="auto"/>
              </w:rPr>
            </w:pP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American Stock</w:t>
            </w:r>
          </w:p>
        </w:tc>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Exchange</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Warrants Expiring on July 7, 1999</w:t>
            </w:r>
          </w:p>
        </w:tc>
        <w:tc>
          <w:tcPr>
            <w:tcW w:w="540" w:type="dxa"/>
            <w:vAlign w:val="bottom"/>
          </w:tcPr>
          <w:p>
            <w:pPr>
              <w:spacing w:after="0"/>
              <w:rPr>
                <w:sz w:val="14"/>
                <w:szCs w:val="14"/>
                <w:color w:val="auto"/>
              </w:rPr>
            </w:pP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American Stock</w:t>
            </w:r>
          </w:p>
        </w:tc>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Exchange</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6.625% Senior Notes due 1998</w:t>
            </w:r>
          </w:p>
        </w:tc>
        <w:tc>
          <w:tcPr>
            <w:tcW w:w="540" w:type="dxa"/>
            <w:vAlign w:val="bottom"/>
          </w:tcPr>
          <w:p>
            <w:pPr>
              <w:spacing w:after="0"/>
              <w:rPr>
                <w:sz w:val="14"/>
                <w:szCs w:val="14"/>
                <w:color w:val="auto"/>
              </w:rPr>
            </w:pP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New York Stock</w:t>
            </w:r>
          </w:p>
        </w:tc>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Exchange</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6.75% Senior Notes due 2003</w:t>
            </w:r>
          </w:p>
        </w:tc>
        <w:tc>
          <w:tcPr>
            <w:tcW w:w="540" w:type="dxa"/>
            <w:vAlign w:val="bottom"/>
          </w:tcPr>
          <w:p>
            <w:pPr>
              <w:spacing w:after="0"/>
              <w:rPr>
                <w:sz w:val="14"/>
                <w:szCs w:val="14"/>
                <w:color w:val="auto"/>
              </w:rPr>
            </w:pP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American Stock</w:t>
            </w:r>
          </w:p>
        </w:tc>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Exchange</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7.75% Senior Notes due 2005</w:t>
            </w:r>
          </w:p>
        </w:tc>
        <w:tc>
          <w:tcPr>
            <w:tcW w:w="540" w:type="dxa"/>
            <w:vAlign w:val="bottom"/>
          </w:tcPr>
          <w:p>
            <w:pPr>
              <w:spacing w:after="0"/>
              <w:rPr>
                <w:sz w:val="14"/>
                <w:szCs w:val="14"/>
                <w:color w:val="auto"/>
              </w:rPr>
            </w:pP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American Stock</w:t>
            </w:r>
          </w:p>
        </w:tc>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Exchange</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w w:val="99"/>
              </w:rPr>
              <w:t>8% Exchangeable Subordinated Debentures due 2006</w:t>
            </w:r>
          </w:p>
        </w:tc>
        <w:tc>
          <w:tcPr>
            <w:tcW w:w="540" w:type="dxa"/>
            <w:vAlign w:val="bottom"/>
          </w:tcPr>
          <w:p>
            <w:pPr>
              <w:spacing w:after="0"/>
              <w:rPr>
                <w:sz w:val="14"/>
                <w:szCs w:val="14"/>
                <w:color w:val="auto"/>
              </w:rPr>
            </w:pP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American Stock</w:t>
            </w:r>
          </w:p>
        </w:tc>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Exchange</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7.625% Senior Debentures due 2016</w:t>
            </w:r>
          </w:p>
        </w:tc>
        <w:tc>
          <w:tcPr>
            <w:tcW w:w="540" w:type="dxa"/>
            <w:vAlign w:val="bottom"/>
          </w:tcPr>
          <w:p>
            <w:pPr>
              <w:spacing w:after="0"/>
              <w:rPr>
                <w:sz w:val="14"/>
                <w:szCs w:val="14"/>
                <w:color w:val="auto"/>
              </w:rPr>
            </w:pP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American Stock</w:t>
            </w:r>
          </w:p>
        </w:tc>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Exchange</w:t>
            </w:r>
          </w:p>
        </w:tc>
      </w:tr>
    </w:tbl>
    <w:p>
      <w:pPr>
        <w:spacing w:after="0" w:line="169"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jc w:val="center"/>
        <w:ind w:right="3179"/>
        <w:spacing w:after="0"/>
        <w:rPr>
          <w:sz w:val="20"/>
          <w:szCs w:val="20"/>
          <w:color w:val="auto"/>
        </w:rPr>
      </w:pPr>
      <w:r>
        <w:rPr>
          <w:rFonts w:ascii="Courier New" w:cs="Courier New" w:eastAsia="Courier New" w:hAnsi="Courier New"/>
          <w:sz w:val="15"/>
          <w:szCs w:val="15"/>
          <w:color w:val="auto"/>
        </w:rPr>
        <w:t>None</w:t>
      </w:r>
    </w:p>
    <w:p>
      <w:pPr>
        <w:jc w:val="center"/>
        <w:ind w:right="3179"/>
        <w:spacing w:after="0"/>
        <w:rPr>
          <w:sz w:val="20"/>
          <w:szCs w:val="20"/>
          <w:color w:val="auto"/>
        </w:rPr>
      </w:pPr>
      <w:r>
        <w:rPr>
          <w:rFonts w:ascii="Courier New" w:cs="Courier New" w:eastAsia="Courier New" w:hAnsi="Courier New"/>
          <w:sz w:val="15"/>
          <w:szCs w:val="15"/>
          <w:color w:val="auto"/>
        </w:rPr>
        <w:t>(Title Of Class)</w:t>
      </w:r>
    </w:p>
    <w:p>
      <w:pPr>
        <w:spacing w:after="0" w:line="174" w:lineRule="exact"/>
        <w:rPr>
          <w:sz w:val="24"/>
          <w:szCs w:val="24"/>
          <w:color w:val="auto"/>
        </w:rPr>
      </w:pPr>
    </w:p>
    <w:p>
      <w:pPr>
        <w:ind w:right="3359" w:firstLine="705"/>
        <w:spacing w:after="0" w:line="237" w:lineRule="auto"/>
        <w:rPr>
          <w:sz w:val="20"/>
          <w:szCs w:val="20"/>
          <w:color w:val="auto"/>
        </w:rPr>
      </w:pPr>
      <w:r>
        <w:rPr>
          <w:rFonts w:ascii="Courier New" w:cs="Courier New" w:eastAsia="Courier New" w:hAnsi="Courier New"/>
          <w:sz w:val="15"/>
          <w:szCs w:val="15"/>
          <w:color w:val="auto"/>
        </w:rPr>
        <w:t>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178" w:lineRule="exact"/>
        <w:rPr>
          <w:sz w:val="24"/>
          <w:szCs w:val="24"/>
          <w:color w:val="auto"/>
        </w:rPr>
      </w:pPr>
    </w:p>
    <w:p>
      <w:pPr>
        <w:ind w:right="3359" w:firstLine="705"/>
        <w:spacing w:after="0" w:line="237"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73"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As of March 22, 1996, 75,099,274 shares of Viacom Inc. Class A Common</w:t>
      </w:r>
    </w:p>
    <w:p>
      <w:pPr>
        <w:spacing w:after="0"/>
        <w:rPr>
          <w:sz w:val="20"/>
          <w:szCs w:val="20"/>
          <w:color w:val="auto"/>
        </w:rPr>
      </w:pPr>
      <w:r>
        <w:rPr>
          <w:rFonts w:ascii="Courier New" w:cs="Courier New" w:eastAsia="Courier New" w:hAnsi="Courier New"/>
          <w:sz w:val="15"/>
          <w:szCs w:val="15"/>
          <w:color w:val="auto"/>
        </w:rPr>
        <w:t>Stock, $0.01 par value ("Class A Common Stock"), and 294,853,114 shares of</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Viacom Inc. Class B Common Stock, $0.01 par value ("Class B Common Stock"), were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outstanding. The aggregate market value of the shares of Class A Common Stock</w:t>
      </w:r>
    </w:p>
    <w:p>
      <w:pPr>
        <w:spacing w:after="0"/>
        <w:rPr>
          <w:sz w:val="20"/>
          <w:szCs w:val="20"/>
          <w:color w:val="auto"/>
        </w:rPr>
      </w:pPr>
      <w:r>
        <w:rPr>
          <w:rFonts w:ascii="Courier New" w:cs="Courier New" w:eastAsia="Courier New" w:hAnsi="Courier New"/>
          <w:sz w:val="15"/>
          <w:szCs w:val="15"/>
          <w:color w:val="auto"/>
        </w:rPr>
        <w:t>(based upon the closing price of $40.875 per share as reported by the American</w:t>
      </w:r>
    </w:p>
    <w:p>
      <w:pPr>
        <w:spacing w:after="0"/>
        <w:rPr>
          <w:sz w:val="20"/>
          <w:szCs w:val="20"/>
          <w:color w:val="auto"/>
        </w:rPr>
      </w:pPr>
      <w:r>
        <w:rPr>
          <w:rFonts w:ascii="Courier New" w:cs="Courier New" w:eastAsia="Courier New" w:hAnsi="Courier New"/>
          <w:sz w:val="15"/>
          <w:szCs w:val="15"/>
          <w:color w:val="auto"/>
        </w:rPr>
        <w:t>Stock Exchange on that date) held by non-affiliates was approximately</w:t>
      </w:r>
    </w:p>
    <w:p>
      <w:pPr>
        <w:spacing w:after="0" w:line="238" w:lineRule="auto"/>
        <w:rPr>
          <w:sz w:val="20"/>
          <w:szCs w:val="20"/>
          <w:color w:val="auto"/>
        </w:rPr>
      </w:pPr>
      <w:r>
        <w:rPr>
          <w:rFonts w:ascii="Courier New" w:cs="Courier New" w:eastAsia="Courier New" w:hAnsi="Courier New"/>
          <w:sz w:val="15"/>
          <w:szCs w:val="15"/>
          <w:color w:val="auto"/>
        </w:rPr>
        <w:t>$1,207,943,150 and the aggregate market value of the shares of the Class B</w:t>
      </w:r>
    </w:p>
    <w:p>
      <w:pPr>
        <w:spacing w:after="0"/>
        <w:rPr>
          <w:sz w:val="20"/>
          <w:szCs w:val="20"/>
          <w:color w:val="auto"/>
        </w:rPr>
      </w:pPr>
      <w:r>
        <w:rPr>
          <w:rFonts w:ascii="Courier New" w:cs="Courier New" w:eastAsia="Courier New" w:hAnsi="Courier New"/>
          <w:sz w:val="15"/>
          <w:szCs w:val="15"/>
          <w:color w:val="auto"/>
        </w:rPr>
        <w:t>Common Stock (based upon the closing price of $41.75 per share as reported by</w:t>
      </w:r>
    </w:p>
    <w:p>
      <w:pPr>
        <w:spacing w:after="0"/>
        <w:rPr>
          <w:sz w:val="20"/>
          <w:szCs w:val="20"/>
          <w:color w:val="auto"/>
        </w:rPr>
      </w:pPr>
      <w:r>
        <w:rPr>
          <w:rFonts w:ascii="Courier New" w:cs="Courier New" w:eastAsia="Courier New" w:hAnsi="Courier New"/>
          <w:sz w:val="15"/>
          <w:szCs w:val="15"/>
          <w:color w:val="auto"/>
        </w:rPr>
        <w:t>the American Stock Exchange on that date) held by non-affiliates was</w:t>
      </w:r>
    </w:p>
    <w:p>
      <w:pPr>
        <w:spacing w:after="0" w:line="238" w:lineRule="auto"/>
        <w:rPr>
          <w:sz w:val="20"/>
          <w:szCs w:val="20"/>
          <w:color w:val="auto"/>
        </w:rPr>
      </w:pPr>
      <w:r>
        <w:rPr>
          <w:rFonts w:ascii="Courier New" w:cs="Courier New" w:eastAsia="Courier New" w:hAnsi="Courier New"/>
          <w:sz w:val="15"/>
          <w:szCs w:val="15"/>
          <w:color w:val="auto"/>
        </w:rPr>
        <w:t>approximately $10,366,032,214.</w:t>
      </w:r>
    </w:p>
    <w:p>
      <w:pPr>
        <w:spacing w:after="0" w:line="339"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5" w:lineRule="exact"/>
        <w:rPr>
          <w:sz w:val="24"/>
          <w:szCs w:val="24"/>
          <w:color w:val="auto"/>
        </w:rPr>
      </w:pPr>
    </w:p>
    <w:p>
      <w:pPr>
        <w:ind w:right="3439" w:firstLine="705"/>
        <w:spacing w:after="0" w:line="235" w:lineRule="auto"/>
        <w:rPr>
          <w:sz w:val="20"/>
          <w:szCs w:val="20"/>
          <w:color w:val="auto"/>
        </w:rPr>
      </w:pPr>
      <w:r>
        <w:rPr>
          <w:rFonts w:ascii="Courier New" w:cs="Courier New" w:eastAsia="Courier New" w:hAnsi="Courier New"/>
          <w:sz w:val="15"/>
          <w:szCs w:val="15"/>
          <w:color w:val="auto"/>
        </w:rPr>
        <w:t>The Definitive Proxy of the Registrant for the 1996 Annual Meeting of Shareholders (Part III to the extent described herein).</w:t>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ind w:left="3260"/>
        <w:spacing w:after="0"/>
        <w:rPr>
          <w:sz w:val="20"/>
          <w:szCs w:val="20"/>
          <w:color w:val="auto"/>
        </w:rPr>
      </w:pPr>
      <w:r>
        <w:rPr>
          <w:rFonts w:ascii="Courier New" w:cs="Courier New" w:eastAsia="Courier New" w:hAnsi="Courier New"/>
          <w:sz w:val="15"/>
          <w:szCs w:val="15"/>
          <w:color w:val="auto"/>
        </w:rPr>
        <w:t>Part I</w:t>
      </w:r>
    </w:p>
    <w:p>
      <w:pPr>
        <w:spacing w:after="0" w:line="169" w:lineRule="exact"/>
        <w:rPr>
          <w:sz w:val="24"/>
          <w:szCs w:val="24"/>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rPr>
          <w:sz w:val="20"/>
          <w:szCs w:val="20"/>
          <w:color w:val="auto"/>
        </w:rPr>
      </w:pPr>
      <w:r>
        <w:rPr>
          <w:rFonts w:ascii="Courier New" w:cs="Courier New" w:eastAsia="Courier New" w:hAnsi="Courier New"/>
          <w:sz w:val="15"/>
          <w:szCs w:val="15"/>
          <w:color w:val="auto"/>
        </w:rPr>
        <w:t>Background</w:t>
      </w:r>
    </w:p>
    <w:p>
      <w:pPr>
        <w:spacing w:after="0" w:line="174" w:lineRule="exact"/>
        <w:rPr>
          <w:sz w:val="24"/>
          <w:szCs w:val="24"/>
          <w:color w:val="auto"/>
        </w:rPr>
      </w:pPr>
    </w:p>
    <w:p>
      <w:pPr>
        <w:ind w:right="3259" w:firstLine="705"/>
        <w:spacing w:after="0" w:line="257" w:lineRule="auto"/>
        <w:rPr>
          <w:sz w:val="20"/>
          <w:szCs w:val="20"/>
          <w:color w:val="auto"/>
        </w:rPr>
      </w:pPr>
      <w:r>
        <w:rPr>
          <w:rFonts w:ascii="Courier New" w:cs="Courier New" w:eastAsia="Courier New" w:hAnsi="Courier New"/>
          <w:sz w:val="14"/>
          <w:szCs w:val="14"/>
          <w:color w:val="auto"/>
        </w:rPr>
        <w:t>Viacom Inc. (together with its subsidiaries and divisions, unless the context otherwise requires, the "Company") is a diversified entertainment and publishing company with operations in five segments: (i) Networks and Broadcasting, (ii) Entertainment, (iii) Video and Music/Theme Parks, (iv) Publishing, and (v) Cable Television. Through the Networks and Broadcasting segment, the Company operates MTV: MUSIC TELEVISION(R), SHOWTIME(R), NICKELODEON(R)/NICK AT NITE(R) and VH1 MUSIC FIRST(TM), among other program services, and 12 broadcast television stations and 12 radio stations. Through the Entertainment segment, which includes PARAMOUNT PICTURES(R) and the Company's approximately 75%-owned subsidiary SPELLING ENTERTAINMENT GROUP INC. ("SPELLING"), the Company produces and distributes theatrical motion pictures and television programming. Through the Video and Music/Theme Parks segment, which includes the BLOCKBUSTER(R) family of businesses and PARAMOUNT PARKS(R), the Company is the leading worldwide owner, operator and franchiser of videocassette rental and sales stores and a leading owner and operator of music</w:t>
      </w:r>
    </w:p>
    <w:p>
      <w:pPr>
        <w:sectPr>
          <w:pgSz w:w="11900" w:h="16857" w:orient="portrait"/>
          <w:cols w:equalWidth="0" w:num="1">
            <w:col w:w="10219"/>
          </w:cols>
          <w:pgMar w:left="240" w:top="735" w:right="1440" w:bottom="0" w:gutter="0" w:footer="0" w:header="0"/>
        </w:sectPr>
      </w:pPr>
    </w:p>
    <w:bookmarkStart w:id="1" w:name="page2"/>
    <w:bookmarkEnd w:id="1"/>
    <w:p>
      <w:pPr>
        <w:ind w:right="3179"/>
        <w:spacing w:after="0" w:line="238" w:lineRule="auto"/>
        <w:rPr>
          <w:sz w:val="20"/>
          <w:szCs w:val="20"/>
          <w:color w:val="auto"/>
        </w:rPr>
      </w:pPr>
      <w:r>
        <w:rPr>
          <w:rFonts w:ascii="Courier New" w:cs="Courier New" w:eastAsia="Courier New" w:hAnsi="Courier New"/>
          <w:sz w:val="15"/>
          <w:szCs w:val="15"/>
          <w:color w:val="auto"/>
        </w:rPr>
        <w:t>stores in the U.S. In addition, PARAMOUNT PARKS owns and operates five theme parks and one water park in the U.S. and Canada. Through the Publishing segment, which includes SIMON &amp; SCHUSTER(R), MACMILLAN PUBLISHING USA(TM) and PRENTICE HALL(R), the Company publishes and distributes educational, consumer, business, technical and professional books, and audio-video software products. Through the Cable Television segment, the Company operates cable television systems serving approximately 1.2 million customers.</w:t>
      </w:r>
    </w:p>
    <w:p>
      <w:pPr>
        <w:spacing w:after="0" w:line="177" w:lineRule="exact"/>
        <w:rPr>
          <w:sz w:val="20"/>
          <w:szCs w:val="20"/>
          <w:color w:val="auto"/>
        </w:rPr>
      </w:pPr>
    </w:p>
    <w:p>
      <w:pPr>
        <w:ind w:right="3179" w:firstLine="705"/>
        <w:spacing w:after="0" w:line="239" w:lineRule="auto"/>
        <w:rPr>
          <w:sz w:val="20"/>
          <w:szCs w:val="20"/>
          <w:color w:val="auto"/>
        </w:rPr>
      </w:pPr>
      <w:r>
        <w:rPr>
          <w:rFonts w:ascii="Courier New" w:cs="Courier New" w:eastAsia="Courier New" w:hAnsi="Courier New"/>
          <w:sz w:val="15"/>
          <w:szCs w:val="15"/>
          <w:color w:val="auto"/>
        </w:rPr>
        <w:t>The Company was organized in Delaware in 1986 for the purpose of acquiring Viacom International Inc. ("Viacom International"). On March 11, 1994, the Company acquired a majority of outstanding shares of Paramount Communications Inc. ("Paramount Communications") by tender offer; on July 7, 1994, Paramount Communications became a wholly owned subsidiary of the Company, and, on January 3, 1995, Paramount Communications was merged into Viacom International. On September 29, 1994, Blockbuster Entertainment Corporation merged with and into the Company (the "Blockbuster Merger"). During July 1995, the Company announced an agreement to split-off its cable systems to its shareholders through a "dutch auction" exchange offer and the subsequent investment in and acquisition of all of the common stock of such entity by a subsidiary of Tele-Communications, Inc. immediately following the split-off. The exchange offer and related transactions are subject to several conditions, including regulatory approvals, receipt of a tax ruling and consummation of the exchange offer. The Company is currently exploring the sale of SPELLING and the related purchase of SPELLING's subsidiary, VIRGIN INTERACTIVE ENTERTAINMENT LIMITED ("VIRGIN INTERACTIVE"). On March 10, 1995, the Company sold Madison Square Garden Corporation for closing proceeds of approximately $1.009 billion, representing the sale price of approximately $1.075 billion, less an approximately $66 million working capital adjustment. The net after-tax proceeds of the sale were used to repay indebtedness.</w:t>
      </w:r>
    </w:p>
    <w:p>
      <w:pPr>
        <w:spacing w:after="0" w:line="176" w:lineRule="exact"/>
        <w:rPr>
          <w:sz w:val="20"/>
          <w:szCs w:val="20"/>
          <w:color w:val="auto"/>
        </w:rPr>
      </w:pPr>
    </w:p>
    <w:p>
      <w:pPr>
        <w:ind w:right="3179" w:firstLine="705"/>
        <w:spacing w:after="0" w:line="265" w:lineRule="auto"/>
        <w:rPr>
          <w:sz w:val="20"/>
          <w:szCs w:val="20"/>
          <w:color w:val="auto"/>
        </w:rPr>
      </w:pPr>
      <w:r>
        <w:rPr>
          <w:rFonts w:ascii="Courier New" w:cs="Courier New" w:eastAsia="Courier New" w:hAnsi="Courier New"/>
          <w:sz w:val="14"/>
          <w:szCs w:val="14"/>
          <w:color w:val="auto"/>
        </w:rPr>
        <w:t>As of March 1, 1996, National Amusements, Inc. ("NAI"), a closely held corporation that owns and operates more than 1,000 movie screens in the U.S. and</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141" w:right="1440" w:bottom="1440" w:gutter="0" w:footer="0" w:header="0"/>
        </w:sectPr>
      </w:pPr>
    </w:p>
    <w:bookmarkStart w:id="2" w:name="page3"/>
    <w:bookmarkEnd w:id="2"/>
    <w:p>
      <w:pPr>
        <w:ind w:right="3359"/>
        <w:spacing w:after="0" w:line="238" w:lineRule="auto"/>
        <w:rPr>
          <w:sz w:val="20"/>
          <w:szCs w:val="20"/>
          <w:color w:val="auto"/>
        </w:rPr>
      </w:pPr>
      <w:r>
        <w:rPr>
          <w:rFonts w:ascii="Courier New" w:cs="Courier New" w:eastAsia="Courier New" w:hAnsi="Courier New"/>
          <w:sz w:val="15"/>
          <w:szCs w:val="15"/>
          <w:color w:val="auto"/>
        </w:rPr>
        <w:t>the U.K., owned approximately 61% of the Company's voting Class A Common Stock ("Class A Common Stock"), and approximately 25% of the Company's outstanding Class A Common Stock and non-voting Class B Common Stock ("Class B Common Stock") on a combined basis. NAI is not subject to the informational filing requirements of the Securities Exchange Act of 1934, as amended. Sumner M. Redstone, the controlling shareholder of NAI, is the Chairman of the Board and Chief Executive Officer of the Company.</w:t>
      </w:r>
    </w:p>
    <w:p>
      <w:pPr>
        <w:spacing w:after="0" w:line="177" w:lineRule="exact"/>
        <w:rPr>
          <w:sz w:val="20"/>
          <w:szCs w:val="20"/>
          <w:color w:val="auto"/>
        </w:rPr>
      </w:pPr>
    </w:p>
    <w:p>
      <w:pPr>
        <w:ind w:right="3259" w:firstLine="705"/>
        <w:spacing w:after="0" w:line="237" w:lineRule="auto"/>
        <w:rPr>
          <w:sz w:val="20"/>
          <w:szCs w:val="20"/>
          <w:color w:val="auto"/>
        </w:rPr>
      </w:pPr>
      <w:r>
        <w:rPr>
          <w:rFonts w:ascii="Courier New" w:cs="Courier New" w:eastAsia="Courier New" w:hAnsi="Courier New"/>
          <w:sz w:val="15"/>
          <w:szCs w:val="15"/>
          <w:color w:val="auto"/>
        </w:rPr>
        <w:t>The Company's principal offices are located at 1515 Broadway, New York, New York 10036 (telephone 212/258-6000). At December 31, 1995, the Company and its affiliated companies employed approximately 81,700 people, of which approximately 36,500 were full-time salaried employees.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Networks and Broadcasting</w:t>
      </w:r>
    </w:p>
    <w:p>
      <w:pPr>
        <w:spacing w:after="0" w:line="175" w:lineRule="exact"/>
        <w:rPr>
          <w:sz w:val="20"/>
          <w:szCs w:val="20"/>
          <w:color w:val="auto"/>
        </w:rPr>
      </w:pPr>
    </w:p>
    <w:p>
      <w:pPr>
        <w:ind w:right="3179" w:firstLine="705"/>
        <w:spacing w:after="0" w:line="239" w:lineRule="auto"/>
        <w:rPr>
          <w:sz w:val="20"/>
          <w:szCs w:val="20"/>
          <w:color w:val="auto"/>
        </w:rPr>
      </w:pPr>
      <w:r>
        <w:rPr>
          <w:rFonts w:ascii="Courier New" w:cs="Courier New" w:eastAsia="Courier New" w:hAnsi="Courier New"/>
          <w:sz w:val="15"/>
          <w:szCs w:val="15"/>
          <w:color w:val="auto"/>
        </w:rPr>
        <w:t>Networks. The Company owns and operates advertiser-supported basic cable television program services and premium subscription television program services in the U.S. and internationally. The MTV Networks division ("MTVN") includes such owned and operated program services as MTV: MUSIC TELEVISION(R) ("MTV") in the U.S., MTV(TM) in Europe ("MTV EUROPE") and in Latin America ("MTV LATINO"), NICKELODEON(R), NICK AT NITE(R), VH1 MUSIC FIRST(TM) (in the U.S., "VH1"), and VH-1(TM) in the U.K., as well as program services in which MTVN participates as a joint venturer, including MTV(TM) in ASIA ("MTV ASIA"), NICKELODEON(TM) and THE PARAMOUNT CHANNEL(TM) in the U.K., NICKELODEON(TM) in Australia ("NICKELODEON AUSTRALIA"), and NICKELODEON(TM) and VH-1(TM) in Germany. Showtime Networks Inc. ("SNI") owns and operates SHOWTIME(R), THE MOVIE CHANNEL(TM) and FLIX(TM), and participates as a joint venturer in SUNDANCE CHANNEL(TM), a premium subscription television program service which launched on February 29, 1996. Additionally, the Company participates as a joint venturer in four advertiser-supported basic cable program services: USA NETWORK(TM) and the SCI-FI CHANNEL(TM) (both of which are operated by USA Networks), COMEDY CENTRAL(TM), and ALL NEWS CHANNEL(TM). The Company also packages satellite-delivered program services for distribution to TVRO subscribers in the U.S. through SHOWTIME SATELLITE NETWORKS(TM).</w:t>
      </w:r>
    </w:p>
    <w:p>
      <w:pPr>
        <w:spacing w:after="0" w:line="175" w:lineRule="exact"/>
        <w:rPr>
          <w:sz w:val="20"/>
          <w:szCs w:val="20"/>
          <w:color w:val="auto"/>
        </w:rPr>
      </w:pPr>
    </w:p>
    <w:p>
      <w:pPr>
        <w:ind w:right="3259" w:firstLine="705"/>
        <w:spacing w:after="0" w:line="257" w:lineRule="auto"/>
        <w:rPr>
          <w:sz w:val="20"/>
          <w:szCs w:val="20"/>
          <w:color w:val="auto"/>
        </w:rPr>
      </w:pPr>
      <w:r>
        <w:rPr>
          <w:rFonts w:ascii="Courier New" w:cs="Courier New" w:eastAsia="Courier New" w:hAnsi="Courier New"/>
          <w:sz w:val="14"/>
          <w:szCs w:val="14"/>
          <w:color w:val="auto"/>
        </w:rPr>
        <w:t>Generally, the Company's Networks are offered to customers of cable television operators, distributors of direct-to-home satellite services ("DTH") and other multichannel distributors. DTH distributors provide service by either low-powered C-Band satellite technology (received by large satellite dishes at customers' premises, "TVRO") or mid-to high-powered K-Band satellite technology (received by smaller satellite dishes at customers' premises, "DBS") (TVRO and DBS, together, "DTH"). Cable television operators are currently the predominant distributors of the Company's Networks in the U.S. Internationally, the predominant distribution technology varies territory by territory.</w:t>
      </w:r>
    </w:p>
    <w:p>
      <w:pPr>
        <w:spacing w:after="0" w:line="167" w:lineRule="exact"/>
        <w:rPr>
          <w:sz w:val="20"/>
          <w:szCs w:val="20"/>
          <w:color w:val="auto"/>
        </w:rPr>
      </w:pPr>
    </w:p>
    <w:p>
      <w:pPr>
        <w:ind w:right="3359" w:firstLine="705"/>
        <w:spacing w:after="0" w:line="265" w:lineRule="auto"/>
        <w:rPr>
          <w:sz w:val="20"/>
          <w:szCs w:val="20"/>
          <w:color w:val="auto"/>
        </w:rPr>
      </w:pPr>
      <w:r>
        <w:rPr>
          <w:rFonts w:ascii="Courier New" w:cs="Courier New" w:eastAsia="Courier New" w:hAnsi="Courier New"/>
          <w:sz w:val="14"/>
          <w:szCs w:val="14"/>
          <w:color w:val="auto"/>
        </w:rPr>
        <w:t>MTV Networks. MTV targets viewers from the ages of 12 to 34 with programming that consists primarily of music videos and concerts, augmented by</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7" w:right="1440" w:bottom="1440" w:gutter="0" w:footer="0" w:header="0"/>
        </w:sectPr>
      </w:pPr>
    </w:p>
    <w:bookmarkStart w:id="3" w:name="page4"/>
    <w:bookmarkEnd w:id="3"/>
    <w:p>
      <w:pPr>
        <w:ind w:right="3439"/>
        <w:spacing w:after="0" w:line="258" w:lineRule="auto"/>
        <w:rPr>
          <w:sz w:val="20"/>
          <w:szCs w:val="20"/>
          <w:color w:val="auto"/>
        </w:rPr>
      </w:pPr>
      <w:r>
        <w:rPr>
          <w:rFonts w:ascii="Courier New" w:cs="Courier New" w:eastAsia="Courier New" w:hAnsi="Courier New"/>
          <w:sz w:val="14"/>
          <w:szCs w:val="14"/>
          <w:color w:val="auto"/>
        </w:rPr>
        <w:t>music and general lifestyle information, comedy and dramatic series, news specials, interviews, documentaries and other youth-oriented programming. Additionally, international MTV program services are regionally customized to suit the local tastes of their young adult viewers by the inclusion of local music, programming, and on-air personalities, and use of the local language.</w:t>
      </w:r>
    </w:p>
    <w:p>
      <w:pPr>
        <w:spacing w:after="0" w:line="165" w:lineRule="exact"/>
        <w:rPr>
          <w:sz w:val="20"/>
          <w:szCs w:val="20"/>
          <w:color w:val="auto"/>
        </w:rPr>
      </w:pPr>
    </w:p>
    <w:p>
      <w:pPr>
        <w:ind w:right="3179" w:firstLine="705"/>
        <w:spacing w:after="0" w:line="239" w:lineRule="auto"/>
        <w:rPr>
          <w:sz w:val="20"/>
          <w:szCs w:val="20"/>
          <w:color w:val="auto"/>
        </w:rPr>
      </w:pPr>
      <w:r>
        <w:rPr>
          <w:rFonts w:ascii="Courier New" w:cs="Courier New" w:eastAsia="Courier New" w:hAnsi="Courier New"/>
          <w:sz w:val="15"/>
          <w:szCs w:val="15"/>
          <w:color w:val="auto"/>
        </w:rPr>
        <w:t>MTV has expanded its business opportunities based on its programming to include, among other enterprises, MTV ONLINE(TM) which provides promotional opportunities for MTV and its programming; the MTV RADIO NETWORK(TM), which MTV licenses to Westwood One Entertainment for syndication in the U.S. and which features exclusive concert simulcasts, music information and MTV shows; an MTV line of home videos, merchandise, interactive products and books, and electronic retailing programs. MTV also pursues broadcast network and first-run syndication television opportunities and motion picture development and production through its MTV Productions business unit. The first two motion pictures produced through MTV Productions are to be released in 1996, JOE'S APARTMENT(TM) which is based on MTV programming and is to be released through Geffen Pictures/Warner Bros., and a film featuring MTV's Beavis &amp; Butt-Head characters to be released through PARAMOUNT PICTURES. MTV has joined with POCKET BOOKS(TM), a division of SIMON &amp; SCHUSTER, in a venture under which books are published under an MTV BOOKS imprint for the youth market. MTV has reintroduced its "Choose or Lose" political awareness campaign for the 1996 presidential election, consisting of news specials, interviews with the candidates and weekly coverage of the primary season, designed to educate and inform young viewers about the political process.</w:t>
      </w:r>
    </w:p>
    <w:p>
      <w:pPr>
        <w:spacing w:after="0" w:line="175" w:lineRule="exact"/>
        <w:rPr>
          <w:sz w:val="20"/>
          <w:szCs w:val="20"/>
          <w:color w:val="auto"/>
        </w:rPr>
      </w:pPr>
    </w:p>
    <w:p>
      <w:pPr>
        <w:jc w:val="both"/>
        <w:ind w:right="3359" w:firstLine="705"/>
        <w:spacing w:after="0" w:line="237" w:lineRule="auto"/>
        <w:rPr>
          <w:sz w:val="20"/>
          <w:szCs w:val="20"/>
          <w:color w:val="auto"/>
        </w:rPr>
      </w:pPr>
      <w:r>
        <w:rPr>
          <w:rFonts w:ascii="Courier New" w:cs="Courier New" w:eastAsia="Courier New" w:hAnsi="Courier New"/>
          <w:sz w:val="15"/>
          <w:szCs w:val="15"/>
          <w:color w:val="auto"/>
        </w:rPr>
        <w:t>MTV was licensed to approximately 59.6 million domestic subscribers at December 31, 1995 (based on subscriber counts provided by each distributor of the service). According to the December 1995 sample reports issued by the A.C. Nielsen Company (the "Nielsen Report"), MTV reached approximately 63.2 million domestic subscriber households.</w:t>
      </w:r>
    </w:p>
    <w:p>
      <w:pPr>
        <w:spacing w:after="0" w:line="178"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MTV EUROPE is designed to particularly attract the European youth market by providing a high percentage of European-sourced youth programming, featuring music videos, and including coverage of fashion, movies, news, trends and social issues. MTV EUROPE is distributed in Europe and certain countries in the former Soviet Union and the Middle East. Based on subscriber counts provided by distributors of the service, MTV EUROPE reached approximately 51.5 million subscribers at December 31, 1995. In 1995, MTV encrypted its service in Europe in order to maximize subscription revenues.</w:t>
      </w:r>
    </w:p>
    <w:p>
      <w:pPr>
        <w:spacing w:after="0" w:line="178" w:lineRule="exact"/>
        <w:rPr>
          <w:sz w:val="20"/>
          <w:szCs w:val="20"/>
          <w:color w:val="auto"/>
        </w:rPr>
      </w:pPr>
    </w:p>
    <w:p>
      <w:pPr>
        <w:ind w:right="3359" w:firstLine="705"/>
        <w:spacing w:after="0" w:line="237" w:lineRule="auto"/>
        <w:rPr>
          <w:sz w:val="20"/>
          <w:szCs w:val="20"/>
          <w:color w:val="auto"/>
        </w:rPr>
      </w:pPr>
      <w:r>
        <w:rPr>
          <w:rFonts w:ascii="Courier New" w:cs="Courier New" w:eastAsia="Courier New" w:hAnsi="Courier New"/>
          <w:sz w:val="15"/>
          <w:szCs w:val="15"/>
          <w:color w:val="auto"/>
        </w:rPr>
        <w:t>MTV LATINO is customized for Spanish-speaking viewers in approximately 20 countries in Latin America and in the U.S. MTV LATINO was distributed to approximately 6.5 million subscribers, including 668,000 U.S. subscribers at December 31, 1995 (based on subscriber counts provided by each distributor of the service).</w:t>
      </w:r>
    </w:p>
    <w:p>
      <w:pPr>
        <w:spacing w:after="0" w:line="178"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MTV ASIA is operated by a joint venture of the Company and PolyGram Asia L.L.C., which was launched in the second quarter of 1995, and reached approximately 29.5 million subscribers throughout Asia at December 31, 1995 (based on subscriber counts provided by each distributor of the service). MTV ASIA consists of two separate satellite feeds, one primarily in Mandarin, the other primarily in English.</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7" w:right="1440" w:bottom="1440" w:gutter="0" w:footer="0" w:header="0"/>
        </w:sectPr>
      </w:pPr>
    </w:p>
    <w:bookmarkStart w:id="4" w:name="page5"/>
    <w:bookmarkEnd w:id="4"/>
    <w:p>
      <w:pPr>
        <w:ind w:right="3179" w:firstLine="705"/>
        <w:spacing w:after="0" w:line="238" w:lineRule="auto"/>
        <w:rPr>
          <w:sz w:val="20"/>
          <w:szCs w:val="20"/>
          <w:color w:val="auto"/>
        </w:rPr>
      </w:pPr>
      <w:r>
        <w:rPr>
          <w:rFonts w:ascii="Courier New" w:cs="Courier New" w:eastAsia="Courier New" w:hAnsi="Courier New"/>
          <w:sz w:val="15"/>
          <w:szCs w:val="15"/>
          <w:color w:val="auto"/>
        </w:rPr>
        <w:t>MTVN has licensing arrangements covering the distribution of regionally-specific program services in Brazil and Japan. MTVN also licenses MTV programs, merchandise and format rights worldwide. The Company has also entered into a joint venture agreement for the development and launch of DTH programming packages anticipated to be available in the Middle East in April 1996, including programming from MTV, VH-1, NICKELODEON, THE PARAMOUNT CHANNEL (described below), and a new premium subscription movie-based program service managed by SNI called THE MOVIE CHANNEL, among other services.</w:t>
      </w:r>
    </w:p>
    <w:p>
      <w:pPr>
        <w:spacing w:after="0" w:line="178" w:lineRule="exact"/>
        <w:rPr>
          <w:sz w:val="20"/>
          <w:szCs w:val="20"/>
          <w:color w:val="auto"/>
        </w:rPr>
      </w:pPr>
    </w:p>
    <w:p>
      <w:pPr>
        <w:ind w:right="3179" w:firstLine="705"/>
        <w:spacing w:after="0" w:line="239" w:lineRule="auto"/>
        <w:rPr>
          <w:sz w:val="20"/>
          <w:szCs w:val="20"/>
          <w:color w:val="auto"/>
        </w:rPr>
      </w:pPr>
      <w:r>
        <w:rPr>
          <w:rFonts w:ascii="Courier New" w:cs="Courier New" w:eastAsia="Courier New" w:hAnsi="Courier New"/>
          <w:sz w:val="15"/>
          <w:szCs w:val="15"/>
          <w:color w:val="auto"/>
        </w:rPr>
        <w:t>NICKELODEON combines acquired and originally produced programs in a pro-social, non-violent format comprising two distinct program units tailored to age-specific demographic audiences: NICKELODEON, targeted to audiences ages 2 to 14 (which includes NICK JR.(TM), a program block designed for 2 to 5 year olds), features live-action, animation and original children's game shows; and NICK AT NITE, which primarily attracts audiences ages 18 to 49 and offers "Classic TV"(TM) shows from various eras, including THE DICK VAN DYKE SHOW, THE MARY TYLER MOORE SHOW and TAXI. At December 31, 1995, NICKELODEON/NICK AT NITE was licensed to approximately 61.7 million domestic subscribers (based on subscriber counts provided by each distributor of the service). According to the Nielsen Report, NICKELODEON and NICK AT NITE each reached approximately 65 million subscriber households. In 1996, the Company plans to launch NICK AT NITE'S TV LAND(TM), a 24-hour, seven-days-a-week program service comprised of a broad range of well-known television programs from various genres. Upon launch, NICK AT NITE'S TV LAND will feature a wide range of genres including comedies, dramas, westerns, variety and other formats from the 1950s through the 1980s while NICK AT NITE programs will remain primarily comedies. NICKELODEON conducts its brand and character licensing programs in the U.S. and international markets by entering into merchandising agreements throughout the world. Additionally, the Company publishes a monthly NICKELODEON MAGAZINE, which had approximately 481,000 subscribers at December 31, 1995; launched NICKELODEON ONLINE(TM) which offers original content for children including live events, games and videoclips; launched NICK AT NITE ONLINE(TM), an online resource regarding classic television and pop culture; and created NICKELODEON MOVIES(TM), a new unit, which is developing a mix of story and character-driven projects based on original ideas and NICKELODEON programming, including the upcoming feature film, HARRIET THE SPY(TM), which is being co-produced with PARAMOUNT PICTURES and is expected to be released in 1996.</w:t>
      </w:r>
    </w:p>
    <w:p>
      <w:pPr>
        <w:spacing w:after="0" w:line="17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NICKELODEON in the U.K. is a joint venture of the Company and British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Sky Broadcasting Limited ("BSkyB") and is a 13-hour weekday and 12-hour weekend,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satellite-delivered children's television program service. On November 1, 1995,</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PICTURES and NICKELODEON, in a joint venture with BSkyB, launched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CHANNEL in the U.K., which features comedies, dramas, light</w:t>
      </w:r>
    </w:p>
    <w:p>
      <w:pPr>
        <w:spacing w:after="0"/>
        <w:rPr>
          <w:sz w:val="20"/>
          <w:szCs w:val="20"/>
          <w:color w:val="auto"/>
        </w:rPr>
      </w:pPr>
      <w:r>
        <w:rPr>
          <w:rFonts w:ascii="Courier New" w:cs="Courier New" w:eastAsia="Courier New" w:hAnsi="Courier New"/>
          <w:sz w:val="15"/>
          <w:szCs w:val="15"/>
          <w:color w:val="auto"/>
        </w:rPr>
        <w:t>documentaries and films during the daypart following the NICKELODEON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U.K. program segment. NICKELODEON in Australia is operated by a joint venture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and XYZ Entertainment Pty Ltd. (which is owned by Foxtel, Century</w:t>
      </w:r>
    </w:p>
    <w:p>
      <w:pPr>
        <w:spacing w:after="0"/>
        <w:rPr>
          <w:sz w:val="20"/>
          <w:szCs w:val="20"/>
          <w:color w:val="auto"/>
        </w:rPr>
      </w:pPr>
      <w:r>
        <w:rPr>
          <w:rFonts w:ascii="Courier New" w:cs="Courier New" w:eastAsia="Courier New" w:hAnsi="Courier New"/>
          <w:sz w:val="15"/>
          <w:szCs w:val="15"/>
          <w:color w:val="auto"/>
        </w:rPr>
        <w:t>Communications Corp. and United International Holdings Inc.) and is a</w:t>
      </w:r>
    </w:p>
    <w:p>
      <w:pPr>
        <w:spacing w:after="0"/>
        <w:rPr>
          <w:sz w:val="20"/>
          <w:szCs w:val="20"/>
          <w:color w:val="auto"/>
        </w:rPr>
      </w:pPr>
      <w:r>
        <w:rPr>
          <w:rFonts w:ascii="Courier New" w:cs="Courier New" w:eastAsia="Courier New" w:hAnsi="Courier New"/>
          <w:sz w:val="15"/>
          <w:szCs w:val="15"/>
          <w:color w:val="auto"/>
        </w:rPr>
        <w:t>subscription television program service which launched in October 1995.</w:t>
      </w:r>
    </w:p>
    <w:p>
      <w:pPr>
        <w:spacing w:after="0" w:line="238" w:lineRule="auto"/>
        <w:rPr>
          <w:sz w:val="20"/>
          <w:szCs w:val="20"/>
          <w:color w:val="auto"/>
        </w:rPr>
      </w:pPr>
      <w:r>
        <w:rPr>
          <w:rFonts w:ascii="Courier New" w:cs="Courier New" w:eastAsia="Courier New" w:hAnsi="Courier New"/>
          <w:sz w:val="15"/>
          <w:szCs w:val="15"/>
          <w:color w:val="auto"/>
        </w:rPr>
        <w:t>NICKELODEON in Germany, which launched in July 1995, is a joint venture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The Bear Stearns Companies Inc. ("Bear Stearns") and Ravensburger Film</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7" w:right="1440" w:bottom="1440" w:gutter="0" w:footer="0" w:header="0"/>
        </w:sectPr>
      </w:pPr>
    </w:p>
    <w:bookmarkStart w:id="5" w:name="page6"/>
    <w:bookmarkEnd w:id="5"/>
    <w:p>
      <w:pPr>
        <w:ind w:left="10" w:right="3179" w:hanging="10"/>
        <w:spacing w:after="0" w:line="237" w:lineRule="auto"/>
        <w:tabs>
          <w:tab w:leader="none" w:pos="18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TV GmbH. This joint venture has required the receipt of certain regulatory approvals. The international NICKELODEON services deliver children's programming which generally includes U.S. NICKELODEON programming, acquired programming (including locally produced programs) and original programming produced by NICKELODEON and the applicable joint venture.</w:t>
      </w:r>
    </w:p>
    <w:p>
      <w:pPr>
        <w:spacing w:after="0" w:line="178" w:lineRule="exact"/>
        <w:rPr>
          <w:sz w:val="20"/>
          <w:szCs w:val="20"/>
          <w:color w:val="auto"/>
        </w:rPr>
      </w:pPr>
    </w:p>
    <w:p>
      <w:pPr>
        <w:ind w:left="10" w:right="3179" w:firstLine="705"/>
        <w:spacing w:after="0" w:line="238" w:lineRule="auto"/>
        <w:rPr>
          <w:sz w:val="20"/>
          <w:szCs w:val="20"/>
          <w:color w:val="auto"/>
        </w:rPr>
      </w:pPr>
      <w:r>
        <w:rPr>
          <w:rFonts w:ascii="Courier New" w:cs="Courier New" w:eastAsia="Courier New" w:hAnsi="Courier New"/>
          <w:sz w:val="15"/>
          <w:szCs w:val="15"/>
          <w:color w:val="auto"/>
        </w:rPr>
        <w:t>VH1 presents music videos, long-form music-based series and specials, original concerts, music-based news and information, artist interviews and fashion, and targets an audience from the ages of 25 to 44. At December 31, 1995, VH1 was licensed to approximately 51 million domestic subscribers (based on subscriber counts provided by each distributor of the service). According to the Nielsen Report, VH1 reached approximately 53.2 million domestic subscriber households. In 1995, VH1 launched VH1 ONLINE(TM) giving viewers the opportunity to go behind the scenes at VH1 special events, chat with VH1 artists and learn more about VH1 programming. VH-1 in the U.K. was launched in September 1994 and was distributed to approximately 4.3 million viewers in the U.K. and Ireland as of December 31, 1995 (based on subscriber counts provided by each distributor of the service). VH-1 in Germany, launched in March 1995, is a joint venture of the Company and Bear Stearns. This joint venture has required the receipt of certain regulatory approvals.</w:t>
      </w:r>
    </w:p>
    <w:p>
      <w:pPr>
        <w:spacing w:after="0" w:line="184" w:lineRule="exact"/>
        <w:rPr>
          <w:sz w:val="20"/>
          <w:szCs w:val="20"/>
          <w:color w:val="auto"/>
        </w:rPr>
      </w:pPr>
    </w:p>
    <w:p>
      <w:pPr>
        <w:ind w:left="10" w:right="3179" w:firstLine="705"/>
        <w:spacing w:after="0" w:line="238" w:lineRule="auto"/>
        <w:rPr>
          <w:sz w:val="20"/>
          <w:szCs w:val="20"/>
          <w:color w:val="auto"/>
        </w:rPr>
      </w:pPr>
      <w:r>
        <w:rPr>
          <w:rFonts w:ascii="Courier New" w:cs="Courier New" w:eastAsia="Courier New" w:hAnsi="Courier New"/>
          <w:sz w:val="15"/>
          <w:szCs w:val="15"/>
          <w:color w:val="auto"/>
        </w:rPr>
        <w:t>MTVN, in exchange for cash and advertising time or for promotional consideration only, licenses from record companies music videos for exhibition on MTV, VH1 and other MTVN program services. The agreements generally provide for a license period of three to five years, and in the U.S., that videos are available for debut by MTVN and are subject to exclusive exhibition periods on MTV. MTVN has entered into multi-year global music video licensing agreements with certain record companies. MTVN also has shorter term and regional clip licensing arrangements with other record companies. MTVN is negotiating and expects to conclude additional license agreements with independent labels and additional global music video license agreements with major international labels. However, there can be no assurance that such agreements can be concluded on favorable terms. MTVN is continuing to take measures to assure access to music videos worldwide. (See "Business--Competition--Networks")</w:t>
      </w:r>
    </w:p>
    <w:p>
      <w:pPr>
        <w:spacing w:after="0" w:line="183" w:lineRule="exact"/>
        <w:rPr>
          <w:sz w:val="20"/>
          <w:szCs w:val="20"/>
          <w:color w:val="auto"/>
        </w:rPr>
      </w:pPr>
    </w:p>
    <w:p>
      <w:pPr>
        <w:ind w:left="10" w:right="3259" w:firstLine="705"/>
        <w:spacing w:after="0" w:line="258" w:lineRule="auto"/>
        <w:rPr>
          <w:sz w:val="20"/>
          <w:szCs w:val="20"/>
          <w:color w:val="auto"/>
        </w:rPr>
      </w:pPr>
      <w:r>
        <w:rPr>
          <w:rFonts w:ascii="Courier New" w:cs="Courier New" w:eastAsia="Courier New" w:hAnsi="Courier New"/>
          <w:sz w:val="14"/>
          <w:szCs w:val="14"/>
          <w:color w:val="auto"/>
        </w:rPr>
        <w:t>MTVN derives revenues principally from two sources: the sale of time on its own networks to advertisers and the license of the networks to cable television operators, DTH and other distributors. The sale of MTVN advertising time is affected by viewer demographics, viewer ratings and market conditions for advertising time. Adverse changes in general market conditions for advertising may affect MTVN's revenues. (See "Business--Competition--Networks")</w:t>
      </w:r>
    </w:p>
    <w:p>
      <w:pPr>
        <w:spacing w:after="0" w:line="164" w:lineRule="exact"/>
        <w:rPr>
          <w:sz w:val="20"/>
          <w:szCs w:val="20"/>
          <w:color w:val="auto"/>
        </w:rPr>
      </w:pPr>
    </w:p>
    <w:p>
      <w:pPr>
        <w:ind w:left="10" w:right="3259" w:firstLine="705"/>
        <w:spacing w:after="0" w:line="257" w:lineRule="auto"/>
        <w:rPr>
          <w:sz w:val="20"/>
          <w:szCs w:val="20"/>
          <w:color w:val="auto"/>
        </w:rPr>
      </w:pPr>
      <w:r>
        <w:rPr>
          <w:rFonts w:ascii="Courier New" w:cs="Courier New" w:eastAsia="Courier New" w:hAnsi="Courier New"/>
          <w:sz w:val="14"/>
          <w:szCs w:val="14"/>
          <w:color w:val="auto"/>
        </w:rPr>
        <w:t>Showtime Networks Inc. SNI operates three commercial-free, premium subscription television program services: SHOWTIME, offering recently released theatrical feature films, drama and comedy series, boxing events, and original movies; THE MOVIE CHANNEL, offering recently released theatrical films and related programming including film festivals; and FLIX, an added-value program service featuring theatrical movies primarily from the 1960s, 70s and 80s. At December 31, 1995, SHOWTIME, THE MOVIE CHANNEL and FLIX, in the aggregate, had approximately 14.8 million cable and other subscribers in 50 states and certain U.S. territories. SUNDANCE CHANNEL, a joint venture among SNI, an affiliate of Robert Redford and an affiliate of PolyGram Filmed Entertainment Distribution</w:t>
      </w:r>
    </w:p>
    <w:p>
      <w:pPr>
        <w:spacing w:after="0" w:line="16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9"/>
          </w:cols>
          <w:pgMar w:left="230" w:top="627" w:right="1440" w:bottom="1440" w:gutter="0" w:footer="0" w:header="0"/>
        </w:sectPr>
      </w:pPr>
    </w:p>
    <w:bookmarkStart w:id="6" w:name="page7"/>
    <w:bookmarkEnd w:id="6"/>
    <w:p>
      <w:pPr>
        <w:ind w:right="3179"/>
        <w:spacing w:after="0" w:line="257" w:lineRule="auto"/>
        <w:rPr>
          <w:sz w:val="20"/>
          <w:szCs w:val="20"/>
          <w:color w:val="auto"/>
        </w:rPr>
      </w:pPr>
      <w:r>
        <w:rPr>
          <w:rFonts w:ascii="Courier New" w:cs="Courier New" w:eastAsia="Courier New" w:hAnsi="Courier New"/>
          <w:sz w:val="14"/>
          <w:szCs w:val="14"/>
          <w:color w:val="auto"/>
        </w:rPr>
        <w:t>Inc., which is managed and operated by SNI, launched on February 29, 1996. SUNDANCE CHANNEL is a commercial-free 24-hour, seven-days-a-week premium subscription service, dedicated to independent film, featuring top-quality American independent films, documentaries, foreign and classic art films, shorts and animation, with an emphasis on recently released premium titles. The Company has also entered into a joint venture agreement for the development and launch of DTH programming packages anticipated to be available in the Middle East in April 1996, including a new premium subscription movie-based program service called THE MOVIE CHANNEL, which is managed by SNI, and programming from MTV EUROPE, VH-1, NICKELODEON and THE PARAMOUNT CHANNEL, among other services.</w:t>
      </w:r>
    </w:p>
    <w:p>
      <w:pPr>
        <w:spacing w:after="0" w:line="166"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SNI also provides special events, such as sports events, to licensees on a pay-per-view basis. In March 1995, SNI entered into an exclusive multi-year agreement with former heavyweight champion Mike Tyson and Don King Productions, Inc. for SHOWTIME EVENT TELEVISION's pay-per-view marketing and distribution of Mike Tyson's fights over three years. SHOWTIME EVENT TELEVISION(TM) is a pay-per-view distributor of special events, including boxing events. In addition, SNI, through its subsidiary, SHOWTIME SATELLITE NETWORKS INC., packages for distribution to TVRO viewers the Company's wholly owned program services, as well as COMEDY CENTRAL, USA NETWORK, the SCI-FI CHANNEL, and certain third-party program services.</w:t>
      </w:r>
    </w:p>
    <w:p>
      <w:pPr>
        <w:spacing w:after="0" w:line="180" w:lineRule="exact"/>
        <w:rPr>
          <w:sz w:val="20"/>
          <w:szCs w:val="20"/>
          <w:color w:val="auto"/>
        </w:rPr>
      </w:pPr>
    </w:p>
    <w:p>
      <w:pPr>
        <w:ind w:right="3179" w:firstLine="705"/>
        <w:spacing w:after="0" w:line="239" w:lineRule="auto"/>
        <w:rPr>
          <w:sz w:val="20"/>
          <w:szCs w:val="20"/>
          <w:color w:val="auto"/>
        </w:rPr>
      </w:pPr>
      <w:r>
        <w:rPr>
          <w:rFonts w:ascii="Courier New" w:cs="Courier New" w:eastAsia="Courier New" w:hAnsi="Courier New"/>
          <w:sz w:val="15"/>
          <w:szCs w:val="15"/>
          <w:color w:val="auto"/>
        </w:rPr>
        <w:t>In order to exhibit theatrical motion pictures on premium subscription television, SNI enters into commitments to acquire rights, with an emphasis on acquiring exclusive rights for SHOWTIME and THE MOVIE CHANNEL, from major or independent motion picture producers and other distributors. SNI's exhibition rights cover the U.S. and may, on a contract-by-contract basis, cover additional territories. In addition to SNI's other theatrical motion picture license agreements, SNI recently entered into agreements with PolyGram Filmed Entertainment Distribution Inc. under which SNI will acquire the exclusive U.S. premium television rights to up to 100 of PolyGram's feature titles initially theatrically released in the U.S. through the year 2001; with PARAMOUNT PICTURES to acquire the exclusive U.S. premium television rights to up to 196 of PARAMOUNT PICTURES' feature films, commencing with feature films initially theatrically released in the U.S. in 1998 for a minimum seven-year period, as well as 300 titles from its film library (see "Business--Entertainment"); and with Phoenix Pictures, a new feature film production and distribution company headed by Mike Medavoy, to acquire the exclusive U.S. premium television rights to up to 40 of Phoenix Pictures' films initially theatrically released in the U.S. through the end of 2002, and to acquire an approximate 11% equity investment in Phoenix Pictures. Theatrical motion pictures are generally exhibited first on SHOWTIME and THE MOVIE CHANNEL after an initial period for theatrical, home video and pay-per-view exhibition and before the period has commenced for standard broadcast television and basic cable television exhibition. Many of the motion pictures which appear on FLIX have been previously available for standard broadcast and other exhibitions.</w:t>
      </w:r>
    </w:p>
    <w:p>
      <w:pPr>
        <w:spacing w:after="0" w:line="177" w:lineRule="exact"/>
        <w:rPr>
          <w:sz w:val="20"/>
          <w:szCs w:val="20"/>
          <w:color w:val="auto"/>
        </w:rPr>
      </w:pPr>
    </w:p>
    <w:p>
      <w:pPr>
        <w:ind w:right="3179" w:firstLine="705"/>
        <w:spacing w:after="0" w:line="258" w:lineRule="auto"/>
        <w:rPr>
          <w:sz w:val="20"/>
          <w:szCs w:val="20"/>
          <w:color w:val="auto"/>
        </w:rPr>
      </w:pPr>
      <w:r>
        <w:rPr>
          <w:rFonts w:ascii="Courier New" w:cs="Courier New" w:eastAsia="Courier New" w:hAnsi="Courier New"/>
          <w:sz w:val="14"/>
          <w:szCs w:val="14"/>
          <w:color w:val="auto"/>
        </w:rPr>
        <w:t>SNI also arranges for the development, production and, in many cases, distribution of original programs and motion pictures. These original programs and motion pictures premiere in the U.S. on SHOWTIME, unless they are previously theatrically released. Such programming is also exploited in various media worldwide. As part of its original programming strategy, SNI intends to produce</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7" w:right="1440" w:bottom="1440" w:gutter="0" w:footer="0" w:header="0"/>
        </w:sectPr>
      </w:pPr>
    </w:p>
    <w:bookmarkStart w:id="7" w:name="page8"/>
    <w:bookmarkEnd w:id="7"/>
    <w:p>
      <w:pPr>
        <w:ind w:right="3359"/>
        <w:spacing w:after="0" w:line="237" w:lineRule="auto"/>
        <w:rPr>
          <w:sz w:val="20"/>
          <w:szCs w:val="20"/>
          <w:color w:val="auto"/>
        </w:rPr>
      </w:pPr>
      <w:r>
        <w:rPr>
          <w:rFonts w:ascii="Courier New" w:cs="Courier New" w:eastAsia="Courier New" w:hAnsi="Courier New"/>
          <w:sz w:val="15"/>
          <w:szCs w:val="15"/>
          <w:color w:val="auto"/>
        </w:rPr>
        <w:t>or acquire approximately 50 SHOWTIME original movies in 1996. SNI has entered into and plans to continue to enter into co-financing, co-production and/or distribution arrangements with other parties to reduce the net cost to SNI for all of its original movies.</w:t>
      </w:r>
    </w:p>
    <w:p>
      <w:pPr>
        <w:spacing w:after="0" w:line="176"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The cost of acquiring premium television rights to programming is the principal expense of SNI. At December 31, 1995, in addition to program acquisition commitments reflected in the Company's financial statements, SNI had commitments to acquire programming rights and original programming commitments in an aggregate amount of approximately $2 billion, most of which is payable over the next six years as part of SNI's normal programming expenditures. SNI's commitments to acquire programming rights are contingent upon delivery of motion pictures which are not yet available for premium television exhibition and, in many cases, have not yet been produced.</w:t>
      </w:r>
    </w:p>
    <w:p>
      <w:pPr>
        <w:spacing w:after="0" w:line="179"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Other Joint Ventures. USA Networks, a joint venture of the Company and MCA, Inc. ("MCA"), operates two advertiser-supported basic cable television program services in the U.S.: USA NETWORK, a general entertainment and sports channel, and the SCI-FI CHANNEL, a science fiction channel. Internationally, USA Networks operates USA NETWORK in Latin America and the SCI-FI CHANNEL in Europe. COMEDY CENTRAL, a joint venture of the Company and Home Box Office ("HBO"), a division of Time Warner, is an advertiser-supported basic cable television comedy program service. ALL NEWS CHANNEL, a joint venture of the Company and Conus Communications Company Limited Partnership, a limited partnership whose managing general partner is Hubbard Broadcasting, Inc., consists of national and international news, weather, sports and business news.</w:t>
      </w:r>
    </w:p>
    <w:p>
      <w:pPr>
        <w:spacing w:after="0" w:line="166" w:lineRule="exact"/>
        <w:rPr>
          <w:sz w:val="20"/>
          <w:szCs w:val="20"/>
          <w:color w:val="auto"/>
        </w:rPr>
      </w:pPr>
    </w:p>
    <w:p>
      <w:pPr>
        <w:ind w:right="3359" w:firstLine="705"/>
        <w:spacing w:after="0" w:line="257" w:lineRule="auto"/>
        <w:rPr>
          <w:sz w:val="20"/>
          <w:szCs w:val="20"/>
          <w:color w:val="auto"/>
        </w:rPr>
      </w:pPr>
      <w:r>
        <w:rPr>
          <w:rFonts w:ascii="Courier New" w:cs="Courier New" w:eastAsia="Courier New" w:hAnsi="Courier New"/>
          <w:sz w:val="14"/>
          <w:szCs w:val="14"/>
          <w:color w:val="auto"/>
        </w:rPr>
        <w:t>Broadcasting. The Company owns and operates 12 television stations and 12 radio stations. All of these television and radio stations operate pursuant to the Communications Act of 1934, as amended (the "Communications Act"), and licenses granted by the Federal Communications Commission ("FCC"). Under the Telecommunications Act of 1996 (the "1996 Telecommunications Act") which was signed into law on February 8, 1996 and, upon its implementation by the FCC, licenses will be renewable every eight years. Until such implementation, licenses are renewable every five years in the case of television stations and every seven years in the case of radio stations.</w:t>
      </w:r>
    </w:p>
    <w:p>
      <w:pPr>
        <w:spacing w:after="0" w:line="167"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The Company's strategy has been to acquire independent television stations in major U.S. markets to the extent advantageous in conjunction with the Company's formation of the United Paramount Network(TM) ("UPN") (see "Business--Entertainment"). The Company acquired WUPA-TV (formerly WVEU-TV), serving Atlanta, Georgia, on September 1, 1995; WPSG-TV (formerly WGBS-TV), serving Philadelphia, Pennsylvania, on August 25, 1995; WBFS-TV, serving Miami-Fort Lauderdale, Florida, on August 3, 1995; and WSBK-TV, serving Boston, Massachusetts, on March 7, 1995. The Company sold KSLA-TV, a CBS affiliated station serving Shreveport, Louisiana, on September 1, 1995; WTXF-TV, a Fox Network affiliated station serving Philadelphia, Pennsylvania, on August 25, 1995; KRRT-TV, a Fox Network affiliated station serving San Antonio, Texas, on August 3, 1995; and WLFL-TV, a Fox affiliated station serving Raleigh/Durham, North Carolina, on January 17, 1995. The table below sets forth a list of the 12 television properties owned and operated by the Company at March 1, 1996.</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7"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0"/>
        </w:trPr>
        <w:tc>
          <w:tcPr>
            <w:tcW w:w="2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40" w:type="dxa"/>
            <w:vAlign w:val="bottom"/>
          </w:tcPr>
          <w:p>
            <w:pPr>
              <w:ind w:left="220"/>
              <w:spacing w:after="0"/>
              <w:rPr>
                <w:sz w:val="20"/>
                <w:szCs w:val="20"/>
                <w:color w:val="auto"/>
              </w:rPr>
            </w:pPr>
            <w:r>
              <w:rPr>
                <w:rFonts w:ascii="Courier New" w:cs="Courier New" w:eastAsia="Courier New" w:hAnsi="Courier New"/>
                <w:sz w:val="15"/>
                <w:szCs w:val="15"/>
                <w:color w:val="auto"/>
              </w:rPr>
              <w:t>Network Affiliation and</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Station and</w:t>
            </w:r>
          </w:p>
        </w:tc>
        <w:tc>
          <w:tcPr>
            <w:tcW w:w="1040" w:type="dxa"/>
            <w:vAlign w:val="bottom"/>
          </w:tcPr>
          <w:p>
            <w:pPr>
              <w:ind w:left="260"/>
              <w:spacing w:after="0"/>
              <w:rPr>
                <w:sz w:val="20"/>
                <w:szCs w:val="20"/>
                <w:color w:val="auto"/>
              </w:rPr>
            </w:pPr>
            <w:r>
              <w:rPr>
                <w:rFonts w:ascii="Courier New" w:cs="Courier New" w:eastAsia="Courier New" w:hAnsi="Courier New"/>
                <w:sz w:val="15"/>
                <w:szCs w:val="15"/>
                <w:color w:val="auto"/>
              </w:rPr>
              <w:t>Market</w:t>
            </w:r>
          </w:p>
        </w:tc>
        <w:tc>
          <w:tcPr>
            <w:tcW w:w="840" w:type="dxa"/>
            <w:vAlign w:val="bottom"/>
          </w:tcPr>
          <w:p>
            <w:pPr>
              <w:spacing w:after="0"/>
              <w:rPr>
                <w:sz w:val="14"/>
                <w:szCs w:val="14"/>
                <w:color w:val="auto"/>
              </w:rPr>
            </w:pPr>
          </w:p>
        </w:tc>
        <w:tc>
          <w:tcPr>
            <w:tcW w:w="2440" w:type="dxa"/>
            <w:vAlign w:val="bottom"/>
          </w:tcPr>
          <w:p>
            <w:pPr>
              <w:ind w:left="220"/>
              <w:spacing w:after="0"/>
              <w:rPr>
                <w:sz w:val="20"/>
                <w:szCs w:val="20"/>
                <w:color w:val="auto"/>
              </w:rPr>
            </w:pPr>
            <w:r>
              <w:rPr>
                <w:rFonts w:ascii="Courier New" w:cs="Courier New" w:eastAsia="Courier New" w:hAnsi="Courier New"/>
                <w:sz w:val="15"/>
                <w:szCs w:val="15"/>
                <w:color w:val="auto"/>
              </w:rPr>
              <w:t>Expiration Date of</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Metropolitan Area Served*</w:t>
            </w:r>
          </w:p>
        </w:tc>
        <w:tc>
          <w:tcPr>
            <w:tcW w:w="1040" w:type="dxa"/>
            <w:vAlign w:val="bottom"/>
          </w:tcPr>
          <w:p>
            <w:pPr>
              <w:ind w:left="260"/>
              <w:spacing w:after="0"/>
              <w:rPr>
                <w:sz w:val="20"/>
                <w:szCs w:val="20"/>
                <w:color w:val="auto"/>
              </w:rPr>
            </w:pPr>
            <w:r>
              <w:rPr>
                <w:rFonts w:ascii="Courier New" w:cs="Courier New" w:eastAsia="Courier New" w:hAnsi="Courier New"/>
                <w:sz w:val="15"/>
                <w:szCs w:val="15"/>
                <w:color w:val="auto"/>
              </w:rPr>
              <w:t>Rank</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Type</w:t>
            </w:r>
          </w:p>
        </w:tc>
        <w:tc>
          <w:tcPr>
            <w:tcW w:w="2440" w:type="dxa"/>
            <w:vAlign w:val="bottom"/>
          </w:tcPr>
          <w:p>
            <w:pPr>
              <w:ind w:left="220"/>
              <w:spacing w:after="0"/>
              <w:rPr>
                <w:sz w:val="20"/>
                <w:szCs w:val="20"/>
                <w:color w:val="auto"/>
              </w:rPr>
            </w:pPr>
            <w:r>
              <w:rPr>
                <w:rFonts w:ascii="Courier New" w:cs="Courier New" w:eastAsia="Courier New" w:hAnsi="Courier New"/>
                <w:sz w:val="15"/>
                <w:szCs w:val="15"/>
                <w:color w:val="auto"/>
              </w:rPr>
              <w:t>Affiliation Agreement</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440" w:type="dxa"/>
            <w:vAlign w:val="bottom"/>
          </w:tcPr>
          <w:p>
            <w:pPr>
              <w:ind w:left="40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2820" w:type="dxa"/>
            <w:vAlign w:val="bottom"/>
          </w:tcPr>
          <w:p>
            <w:pPr>
              <w:spacing w:after="0"/>
              <w:rPr>
                <w:sz w:val="20"/>
                <w:szCs w:val="20"/>
                <w:color w:val="auto"/>
              </w:rPr>
            </w:pPr>
            <w:r>
              <w:rPr>
                <w:rFonts w:ascii="Courier New" w:cs="Courier New" w:eastAsia="Courier New" w:hAnsi="Courier New"/>
                <w:sz w:val="15"/>
                <w:szCs w:val="15"/>
                <w:color w:val="auto"/>
              </w:rPr>
              <w:t>WPSG-TV</w:t>
            </w: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170"/>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Philadelphia, PA</w:t>
            </w:r>
          </w:p>
        </w:tc>
        <w:tc>
          <w:tcPr>
            <w:tcW w:w="1040" w:type="dxa"/>
            <w:vAlign w:val="bottom"/>
          </w:tcPr>
          <w:p>
            <w:pPr>
              <w:ind w:left="260"/>
              <w:spacing w:after="0"/>
              <w:rPr>
                <w:sz w:val="20"/>
                <w:szCs w:val="20"/>
                <w:color w:val="auto"/>
              </w:rPr>
            </w:pPr>
            <w:r>
              <w:rPr>
                <w:rFonts w:ascii="Courier New" w:cs="Courier New" w:eastAsia="Courier New" w:hAnsi="Courier New"/>
                <w:sz w:val="15"/>
                <w:szCs w:val="15"/>
                <w:color w:val="auto"/>
              </w:rPr>
              <w:t>4</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UHF</w:t>
            </w:r>
          </w:p>
        </w:tc>
        <w:tc>
          <w:tcPr>
            <w:tcW w:w="2440" w:type="dxa"/>
            <w:vAlign w:val="bottom"/>
          </w:tcPr>
          <w:p>
            <w:pPr>
              <w:ind w:left="220"/>
              <w:spacing w:after="0"/>
              <w:rPr>
                <w:sz w:val="20"/>
                <w:szCs w:val="20"/>
                <w:color w:val="auto"/>
              </w:rPr>
            </w:pPr>
            <w:r>
              <w:rPr>
                <w:rFonts w:ascii="Courier New" w:cs="Courier New" w:eastAsia="Courier New" w:hAnsi="Courier New"/>
                <w:sz w:val="15"/>
                <w:szCs w:val="15"/>
                <w:color w:val="auto"/>
              </w:rPr>
              <w:t>UPN/January 16, 1998</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WSBK-TV</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70"/>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Boston, MA</w:t>
            </w:r>
          </w:p>
        </w:tc>
        <w:tc>
          <w:tcPr>
            <w:tcW w:w="1040" w:type="dxa"/>
            <w:vAlign w:val="bottom"/>
          </w:tcPr>
          <w:p>
            <w:pPr>
              <w:ind w:left="260"/>
              <w:spacing w:after="0"/>
              <w:rPr>
                <w:sz w:val="20"/>
                <w:szCs w:val="20"/>
                <w:color w:val="auto"/>
              </w:rPr>
            </w:pPr>
            <w:r>
              <w:rPr>
                <w:rFonts w:ascii="Courier New" w:cs="Courier New" w:eastAsia="Courier New" w:hAnsi="Courier New"/>
                <w:sz w:val="15"/>
                <w:szCs w:val="15"/>
                <w:color w:val="auto"/>
              </w:rPr>
              <w:t>6</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UHF</w:t>
            </w:r>
          </w:p>
        </w:tc>
        <w:tc>
          <w:tcPr>
            <w:tcW w:w="2440" w:type="dxa"/>
            <w:vAlign w:val="bottom"/>
          </w:tcPr>
          <w:p>
            <w:pPr>
              <w:ind w:left="220"/>
              <w:spacing w:after="0"/>
              <w:rPr>
                <w:sz w:val="20"/>
                <w:szCs w:val="20"/>
                <w:color w:val="auto"/>
              </w:rPr>
            </w:pPr>
            <w:r>
              <w:rPr>
                <w:rFonts w:ascii="Courier New" w:cs="Courier New" w:eastAsia="Courier New" w:hAnsi="Courier New"/>
                <w:sz w:val="15"/>
                <w:szCs w:val="15"/>
                <w:color w:val="auto"/>
              </w:rPr>
              <w:t>UPN/January 16, 1998</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WDCA-TV</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70"/>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Washington, DC</w:t>
            </w:r>
          </w:p>
        </w:tc>
        <w:tc>
          <w:tcPr>
            <w:tcW w:w="1040" w:type="dxa"/>
            <w:vAlign w:val="bottom"/>
          </w:tcPr>
          <w:p>
            <w:pPr>
              <w:ind w:left="260"/>
              <w:spacing w:after="0"/>
              <w:rPr>
                <w:sz w:val="20"/>
                <w:szCs w:val="20"/>
                <w:color w:val="auto"/>
              </w:rPr>
            </w:pPr>
            <w:r>
              <w:rPr>
                <w:rFonts w:ascii="Courier New" w:cs="Courier New" w:eastAsia="Courier New" w:hAnsi="Courier New"/>
                <w:sz w:val="15"/>
                <w:szCs w:val="15"/>
                <w:color w:val="auto"/>
              </w:rPr>
              <w:t>7</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UHF</w:t>
            </w:r>
          </w:p>
        </w:tc>
        <w:tc>
          <w:tcPr>
            <w:tcW w:w="2440" w:type="dxa"/>
            <w:vAlign w:val="bottom"/>
          </w:tcPr>
          <w:p>
            <w:pPr>
              <w:ind w:left="220"/>
              <w:spacing w:after="0"/>
              <w:rPr>
                <w:sz w:val="20"/>
                <w:szCs w:val="20"/>
                <w:color w:val="auto"/>
              </w:rPr>
            </w:pPr>
            <w:r>
              <w:rPr>
                <w:rFonts w:ascii="Courier New" w:cs="Courier New" w:eastAsia="Courier New" w:hAnsi="Courier New"/>
                <w:sz w:val="15"/>
                <w:szCs w:val="15"/>
                <w:color w:val="auto"/>
              </w:rPr>
              <w:t>UPN/January 16, 1998</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KTXA-TV</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70"/>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Dallas-Ft. Worth, TX</w:t>
            </w:r>
          </w:p>
        </w:tc>
        <w:tc>
          <w:tcPr>
            <w:tcW w:w="1040" w:type="dxa"/>
            <w:vAlign w:val="bottom"/>
          </w:tcPr>
          <w:p>
            <w:pPr>
              <w:ind w:left="260"/>
              <w:spacing w:after="0"/>
              <w:rPr>
                <w:sz w:val="20"/>
                <w:szCs w:val="20"/>
                <w:color w:val="auto"/>
              </w:rPr>
            </w:pPr>
            <w:r>
              <w:rPr>
                <w:rFonts w:ascii="Courier New" w:cs="Courier New" w:eastAsia="Courier New" w:hAnsi="Courier New"/>
                <w:sz w:val="15"/>
                <w:szCs w:val="15"/>
                <w:color w:val="auto"/>
              </w:rPr>
              <w:t>8</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UHF</w:t>
            </w:r>
          </w:p>
        </w:tc>
        <w:tc>
          <w:tcPr>
            <w:tcW w:w="2440" w:type="dxa"/>
            <w:vAlign w:val="bottom"/>
          </w:tcPr>
          <w:p>
            <w:pPr>
              <w:ind w:left="220"/>
              <w:spacing w:after="0"/>
              <w:rPr>
                <w:sz w:val="20"/>
                <w:szCs w:val="20"/>
                <w:color w:val="auto"/>
              </w:rPr>
            </w:pPr>
            <w:r>
              <w:rPr>
                <w:rFonts w:ascii="Courier New" w:cs="Courier New" w:eastAsia="Courier New" w:hAnsi="Courier New"/>
                <w:sz w:val="15"/>
                <w:szCs w:val="15"/>
                <w:color w:val="auto"/>
              </w:rPr>
              <w:t>UPN/January 16, 1998</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WKBD-TV</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70"/>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Detroit, MI</w:t>
            </w:r>
          </w:p>
        </w:tc>
        <w:tc>
          <w:tcPr>
            <w:tcW w:w="1040" w:type="dxa"/>
            <w:vAlign w:val="bottom"/>
          </w:tcPr>
          <w:p>
            <w:pPr>
              <w:ind w:left="260"/>
              <w:spacing w:after="0"/>
              <w:rPr>
                <w:sz w:val="20"/>
                <w:szCs w:val="20"/>
                <w:color w:val="auto"/>
              </w:rPr>
            </w:pPr>
            <w:r>
              <w:rPr>
                <w:rFonts w:ascii="Courier New" w:cs="Courier New" w:eastAsia="Courier New" w:hAnsi="Courier New"/>
                <w:sz w:val="15"/>
                <w:szCs w:val="15"/>
                <w:color w:val="auto"/>
              </w:rPr>
              <w:t>9</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UHF</w:t>
            </w:r>
          </w:p>
        </w:tc>
        <w:tc>
          <w:tcPr>
            <w:tcW w:w="2440" w:type="dxa"/>
            <w:vAlign w:val="bottom"/>
          </w:tcPr>
          <w:p>
            <w:pPr>
              <w:ind w:left="220"/>
              <w:spacing w:after="0"/>
              <w:rPr>
                <w:sz w:val="20"/>
                <w:szCs w:val="20"/>
                <w:color w:val="auto"/>
              </w:rPr>
            </w:pPr>
            <w:r>
              <w:rPr>
                <w:rFonts w:ascii="Courier New" w:cs="Courier New" w:eastAsia="Courier New" w:hAnsi="Courier New"/>
                <w:sz w:val="15"/>
                <w:szCs w:val="15"/>
                <w:color w:val="auto"/>
              </w:rPr>
              <w:t>UPN/January 16, 1998</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WUPA-TV</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70"/>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Atlanta, GA</w:t>
            </w:r>
          </w:p>
        </w:tc>
        <w:tc>
          <w:tcPr>
            <w:tcW w:w="1040" w:type="dxa"/>
            <w:vAlign w:val="bottom"/>
          </w:tcPr>
          <w:p>
            <w:pPr>
              <w:ind w:left="260"/>
              <w:spacing w:after="0"/>
              <w:rPr>
                <w:sz w:val="20"/>
                <w:szCs w:val="20"/>
                <w:color w:val="auto"/>
              </w:rPr>
            </w:pPr>
            <w:r>
              <w:rPr>
                <w:rFonts w:ascii="Courier New" w:cs="Courier New" w:eastAsia="Courier New" w:hAnsi="Courier New"/>
                <w:sz w:val="15"/>
                <w:szCs w:val="15"/>
                <w:color w:val="auto"/>
              </w:rPr>
              <w:t>10</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UHF</w:t>
            </w:r>
          </w:p>
        </w:tc>
        <w:tc>
          <w:tcPr>
            <w:tcW w:w="2440" w:type="dxa"/>
            <w:vAlign w:val="bottom"/>
          </w:tcPr>
          <w:p>
            <w:pPr>
              <w:ind w:left="220"/>
              <w:spacing w:after="0"/>
              <w:rPr>
                <w:sz w:val="20"/>
                <w:szCs w:val="20"/>
                <w:color w:val="auto"/>
              </w:rPr>
            </w:pPr>
            <w:r>
              <w:rPr>
                <w:rFonts w:ascii="Courier New" w:cs="Courier New" w:eastAsia="Courier New" w:hAnsi="Courier New"/>
                <w:sz w:val="15"/>
                <w:szCs w:val="15"/>
                <w:color w:val="auto"/>
              </w:rPr>
              <w:t>UPN/January 16, 1998</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KTXH-TV</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70"/>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Houston, TX</w:t>
            </w:r>
          </w:p>
        </w:tc>
        <w:tc>
          <w:tcPr>
            <w:tcW w:w="1040" w:type="dxa"/>
            <w:vAlign w:val="bottom"/>
          </w:tcPr>
          <w:p>
            <w:pPr>
              <w:ind w:left="260"/>
              <w:spacing w:after="0"/>
              <w:rPr>
                <w:sz w:val="20"/>
                <w:szCs w:val="20"/>
                <w:color w:val="auto"/>
              </w:rPr>
            </w:pPr>
            <w:r>
              <w:rPr>
                <w:rFonts w:ascii="Courier New" w:cs="Courier New" w:eastAsia="Courier New" w:hAnsi="Courier New"/>
                <w:sz w:val="15"/>
                <w:szCs w:val="15"/>
                <w:color w:val="auto"/>
              </w:rPr>
              <w:t>11</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UHF</w:t>
            </w:r>
          </w:p>
        </w:tc>
        <w:tc>
          <w:tcPr>
            <w:tcW w:w="2440" w:type="dxa"/>
            <w:vAlign w:val="bottom"/>
          </w:tcPr>
          <w:p>
            <w:pPr>
              <w:ind w:left="220"/>
              <w:spacing w:after="0"/>
              <w:rPr>
                <w:sz w:val="20"/>
                <w:szCs w:val="20"/>
                <w:color w:val="auto"/>
              </w:rPr>
            </w:pPr>
            <w:r>
              <w:rPr>
                <w:rFonts w:ascii="Courier New" w:cs="Courier New" w:eastAsia="Courier New" w:hAnsi="Courier New"/>
                <w:sz w:val="15"/>
                <w:szCs w:val="15"/>
                <w:color w:val="auto"/>
              </w:rPr>
              <w:t>UPN/January 16, 1998</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WBFS-TV</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70"/>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Miami-Ft. Lauderdale, FL</w:t>
            </w:r>
          </w:p>
        </w:tc>
        <w:tc>
          <w:tcPr>
            <w:tcW w:w="1040" w:type="dxa"/>
            <w:vAlign w:val="bottom"/>
          </w:tcPr>
          <w:p>
            <w:pPr>
              <w:ind w:left="260"/>
              <w:spacing w:after="0"/>
              <w:rPr>
                <w:sz w:val="20"/>
                <w:szCs w:val="20"/>
                <w:color w:val="auto"/>
              </w:rPr>
            </w:pPr>
            <w:r>
              <w:rPr>
                <w:rFonts w:ascii="Courier New" w:cs="Courier New" w:eastAsia="Courier New" w:hAnsi="Courier New"/>
                <w:sz w:val="15"/>
                <w:szCs w:val="15"/>
                <w:color w:val="auto"/>
              </w:rPr>
              <w:t>16</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UHF</w:t>
            </w:r>
          </w:p>
        </w:tc>
        <w:tc>
          <w:tcPr>
            <w:tcW w:w="2440" w:type="dxa"/>
            <w:vAlign w:val="bottom"/>
          </w:tcPr>
          <w:p>
            <w:pPr>
              <w:ind w:left="220"/>
              <w:spacing w:after="0"/>
              <w:rPr>
                <w:sz w:val="20"/>
                <w:szCs w:val="20"/>
                <w:color w:val="auto"/>
              </w:rPr>
            </w:pPr>
            <w:r>
              <w:rPr>
                <w:rFonts w:ascii="Courier New" w:cs="Courier New" w:eastAsia="Courier New" w:hAnsi="Courier New"/>
                <w:sz w:val="15"/>
                <w:szCs w:val="15"/>
                <w:color w:val="auto"/>
              </w:rPr>
              <w:t>UPN/January 16, 1998</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KMOV-TV</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70"/>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St. Louis, MO</w:t>
            </w:r>
          </w:p>
        </w:tc>
        <w:tc>
          <w:tcPr>
            <w:tcW w:w="1040" w:type="dxa"/>
            <w:vAlign w:val="bottom"/>
          </w:tcPr>
          <w:p>
            <w:pPr>
              <w:ind w:left="260"/>
              <w:spacing w:after="0"/>
              <w:rPr>
                <w:sz w:val="20"/>
                <w:szCs w:val="20"/>
                <w:color w:val="auto"/>
              </w:rPr>
            </w:pPr>
            <w:r>
              <w:rPr>
                <w:rFonts w:ascii="Courier New" w:cs="Courier New" w:eastAsia="Courier New" w:hAnsi="Courier New"/>
                <w:sz w:val="15"/>
                <w:szCs w:val="15"/>
                <w:color w:val="auto"/>
              </w:rPr>
              <w:t>20</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VHF</w:t>
            </w:r>
          </w:p>
        </w:tc>
        <w:tc>
          <w:tcPr>
            <w:tcW w:w="2440" w:type="dxa"/>
            <w:vAlign w:val="bottom"/>
          </w:tcPr>
          <w:p>
            <w:pPr>
              <w:ind w:left="220"/>
              <w:spacing w:after="0"/>
              <w:rPr>
                <w:sz w:val="20"/>
                <w:szCs w:val="20"/>
                <w:color w:val="auto"/>
              </w:rPr>
            </w:pPr>
            <w:r>
              <w:rPr>
                <w:rFonts w:ascii="Courier New" w:cs="Courier New" w:eastAsia="Courier New" w:hAnsi="Courier New"/>
                <w:sz w:val="15"/>
                <w:szCs w:val="15"/>
                <w:color w:val="auto"/>
              </w:rPr>
              <w:t>CBS/December 31, 1996</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WVIT-TV</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70"/>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Hartford-New Haven, CT</w:t>
            </w:r>
          </w:p>
        </w:tc>
        <w:tc>
          <w:tcPr>
            <w:tcW w:w="1040" w:type="dxa"/>
            <w:vAlign w:val="bottom"/>
          </w:tcPr>
          <w:p>
            <w:pPr>
              <w:ind w:left="260"/>
              <w:spacing w:after="0"/>
              <w:rPr>
                <w:sz w:val="20"/>
                <w:szCs w:val="20"/>
                <w:color w:val="auto"/>
              </w:rPr>
            </w:pPr>
            <w:r>
              <w:rPr>
                <w:rFonts w:ascii="Courier New" w:cs="Courier New" w:eastAsia="Courier New" w:hAnsi="Courier New"/>
                <w:sz w:val="15"/>
                <w:szCs w:val="15"/>
                <w:color w:val="auto"/>
              </w:rPr>
              <w:t>26</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UHF</w:t>
            </w:r>
          </w:p>
        </w:tc>
        <w:tc>
          <w:tcPr>
            <w:tcW w:w="2440" w:type="dxa"/>
            <w:vAlign w:val="bottom"/>
          </w:tcPr>
          <w:p>
            <w:pPr>
              <w:ind w:left="220"/>
              <w:spacing w:after="0"/>
              <w:rPr>
                <w:sz w:val="20"/>
                <w:szCs w:val="20"/>
                <w:color w:val="auto"/>
              </w:rPr>
            </w:pPr>
            <w:r>
              <w:rPr>
                <w:rFonts w:ascii="Courier New" w:cs="Courier New" w:eastAsia="Courier New" w:hAnsi="Courier New"/>
                <w:sz w:val="15"/>
                <w:szCs w:val="15"/>
                <w:color w:val="auto"/>
              </w:rPr>
              <w:t>NBC/February 1, 2002</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WNYT-TV</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70"/>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Albany-Schenectady-Troy, NY</w:t>
            </w:r>
          </w:p>
        </w:tc>
        <w:tc>
          <w:tcPr>
            <w:tcW w:w="1040" w:type="dxa"/>
            <w:vAlign w:val="bottom"/>
          </w:tcPr>
          <w:p>
            <w:pPr>
              <w:ind w:left="260"/>
              <w:spacing w:after="0"/>
              <w:rPr>
                <w:sz w:val="20"/>
                <w:szCs w:val="20"/>
                <w:color w:val="auto"/>
              </w:rPr>
            </w:pPr>
            <w:r>
              <w:rPr>
                <w:rFonts w:ascii="Courier New" w:cs="Courier New" w:eastAsia="Courier New" w:hAnsi="Courier New"/>
                <w:sz w:val="15"/>
                <w:szCs w:val="15"/>
                <w:color w:val="auto"/>
              </w:rPr>
              <w:t>52</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VHF</w:t>
            </w:r>
          </w:p>
        </w:tc>
        <w:tc>
          <w:tcPr>
            <w:tcW w:w="2440" w:type="dxa"/>
            <w:vAlign w:val="bottom"/>
          </w:tcPr>
          <w:p>
            <w:pPr>
              <w:ind w:left="220"/>
              <w:spacing w:after="0"/>
              <w:rPr>
                <w:sz w:val="20"/>
                <w:szCs w:val="20"/>
                <w:color w:val="auto"/>
              </w:rPr>
            </w:pPr>
            <w:r>
              <w:rPr>
                <w:rFonts w:ascii="Courier New" w:cs="Courier New" w:eastAsia="Courier New" w:hAnsi="Courier New"/>
                <w:sz w:val="15"/>
                <w:szCs w:val="15"/>
                <w:color w:val="auto"/>
              </w:rPr>
              <w:t>NBC/February 1, 2002</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WHEC-TV</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70"/>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Rochester, NY</w:t>
            </w:r>
          </w:p>
        </w:tc>
        <w:tc>
          <w:tcPr>
            <w:tcW w:w="1040" w:type="dxa"/>
            <w:vAlign w:val="bottom"/>
          </w:tcPr>
          <w:p>
            <w:pPr>
              <w:ind w:left="260"/>
              <w:spacing w:after="0"/>
              <w:rPr>
                <w:sz w:val="20"/>
                <w:szCs w:val="20"/>
                <w:color w:val="auto"/>
              </w:rPr>
            </w:pPr>
            <w:r>
              <w:rPr>
                <w:rFonts w:ascii="Courier New" w:cs="Courier New" w:eastAsia="Courier New" w:hAnsi="Courier New"/>
                <w:sz w:val="15"/>
                <w:szCs w:val="15"/>
                <w:color w:val="auto"/>
              </w:rPr>
              <w:t>71</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VHF</w:t>
            </w:r>
          </w:p>
        </w:tc>
        <w:tc>
          <w:tcPr>
            <w:tcW w:w="2440" w:type="dxa"/>
            <w:vAlign w:val="bottom"/>
          </w:tcPr>
          <w:p>
            <w:pPr>
              <w:ind w:left="220"/>
              <w:spacing w:after="0"/>
              <w:rPr>
                <w:sz w:val="20"/>
                <w:szCs w:val="20"/>
                <w:color w:val="auto"/>
              </w:rPr>
            </w:pPr>
            <w:r>
              <w:rPr>
                <w:rFonts w:ascii="Courier New" w:cs="Courier New" w:eastAsia="Courier New" w:hAnsi="Courier New"/>
                <w:sz w:val="15"/>
                <w:szCs w:val="15"/>
                <w:color w:val="auto"/>
              </w:rPr>
              <w:t>NBC/February 1, 2002</w:t>
            </w: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*Metropolitan Areas Served are A.C. Nielsen Company's Designated Market Areas</w:t>
      </w:r>
    </w:p>
    <w:p>
      <w:pPr>
        <w:spacing w:after="0" w:line="175" w:lineRule="exact"/>
        <w:rPr>
          <w:sz w:val="20"/>
          <w:szCs w:val="20"/>
          <w:color w:val="auto"/>
        </w:rPr>
      </w:pPr>
    </w:p>
    <w:p>
      <w:pPr>
        <w:ind w:right="3179" w:firstLine="705"/>
        <w:spacing w:after="0" w:line="256" w:lineRule="auto"/>
        <w:rPr>
          <w:sz w:val="20"/>
          <w:szCs w:val="20"/>
          <w:color w:val="auto"/>
        </w:rPr>
      </w:pPr>
      <w:r>
        <w:rPr>
          <w:rFonts w:ascii="Courier New" w:cs="Courier New" w:eastAsia="Courier New" w:hAnsi="Courier New"/>
          <w:sz w:val="14"/>
          <w:szCs w:val="14"/>
          <w:color w:val="auto"/>
        </w:rPr>
        <w:t>The Company owns and operates the following 12 radio stations: WLTW-FM, serving New York, New York (Adult Contemporary); KYSR-FM and KXEZ-FM, each serving Los Angeles, California (Adult Contemporary); WLIT-FM, serving Chicago, Illinois (Adult Contemporary); WLTI-FM, serving Detroit, Michigan (Adult Contemporary), WMZQ-AM/FM (Country), WJZW-FM (Jazz) and WBZS-AM (Business News), each serving Washington, D.C.; KBSG-AM/FM, serving Seattle/Tacoma, Washington (Oldies); and KNDD-FM, serving Seattle, Washington (Modern Rock). The Company has undertaken to divest two stations in the Washington, D.C. market as a result of multiple ownership issues arising from the acquisition of Paramount Communications (see "Business--Regulation--Broadcasting"). The Company has requested a temporary waiver of this obligation from the FCC until such time</w:t>
      </w:r>
    </w:p>
    <w:p>
      <w:pPr>
        <w:spacing w:after="0" w:line="4"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as the FCC completes its pending review of local ownership limitations. Depending on the outcome of that review, the Company may request a permanent waiver of this undertaking. In March 1996, the Company entered into agreements which will result in the exchange of KBSG-AM/FM and KNDD-FM for WAXQ-FM, serving New York, New York. On March 22, 1995, the Company sold KSOL-FM, serving San Francisco, California, and KYLZ-FM, serving Santa Cruz/San Jose, California.</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22"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Entertainment</w:t>
      </w:r>
    </w:p>
    <w:p>
      <w:pPr>
        <w:spacing w:after="0" w:line="175" w:lineRule="exact"/>
        <w:rPr>
          <w:sz w:val="20"/>
          <w:szCs w:val="20"/>
          <w:color w:val="auto"/>
        </w:rPr>
      </w:pPr>
    </w:p>
    <w:p>
      <w:pPr>
        <w:ind w:right="3259" w:firstLine="705"/>
        <w:spacing w:after="0" w:line="237" w:lineRule="auto"/>
        <w:rPr>
          <w:sz w:val="20"/>
          <w:szCs w:val="20"/>
          <w:color w:val="auto"/>
        </w:rPr>
      </w:pPr>
      <w:r>
        <w:rPr>
          <w:rFonts w:ascii="Courier New" w:cs="Courier New" w:eastAsia="Courier New" w:hAnsi="Courier New"/>
          <w:sz w:val="15"/>
          <w:szCs w:val="15"/>
          <w:color w:val="auto"/>
        </w:rPr>
        <w:t>The Entertainment segment's principal businesses are the production and distribution of motion pictures and television programming as well as movie theater operations and new media and interactive services.</w:t>
      </w:r>
    </w:p>
    <w:p>
      <w:pPr>
        <w:spacing w:after="0" w:line="175"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Theatrical Motion Pictures. Through PARAMOUNT PICTURES, the Company produces, finances and distributes feature motion pictures. Motion pictures are produced by PARAMOUNT PICTURES, produced by independent producers and financed in whole or in part by PARAMOUNT PICTURES, or produced by others and distributed by PARAMOUNT PICTURES. Each picture is a separate and distinct product with its financial success dependent upon many factors, among which cost and public response are of fundamental importance. The normal distribution cycle of motion pictures produced or acquired for distribution by PARAMOUNT PICTURES is exhibition in U.S. and foreign theaters followed by videocassettes and discs, pay-per-view television, premium subscription television, network television, and basic cable television and syndicated television exploitation. During 1995, PARAMOUNT PICTURES theatrically released 14 feature motion pictures in the U.S., including, BRAVEHEART, winner of five Academy Awards including "Best Picture", CONGO, CLUELESS, THE BRADY BUNCH MOVIE and SABRINA. PARAMOUNT PICTURES plans to release approximately 20 films in 1996, including MISSION: IMPOSSIBLE, STAR TREK GENERATIONS II, THE GHOST AND THE DARKNESS, PRIMAL FEAR, BEAVIS AND BUTT-HEAD and HARRIET THE SPY, which is being co-produced with NICKELODEON.</w:t>
      </w:r>
    </w:p>
    <w:p>
      <w:pPr>
        <w:spacing w:after="0" w:line="164"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In seeking to maximize PARAMOUNT PICTURES' output while limiting its financial exposure, the Company has from time to time entered into agreements to distribute films produced and/or financed, in whole or in part, with other parties. For example, entities associated with the Company have agreements with companies with which Michael Douglas and Steven Reuther are associated for the production and/or financing of 12 films over a term of no less than four years. PARAMOUNT PICTURES also has an agreement with Lakeshore Entertainment Corporation ("Lakeshore") for the distribution by PARAMOUNT PICTURES of 15 films to be produced by Lakeshore over five years.</w:t>
      </w:r>
    </w:p>
    <w:p>
      <w:pPr>
        <w:spacing w:after="0" w:line="179"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PARAMOUNT PICTURES generally distributes its motion pictures for theatrical release outside the U.S. and Canada through United International Pictures ("UIP"), a company owned by entities associated with the Company, MGM and MCA. PARAMOUNT PICTURES distributes its motion pictures on videocassette and disc in the U.S. and Canada through PARAMOUNT HOME VIDEO and outside the U.S. and Canada, generally through Cinema International B.V., a joint venture of entities associated with the Company and MCA. PARAMOUNT PICTURES has an exclusive premium subscription television agreement with HBO for exhibition of PARAMOUNT PICTURES' new releases on U.S. premium subscription television, which includes new PARAMOUNT PICTURES motion pictures released theatrically through December 1997. PARAMOUNT PICTURES has licensed to SNI for exhibition on SHOWTIME and THE MOVIE CHANNEL the exclusive U.S. premium subscription television rights to up to 196 of PARAMOUNT PICTURES' feature films, commencing with feature films initially theatrically released in the U.S. in 1998 for a minimum seven-year period, as well as 300 titles from its film library. PARAMOUNT PICTURES also distributes its motion pictures for premium subscription television release</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22" w:right="1440" w:bottom="1440" w:gutter="0" w:footer="0" w:header="0"/>
        </w:sectPr>
      </w:pPr>
    </w:p>
    <w:bookmarkStart w:id="10" w:name="page11"/>
    <w:bookmarkEnd w:id="10"/>
    <w:p>
      <w:pPr>
        <w:ind w:right="3179"/>
        <w:spacing w:after="0" w:line="238" w:lineRule="auto"/>
        <w:rPr>
          <w:sz w:val="20"/>
          <w:szCs w:val="20"/>
          <w:color w:val="auto"/>
        </w:rPr>
      </w:pPr>
      <w:r>
        <w:rPr>
          <w:rFonts w:ascii="Courier New" w:cs="Courier New" w:eastAsia="Courier New" w:hAnsi="Courier New"/>
          <w:sz w:val="15"/>
          <w:szCs w:val="15"/>
          <w:color w:val="auto"/>
        </w:rPr>
        <w:t>outside the U.S. and Canada, in part through UIP, and licenses its motion pictures to home and hotel/motel pay-per-view, airlines, schools and universities. In addition, PARAMOUNT PICTURES is a joint venture partner in HBO Pacific Partners C.V., Latin American Pay Television Service, VOF, Telecine Programacao de Filmes Ltda., Pay-TV Movies Australia and Star Channel, which are premium television services in Asia, Spanish-speaking Latin America, Brazil, Australia and Japan, respectively. UIP and United Cinemas International ("UCI", as described below) are the subject of governmental inquiries by the Commission of the European Community ("EC").</w:t>
      </w:r>
    </w:p>
    <w:p>
      <w:pPr>
        <w:spacing w:after="0" w:line="179"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In addition to premium subscription television, most motion pictures are also licensed for exhibition on broadcast and basic cable television, with fees generally collected in installments. All of the above license fees for television exhibition (including international and U.S. premium television and basic cable television) are recorded as revenue in the year that the films are available for such exhibition, which, among other reasons, may cause substantial fluctuation in PARAMOUNT PICTURES' operating results. At December 31, 1995, the unrecognized revenues attributable to such licensing of completed films from PARAMOUNT PICTURES' license agreements were approximately $639.3 million. PARAMOUNT PICTURES has approximately 900 motion pictures in its library.</w:t>
      </w:r>
    </w:p>
    <w:p>
      <w:pPr>
        <w:spacing w:after="0" w:line="166"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Television Production and Syndication. The Company also produces, acquires and distributes series, miniseries, specials and made-for-television movies primarily for network television, first-run syndication, and basic cable television. As a result of the Blockbuster Merger, the Company now owns approximately 75% of SPELLING, which includes SPELLING TELEVISION(TM), REPUBLIC PICTURES(TM) and WORLDVISION ENTERPRISES(TM) ("WORLDVISION"). The Company is currently exploring the sale of SPELLING and the related purchase of SPELLING's subsidiary, VIRGIN INTERACTIVE(TM).</w:t>
      </w:r>
    </w:p>
    <w:p>
      <w:pPr>
        <w:spacing w:after="0" w:line="178" w:lineRule="exact"/>
        <w:rPr>
          <w:sz w:val="20"/>
          <w:szCs w:val="20"/>
          <w:color w:val="auto"/>
        </w:rPr>
      </w:pPr>
    </w:p>
    <w:p>
      <w:pPr>
        <w:ind w:right="3359" w:firstLine="705"/>
        <w:spacing w:after="0" w:line="238" w:lineRule="auto"/>
        <w:rPr>
          <w:sz w:val="20"/>
          <w:szCs w:val="20"/>
          <w:color w:val="auto"/>
        </w:rPr>
      </w:pPr>
      <w:r>
        <w:rPr>
          <w:rFonts w:ascii="Courier New" w:cs="Courier New" w:eastAsia="Courier New" w:hAnsi="Courier New"/>
          <w:sz w:val="15"/>
          <w:szCs w:val="15"/>
          <w:color w:val="auto"/>
        </w:rPr>
        <w:t>The Company's current network programming includes FRASIER(R), WINGS(TM), ALMOST PERFECT(TM), THE HOME COURT(TM), LEEZA(TM), SISTER, SISTER(TM), JAG(TM), DIAGNOSIS MURDER(TM) and GOOD COMPANY(TM), and through SPELLING, BEVERLY HILLS, 90210(TM), MELROSE PLACE(TM), MALIBU SHORES(TM) and SAVANNAH(TM). Generally, a network will license a specified number of episodes for exhibition on the network in the U.S. during the license period. All other distribution rights, including foreign and off-network syndication rights, are typically retained by the Company. The episodic license fee is normally less than the Company's and SPELLING's respective costs of producing each series episode; however, in many cases, the Company has been successful in obtaining international sales through its and SPELLING's respective syndication operations. Foreign sales are generally concurrent with U.S. network runs. Generally, a series must have a network run of at least four years to be successfully sold in syndication.</w:t>
      </w:r>
    </w:p>
    <w:p>
      <w:pPr>
        <w:spacing w:after="0" w:line="184" w:lineRule="exact"/>
        <w:rPr>
          <w:sz w:val="20"/>
          <w:szCs w:val="20"/>
          <w:color w:val="auto"/>
        </w:rPr>
      </w:pPr>
    </w:p>
    <w:p>
      <w:pPr>
        <w:ind w:right="3259" w:firstLine="705"/>
        <w:spacing w:after="0" w:line="257" w:lineRule="auto"/>
        <w:rPr>
          <w:sz w:val="20"/>
          <w:szCs w:val="20"/>
          <w:color w:val="auto"/>
        </w:rPr>
      </w:pPr>
      <w:r>
        <w:rPr>
          <w:rFonts w:ascii="Courier New" w:cs="Courier New" w:eastAsia="Courier New" w:hAnsi="Courier New"/>
          <w:sz w:val="14"/>
          <w:szCs w:val="14"/>
          <w:color w:val="auto"/>
        </w:rPr>
        <w:t>The Company produces and/or distributes original television programming for first-run syndication which it sells directly to television stations in the U.S. on a market-by-market basis. The Company sells its programs to television stations for cash, advertising time or a combination of both. The Company's first-run syndicated programming includes such shows as STAR TREK: DEEP SPACE NINE(R), ENTERTAINMENT TONIGHT(R), HARD COPY(R), SIGHTINGS(R), THE MAURY POVICH SHOW(R), THE MONTEL WILLIAMS SHOW(TM) and beginning in 1996, REAL TV(TM) and</w:t>
      </w:r>
    </w:p>
    <w:p>
      <w:pPr>
        <w:spacing w:after="0" w:line="1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27" w:right="1440" w:bottom="1440" w:gutter="0" w:footer="0" w:header="0"/>
        </w:sectPr>
      </w:pPr>
    </w:p>
    <w:bookmarkStart w:id="11" w:name="page12"/>
    <w:bookmarkEnd w:id="11"/>
    <w:p>
      <w:pPr>
        <w:ind w:right="3259"/>
        <w:spacing w:after="0" w:line="238" w:lineRule="auto"/>
        <w:rPr>
          <w:sz w:val="20"/>
          <w:szCs w:val="20"/>
          <w:color w:val="auto"/>
        </w:rPr>
      </w:pPr>
      <w:r>
        <w:rPr>
          <w:rFonts w:ascii="Courier New" w:cs="Courier New" w:eastAsia="Courier New" w:hAnsi="Courier New"/>
          <w:sz w:val="15"/>
          <w:szCs w:val="15"/>
          <w:color w:val="auto"/>
        </w:rPr>
        <w:t>VIPER. In early 1995, PARAMOUNT PICTURES entered into an agreement with The Procter &amp; Gamble Company ("P&amp;G") pursuant to which P&amp;G will co-finance certain network and first-run syndicated programming produced by PARAMOUNT PICTURES during the three year term of the agreement. Later in 1995, PARAMOUNT PICTURES and P&amp;G announced a strategic alliance with NBC to develop and produce programs for network series, first-run syndication and international distribution, pursuant to which NBC has been granted specific "first-look" rights and has agreed to multiple series commitments.</w:t>
      </w:r>
    </w:p>
    <w:p>
      <w:pPr>
        <w:spacing w:after="0" w:line="178"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The Company produces original programming, including STAR TREK: VOYAGER(R) and THE SENTINEL(TM), for UPN. UPN launched on January 16, 1995 in approximately 96 U.S. television markets, providing its affiliates a two-hour prime-time programming block two nights a week. At December 31, 1995, UPN had affiliates in approximately 151 U.S. television markets. On March 6, 1996, UPN added an additional night of two hours of prime-time programming. UPN is currently 100% owned by subsidiaries of BHC Communications, Inc. ("BHC"), an affiliate of Chris Craft Industries, Inc. The Company has an option exercisable through January 15, 1997 to acquire an interest in UPN equal to that of BHC and its subsidiaries for a price equivalent to approximately one-half of BHC's aggregated cash contributions to UPN through the exercise date, plus market-based interest.</w:t>
      </w:r>
    </w:p>
    <w:p>
      <w:pPr>
        <w:spacing w:after="0" w:line="182" w:lineRule="exact"/>
        <w:rPr>
          <w:sz w:val="20"/>
          <w:szCs w:val="20"/>
          <w:color w:val="auto"/>
        </w:rPr>
      </w:pPr>
    </w:p>
    <w:p>
      <w:pPr>
        <w:ind w:right="3359" w:firstLine="705"/>
        <w:spacing w:after="0" w:line="238" w:lineRule="auto"/>
        <w:rPr>
          <w:sz w:val="20"/>
          <w:szCs w:val="20"/>
          <w:color w:val="auto"/>
        </w:rPr>
      </w:pPr>
      <w:r>
        <w:rPr>
          <w:rFonts w:ascii="Courier New" w:cs="Courier New" w:eastAsia="Courier New" w:hAnsi="Courier New"/>
          <w:sz w:val="15"/>
          <w:szCs w:val="15"/>
          <w:color w:val="auto"/>
        </w:rPr>
        <w:t>The Company distributes its television programming to basic cable program services such as USA NETWORK. On November 1, 1995, PARAMOUNT PICTURES and NICKELODEON, in a joint venture with BSkyB, launched THE PARAMOUNT CHANNEL in the U.K., which features comedies, dramas, light documentaries and films during the daypart following the NICKELODEON in the U.K. program segment. PARAMOUNT PICTURES is also a joint venture partner in TV1 Australia, a basic cable channel in Australia.</w:t>
      </w:r>
    </w:p>
    <w:p>
      <w:pPr>
        <w:spacing w:after="0" w:line="177"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The Company distributes or syndicates television series, feature films, made-for-television movies, miniseries and specials for television exhibition in domestic and/or international broadcast, cable and other marketplaces. Feature film and television properties distributed by the Company are produced by the Company and/or SPELLING or acquired from third parties. Third-party agreements for the acquisition of distribution rights are generally long-term and exclusive in nature; such agreements frequently guarantee a minimum recoupable advance payment to such third parties and generally provide for periodic payment to such third parties based on the amount of revenues derived from distribution activities after deduction of the Company's distribution fee, recoupment of distribution expenses and recoupment of any advance payments.</w:t>
      </w:r>
    </w:p>
    <w:p>
      <w:pPr>
        <w:spacing w:after="0" w:line="166" w:lineRule="exact"/>
        <w:rPr>
          <w:sz w:val="20"/>
          <w:szCs w:val="20"/>
          <w:color w:val="auto"/>
        </w:rPr>
      </w:pPr>
    </w:p>
    <w:p>
      <w:pPr>
        <w:ind w:right="3359" w:firstLine="705"/>
        <w:spacing w:after="0" w:line="238" w:lineRule="auto"/>
        <w:rPr>
          <w:sz w:val="20"/>
          <w:szCs w:val="20"/>
          <w:color w:val="auto"/>
        </w:rPr>
      </w:pPr>
      <w:r>
        <w:rPr>
          <w:rFonts w:ascii="Courier New" w:cs="Courier New" w:eastAsia="Courier New" w:hAnsi="Courier New"/>
          <w:sz w:val="15"/>
          <w:szCs w:val="15"/>
          <w:color w:val="auto"/>
        </w:rPr>
        <w:t>The receipt and recognition of revenues for license fees for completed television programming in syndication and on basic cable is similar to that of feature films exhibited on television and, consequently, operating results are subject to substantial fluctuation. At December 31, 1995, the unrecognized revenues attributable to television program license agreements were approximately $502.7 million.</w:t>
      </w:r>
    </w:p>
    <w:p>
      <w:pPr>
        <w:spacing w:after="0" w:line="176" w:lineRule="exact"/>
        <w:rPr>
          <w:sz w:val="20"/>
          <w:szCs w:val="20"/>
          <w:color w:val="auto"/>
        </w:rPr>
      </w:pPr>
    </w:p>
    <w:p>
      <w:pPr>
        <w:ind w:right="3179" w:firstLine="705"/>
        <w:spacing w:after="0" w:line="260" w:lineRule="auto"/>
        <w:rPr>
          <w:sz w:val="20"/>
          <w:szCs w:val="20"/>
          <w:color w:val="auto"/>
        </w:rPr>
      </w:pPr>
      <w:r>
        <w:rPr>
          <w:rFonts w:ascii="Courier New" w:cs="Courier New" w:eastAsia="Courier New" w:hAnsi="Courier New"/>
          <w:sz w:val="14"/>
          <w:szCs w:val="14"/>
          <w:color w:val="auto"/>
        </w:rPr>
        <w:t>Theatrical Exhibition. The Company's movie theater operations consist primarily of FAMOUS PLAYERS(R) in Canada, UCI and FILMS PARAMOUNT(TM) in Europe, and CINAMERICA(TM) in the Western U.S. UCI, a 50%-owned joint venture of</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27" w:right="1440" w:bottom="1440" w:gutter="0" w:footer="0" w:header="0"/>
        </w:sectPr>
      </w:pPr>
    </w:p>
    <w:bookmarkStart w:id="12" w:name="page13"/>
    <w:bookmarkEnd w:id="12"/>
    <w:p>
      <w:pPr>
        <w:ind w:right="3179"/>
        <w:spacing w:after="0" w:line="237" w:lineRule="auto"/>
        <w:rPr>
          <w:sz w:val="20"/>
          <w:szCs w:val="20"/>
          <w:color w:val="auto"/>
        </w:rPr>
      </w:pPr>
      <w:r>
        <w:rPr>
          <w:rFonts w:ascii="Courier New" w:cs="Courier New" w:eastAsia="Courier New" w:hAnsi="Courier New"/>
          <w:sz w:val="15"/>
          <w:szCs w:val="15"/>
          <w:color w:val="auto"/>
        </w:rPr>
        <w:t>entities associated with the Company and MCA, operates theaters in the U.K., Ireland, Germany, Austria and Spain. CINAMERICA, a 50%-owned joint venture of entities associated with the Company and Time Warner Inc., includes MANN(TM) and FESTIVAL(TM) Theaters, and operates 371 screens in 66 theaters in California, Colorado, Arizona and Alaska.</w:t>
      </w:r>
    </w:p>
    <w:p>
      <w:pPr>
        <w:spacing w:after="0" w:line="178" w:lineRule="exact"/>
        <w:rPr>
          <w:sz w:val="20"/>
          <w:szCs w:val="20"/>
          <w:color w:val="auto"/>
        </w:rPr>
      </w:pPr>
    </w:p>
    <w:p>
      <w:pPr>
        <w:ind w:right="3179" w:firstLine="705"/>
        <w:spacing w:after="0" w:line="256" w:lineRule="auto"/>
        <w:rPr>
          <w:sz w:val="20"/>
          <w:szCs w:val="20"/>
          <w:color w:val="auto"/>
        </w:rPr>
      </w:pPr>
      <w:r>
        <w:rPr>
          <w:rFonts w:ascii="Courier New" w:cs="Courier New" w:eastAsia="Courier New" w:hAnsi="Courier New"/>
          <w:sz w:val="14"/>
          <w:szCs w:val="14"/>
          <w:color w:val="auto"/>
        </w:rPr>
        <w:t>New Media and Interactive Services. VIACOM INTERACTIVE MEDIA(TM) is comprised of VIACOM NEW MEDIA(TM) and VIACOM INTERACTIVE SERVICES(TM). VIACOM NEW MEDIA develops and publishes interactive entertainment software for personal computers and video game consoles on a wide variety of platforms. VIACOM NEW MEDIA derives its content from brands and franchises developed by the Company's business units, including MTV NETWORKS and PARAMOUNT TELEVISION, and also secures outside licenses and original titles. In 1995, VIACOM NEW MEDIA released 11 titles, some of which were released for multiple platforms; the titles represent 23 stock keeping units ("sku's"; a title in each platform is a distinct sku). VIACOM INTERACTIVE SERVICES collaborates with the Company's various business units to develop their respective on-line and interactive television environments. In 1995, PARAMOUNT DIGITAL ENTERTAINMENT(TM) was formed to exploit various PARAMOUNT-owned and other properties on-line, and this unit entered into an agreement with The Microsoft Network to establish STAR TREK(R) and ENTERTAINMENT TONIGHT(TM) sites on Microsoft Corporation's on-line service in 1996. VIRGIN INTERACTIVE, a subsidiary of SPELLING, develops and publishes interactive entertainment software for personal computers and video game consoles on a wide variety of platforms, and distributes products in approximately 30 countries. The Company is currently exploring the purchase of VIRGIN INTERACTIVE and the related sale of SPELLING. In 1995, VIRGIN INTERACTIVE released 41 titles, including THE 11th HOUR: THE SEQUEL TO THE 7TH GUEST, COMMAND &amp; CONQUER, and AGILE WARRIOR: F-111, some of which were released for multiple platforms. These 1995 titles represent 50 sku's.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Video and Music/Theme Parks</w:t>
      </w:r>
    </w:p>
    <w:p>
      <w:pPr>
        <w:spacing w:after="0" w:line="175" w:lineRule="exact"/>
        <w:rPr>
          <w:sz w:val="20"/>
          <w:szCs w:val="20"/>
          <w:color w:val="auto"/>
        </w:rPr>
      </w:pPr>
    </w:p>
    <w:p>
      <w:pPr>
        <w:ind w:right="3179" w:firstLine="705"/>
        <w:spacing w:after="0" w:line="237" w:lineRule="auto"/>
        <w:rPr>
          <w:sz w:val="20"/>
          <w:szCs w:val="20"/>
          <w:color w:val="auto"/>
        </w:rPr>
      </w:pPr>
      <w:r>
        <w:rPr>
          <w:rFonts w:ascii="Courier New" w:cs="Courier New" w:eastAsia="Courier New" w:hAnsi="Courier New"/>
          <w:sz w:val="15"/>
          <w:szCs w:val="15"/>
          <w:color w:val="auto"/>
        </w:rPr>
        <w:t>The Company operates in the home video retailing and rental business and music retailing business through its BLOCKBUSTER ENTERTAINMENT GROUP ("BLOCKBUSTER").</w:t>
      </w:r>
    </w:p>
    <w:p>
      <w:pPr>
        <w:spacing w:after="0" w:line="175" w:lineRule="exact"/>
        <w:rPr>
          <w:sz w:val="20"/>
          <w:szCs w:val="20"/>
          <w:color w:val="auto"/>
        </w:rPr>
      </w:pPr>
    </w:p>
    <w:p>
      <w:pPr>
        <w:ind w:right="3439" w:firstLine="705"/>
        <w:spacing w:after="0" w:line="257" w:lineRule="auto"/>
        <w:rPr>
          <w:sz w:val="20"/>
          <w:szCs w:val="20"/>
          <w:color w:val="auto"/>
        </w:rPr>
      </w:pPr>
      <w:r>
        <w:rPr>
          <w:rFonts w:ascii="Courier New" w:cs="Courier New" w:eastAsia="Courier New" w:hAnsi="Courier New"/>
          <w:sz w:val="14"/>
          <w:szCs w:val="14"/>
          <w:color w:val="auto"/>
        </w:rPr>
        <w:t>Home Video Retailing. BLOCKBUSTER is the leading worldwide owner, operator and franchiser of videocassette rental and sales stores. BLOCKBUSTER VIDEO(R) stores range in size from approximately 3,800 square feet to 11,500 square feet, and generally carry a comprehensive selection of 7,000 to 13,000 prerecorded videocassettes, consisting of more than 5,000 titles. BLOCKBUSTER offers titles primarily for rental and also offers titles for purchase on a "sell-thru" basis (See "Business--Competition--Video").</w:t>
      </w:r>
    </w:p>
    <w:p>
      <w:pPr>
        <w:spacing w:after="0" w:line="167" w:lineRule="exact"/>
        <w:rPr>
          <w:sz w:val="20"/>
          <w:szCs w:val="20"/>
          <w:color w:val="auto"/>
        </w:rPr>
      </w:pPr>
    </w:p>
    <w:p>
      <w:pPr>
        <w:ind w:right="3359" w:firstLine="705"/>
        <w:spacing w:after="0" w:line="258" w:lineRule="auto"/>
        <w:rPr>
          <w:sz w:val="20"/>
          <w:szCs w:val="20"/>
          <w:color w:val="auto"/>
        </w:rPr>
      </w:pPr>
      <w:r>
        <w:rPr>
          <w:rFonts w:ascii="Courier New" w:cs="Courier New" w:eastAsia="Courier New" w:hAnsi="Courier New"/>
          <w:sz w:val="14"/>
          <w:szCs w:val="14"/>
          <w:color w:val="auto"/>
        </w:rPr>
        <w:t>At December 31, 1995, there were 4,513 BLOCKBUSTER VIDEO stores operating worldwide; 3,180 BLOCKBUSTER VIDEO stores were operating in all 50 U.S. states, 2,537 of which were owned by the Company and 643 of which were owned by franchisees; and 1,333 BLOCKBUSTER VIDEO stores were operating in 18 foreign markets, 1,117 of which were owned by the Company, 85 were owned by various joint ventures in which the Company is a partner and 131 of which were</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27" w:right="1440" w:bottom="1440" w:gutter="0" w:footer="0" w:header="0"/>
        </w:sectPr>
      </w:pPr>
    </w:p>
    <w:bookmarkStart w:id="13" w:name="page14"/>
    <w:bookmarkEnd w:id="13"/>
    <w:p>
      <w:pPr>
        <w:ind w:right="3259"/>
        <w:spacing w:after="0" w:line="237" w:lineRule="auto"/>
        <w:rPr>
          <w:sz w:val="20"/>
          <w:szCs w:val="20"/>
          <w:color w:val="auto"/>
        </w:rPr>
      </w:pPr>
      <w:r>
        <w:rPr>
          <w:rFonts w:ascii="Courier New" w:cs="Courier New" w:eastAsia="Courier New" w:hAnsi="Courier New"/>
          <w:sz w:val="15"/>
          <w:szCs w:val="15"/>
          <w:color w:val="auto"/>
        </w:rPr>
        <w:t>owned by franchisees. At December 31, 1995, 576 of the Company's stores located in the United Kingdom were operated under the "BLOCKBUSTER VIDEO EXPRESS"(TM) trade name.</w:t>
      </w:r>
    </w:p>
    <w:p>
      <w:pPr>
        <w:spacing w:after="0" w:line="175" w:lineRule="exact"/>
        <w:rPr>
          <w:sz w:val="20"/>
          <w:szCs w:val="20"/>
          <w:color w:val="auto"/>
        </w:rPr>
      </w:pPr>
    </w:p>
    <w:p>
      <w:pPr>
        <w:ind w:right="3179" w:firstLine="705"/>
        <w:spacing w:after="0" w:line="256" w:lineRule="auto"/>
        <w:rPr>
          <w:sz w:val="20"/>
          <w:szCs w:val="20"/>
          <w:color w:val="auto"/>
        </w:rPr>
      </w:pPr>
      <w:r>
        <w:rPr>
          <w:rFonts w:ascii="Courier New" w:cs="Courier New" w:eastAsia="Courier New" w:hAnsi="Courier New"/>
          <w:sz w:val="14"/>
          <w:szCs w:val="14"/>
          <w:color w:val="auto"/>
        </w:rPr>
        <w:t>During 1995, the Company entered into eight new foreign markets and acquired equity interests in certain foreign franchisees. Franchises to develop, own and operate BLOCKBUSTER VIDEO stores were granted in Colombia, Ecuador, El Salvador, Panama, Peru, Portugal and Thailand. In addition, the Company entered into a joint venture to develop, own and operate BLOCKBUSTER VIDEO stores in Germany. The Company also increased its participation in three previously franchised foreign markets during 1995. The Company acquired a 71% interest in its franchisee in Mexico, a 51% interest in its franchisee in Argentina and a</w:t>
      </w:r>
    </w:p>
    <w:p>
      <w:pPr>
        <w:spacing w:after="0" w:line="3"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51% interest in a newly formed joint venture with its franchisee in Spain. The Company also entered into agreements pursuant to which it will manage the development and operation of BLOCKBUSTER VIDEO stores in such markets. As a result, as of December 31, 1995, 81 of the 107 BLOCKBUSTER VIDEO stores located in Mexico, all 22 BLOCKBUSTER VIDEO stores located in Argentina and all 17 BLOCKBUSTER VIDEO stores located in Spain were managed by the Company. The 26 BLOCKBUSTER VIDEO stores located in Mexico not managed by the Company were managed by joint venture partners of the Company's franchisee in Mexico.</w:t>
      </w:r>
    </w:p>
    <w:p>
      <w:pPr>
        <w:spacing w:after="0" w:line="178"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The Company's home video business may be affected by a variety of factors, including but not limited to, general economic trends in the movie and home video industries including the quality of new release titles available for rental and sale, acquisitions made by the Company, existing and additional competition, marketing programs, weather, special or unusual events, changes in technology, variations in the number of store openings and similar factors that may affect retailers in general. As compared to other months of the year, revenue from BLOCKBUSTER VIDEO stores in the U.S. has been, and the Company believes will continue to be, subject to decline during the months of April and May, due in part to the change to Daylight Savings Time, and during the months of September, October and November, due in part to the start of school and the introduction of new television programs.</w:t>
      </w:r>
    </w:p>
    <w:p>
      <w:pPr>
        <w:spacing w:after="0" w:line="182" w:lineRule="exact"/>
        <w:rPr>
          <w:sz w:val="20"/>
          <w:szCs w:val="20"/>
          <w:color w:val="auto"/>
        </w:rPr>
      </w:pPr>
    </w:p>
    <w:p>
      <w:pPr>
        <w:jc w:val="both"/>
        <w:ind w:right="3359" w:firstLine="705"/>
        <w:spacing w:after="0" w:line="256" w:lineRule="auto"/>
        <w:rPr>
          <w:sz w:val="20"/>
          <w:szCs w:val="20"/>
          <w:color w:val="auto"/>
        </w:rPr>
      </w:pPr>
      <w:r>
        <w:rPr>
          <w:rFonts w:ascii="Courier New" w:cs="Courier New" w:eastAsia="Courier New" w:hAnsi="Courier New"/>
          <w:sz w:val="14"/>
          <w:szCs w:val="14"/>
          <w:color w:val="auto"/>
        </w:rPr>
        <w:t>Music Retailing. Through music stores operating under the "BLOCKBUSTER MUSIC"(TM) trade name, BLOCKBUSTER is among the largest specialty retailers of prerecorded music in the U.S. At December 31, 1995, BLOCKBUSTER owned</w:t>
      </w:r>
    </w:p>
    <w:p>
      <w:pPr>
        <w:spacing w:after="0" w:line="1"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and operated 516 BLOCKBUSTER MUSIC stores in 34 states in the U.S. and six BLOCKBUSTER MUSIC stores in Australia. During 1995, the Company restructured its music retail joint ventures with Virgin Retail Group, Ltd. which owned and operated Virgin Megastores in the U.S., Europe and Australia. As a</w:t>
      </w:r>
    </w:p>
    <w:p>
      <w:pPr>
        <w:spacing w:after="0" w:line="7" w:lineRule="exact"/>
        <w:rPr>
          <w:sz w:val="20"/>
          <w:szCs w:val="20"/>
          <w:color w:val="auto"/>
        </w:rPr>
      </w:pPr>
    </w:p>
    <w:p>
      <w:pPr>
        <w:ind w:right="3259"/>
        <w:spacing w:after="0" w:line="256" w:lineRule="auto"/>
        <w:rPr>
          <w:sz w:val="20"/>
          <w:szCs w:val="20"/>
          <w:color w:val="auto"/>
        </w:rPr>
      </w:pPr>
      <w:r>
        <w:rPr>
          <w:rFonts w:ascii="Courier New" w:cs="Courier New" w:eastAsia="Courier New" w:hAnsi="Courier New"/>
          <w:sz w:val="14"/>
          <w:szCs w:val="14"/>
          <w:color w:val="auto"/>
        </w:rPr>
        <w:t>result of the restructuring of these joint ventures, BLOCKBUSTER acquired the four stores developed by the Australian joint venture (which were all converted to BLOCKBUSTER MUSIC stores during 1995) and retained a 19.9% interest in the European joint venture, which operated 20 Virgin Megastores at December 31,</w:t>
      </w:r>
    </w:p>
    <w:p>
      <w:pPr>
        <w:spacing w:after="0" w:line="1"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1995. BLOCKBUSTER no longer owns any interest in the Virgin Megastores located in the U.S.</w:t>
      </w:r>
    </w:p>
    <w:p>
      <w:pPr>
        <w:spacing w:after="0" w:line="176" w:lineRule="exact"/>
        <w:rPr>
          <w:sz w:val="20"/>
          <w:szCs w:val="20"/>
          <w:color w:val="auto"/>
        </w:rPr>
      </w:pPr>
    </w:p>
    <w:p>
      <w:pPr>
        <w:ind w:right="3359" w:firstLine="705"/>
        <w:spacing w:after="0" w:line="258" w:lineRule="auto"/>
        <w:rPr>
          <w:sz w:val="20"/>
          <w:szCs w:val="20"/>
          <w:color w:val="auto"/>
        </w:rPr>
      </w:pPr>
      <w:r>
        <w:rPr>
          <w:rFonts w:ascii="Courier New" w:cs="Courier New" w:eastAsia="Courier New" w:hAnsi="Courier New"/>
          <w:sz w:val="14"/>
          <w:szCs w:val="14"/>
          <w:color w:val="auto"/>
        </w:rPr>
        <w:t>The Company's music business may be affected by a variety of factors, including but not limited to, general economic trends and conditions in the music industry, including the quality of new titles and artists, existing and additional competition, marketing programs, changes in technology, and similar factors that may affect retailers in general. The Company's music business is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27" w:right="1440" w:bottom="1440" w:gutter="0" w:footer="0" w:header="0"/>
        </w:sectPr>
      </w:pPr>
    </w:p>
    <w:bookmarkStart w:id="14" w:name="page15"/>
    <w:bookmarkEnd w:id="14"/>
    <w:p>
      <w:pPr>
        <w:ind w:left="10" w:right="3699"/>
        <w:spacing w:after="0" w:line="237" w:lineRule="auto"/>
        <w:rPr>
          <w:sz w:val="20"/>
          <w:szCs w:val="20"/>
          <w:color w:val="auto"/>
        </w:rPr>
      </w:pPr>
      <w:r>
        <w:rPr>
          <w:rFonts w:ascii="Courier New" w:cs="Courier New" w:eastAsia="Courier New" w:hAnsi="Courier New"/>
          <w:sz w:val="15"/>
          <w:szCs w:val="15"/>
          <w:color w:val="auto"/>
        </w:rPr>
        <w:t>seasonal, with higher than average monthly revenue experienced during the Thanksgiving and Christmas seasons, and lower than average monthly revenue experienced in September and October.</w:t>
      </w:r>
    </w:p>
    <w:p>
      <w:pPr>
        <w:spacing w:after="0" w:line="175" w:lineRule="exact"/>
        <w:rPr>
          <w:sz w:val="20"/>
          <w:szCs w:val="20"/>
          <w:color w:val="auto"/>
        </w:rPr>
      </w:pPr>
    </w:p>
    <w:p>
      <w:pPr>
        <w:ind w:left="10" w:right="3179" w:firstLine="705"/>
        <w:spacing w:after="0" w:line="238" w:lineRule="auto"/>
        <w:rPr>
          <w:sz w:val="20"/>
          <w:szCs w:val="20"/>
          <w:color w:val="auto"/>
        </w:rPr>
      </w:pPr>
      <w:r>
        <w:rPr>
          <w:rFonts w:ascii="Courier New" w:cs="Courier New" w:eastAsia="Courier New" w:hAnsi="Courier New"/>
          <w:sz w:val="15"/>
          <w:szCs w:val="15"/>
          <w:color w:val="auto"/>
        </w:rPr>
        <w:t>Theme Parks. The Company, through PARAMOUNT PARKS, owns and operates five regional theme parks and one water park in the U.S. and Canada: PARAMOUNT'S CAROWINDS(R), in Charlotte, North Carolina; PARAMOUNT'S GREAT AMERICA(TM), in Santa Clara, California; PARAMOUNT'S KINGS DOMINION(TM) located near Richmond, Virginia; PARAMOUNT'S KINGS ISLAND(TM) located near Cincinnati, Ohio; and PARAMOUNT CANADA'S WONDERLAND(R) located near Toronto, Ontario. In May 1995, PARAMOUNT PARKS purchased RAGING WATERS(TM), the San Francisco Bay Area's premier water theme park located in San Jose, California. Each of the theme parks features attractions based on intellectual properties of the Company. Substantially all of the theme parks' operating income is generated from May through September. PARAMOUNT PARKS and Las Vegas Hilton Corporation expect to launch STAR TREK: THE EXPERIENCE(TM) at the Las Vegas Hilton, a futuristic-themed, interactive environment in early 1997.</w:t>
      </w:r>
    </w:p>
    <w:p>
      <w:pPr>
        <w:spacing w:after="0" w:line="183" w:lineRule="exact"/>
        <w:rPr>
          <w:sz w:val="20"/>
          <w:szCs w:val="20"/>
          <w:color w:val="auto"/>
        </w:rPr>
      </w:pPr>
    </w:p>
    <w:p>
      <w:pPr>
        <w:ind w:left="10" w:right="3179" w:firstLine="705"/>
        <w:spacing w:after="0" w:line="238" w:lineRule="auto"/>
        <w:rPr>
          <w:sz w:val="20"/>
          <w:szCs w:val="20"/>
          <w:color w:val="auto"/>
        </w:rPr>
      </w:pPr>
      <w:r>
        <w:rPr>
          <w:rFonts w:ascii="Courier New" w:cs="Courier New" w:eastAsia="Courier New" w:hAnsi="Courier New"/>
          <w:sz w:val="15"/>
          <w:szCs w:val="15"/>
          <w:color w:val="auto"/>
        </w:rPr>
        <w:t>Other Entertainment. At December 31, 1995, the Company held an equity interest of approximately 49% of the outstanding common stock of Discovery Zone, Inc. ("Discovery Zone"). Discovery Zone(R) owns, operates and franchises large indoor recreational spaces known as FunCenters, and operates Leaps and Bounds indoor entertainment and fitness facilities. On March 25, 1996, Discovery Zone filed a voluntary petition with the U.S. Bankruptcy Court for the District of Delaware for protection from its creditors under Chapter 11 of the U.S. Bankruptcy Code.</w:t>
      </w:r>
    </w:p>
    <w:p>
      <w:pPr>
        <w:spacing w:after="0" w:line="17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Publishing</w:t>
      </w:r>
    </w:p>
    <w:p>
      <w:pPr>
        <w:spacing w:after="0" w:line="175" w:lineRule="exact"/>
        <w:rPr>
          <w:sz w:val="20"/>
          <w:szCs w:val="20"/>
          <w:color w:val="auto"/>
        </w:rPr>
      </w:pPr>
    </w:p>
    <w:p>
      <w:pPr>
        <w:ind w:left="10" w:right="3179" w:firstLine="705"/>
        <w:spacing w:after="0" w:line="256" w:lineRule="auto"/>
        <w:rPr>
          <w:sz w:val="20"/>
          <w:szCs w:val="20"/>
          <w:color w:val="auto"/>
        </w:rPr>
      </w:pPr>
      <w:r>
        <w:rPr>
          <w:rFonts w:ascii="Courier New" w:cs="Courier New" w:eastAsia="Courier New" w:hAnsi="Courier New"/>
          <w:sz w:val="14"/>
          <w:szCs w:val="14"/>
          <w:color w:val="auto"/>
        </w:rPr>
        <w:t>The Company, through the SIMON &amp; SCHUSTER family of companies, publishes and distributes hardcover and paperback books, interactive CD-ROM products, audio books, educational textbooks and supplemental educational materials, multimedia curricula, and information and reference materials for businesses and professionals. SIMON &amp; SCHUSTER also publishes and distributes certain of its content on the Internet and commercial on-line services. In February 1994, SIMON</w:t>
      </w:r>
    </w:p>
    <w:p>
      <w:pPr>
        <w:spacing w:after="0" w:line="2" w:lineRule="exact"/>
        <w:rPr>
          <w:sz w:val="20"/>
          <w:szCs w:val="20"/>
          <w:color w:val="auto"/>
        </w:rPr>
      </w:pPr>
    </w:p>
    <w:p>
      <w:pPr>
        <w:ind w:left="10" w:right="3179" w:hanging="10"/>
        <w:spacing w:after="0" w:line="238" w:lineRule="auto"/>
        <w:tabs>
          <w:tab w:leader="none" w:pos="18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SCHUSTER completed the acquisition of the U.S. publishing assets of Macmillan, Inc. for approximately $553 million. Simon &amp; Schuster's well-known imprints include SIMON &amp; SCHUSTER, PRENTICE HALL, THE FREE PRESS(TM), POCKET BOOKS, MACMILLAN PUBLISHING USA, SCRIBNER(R), QUE(R), SILVER BURDETT GINN(R), MODERN CURRICULUM(TM), ALLYN &amp; BACON(R), COMPUTER CURRICULUM CORPORATION(TM) and EDUCATIONAL MANAGEMENT GROUP(TM), among others. Additionally, SIMON &amp; SCHUSTER develops special imprints and publishes titles based on MTV, NICKELODEON and PARAMOUNT PICTURES products. SIMON &amp; SCHUSTER distributes its books directly and through third parties on a retail and wholesale basis.</w:t>
      </w:r>
    </w:p>
    <w:p>
      <w:pPr>
        <w:spacing w:after="0" w:line="179" w:lineRule="exact"/>
        <w:rPr>
          <w:sz w:val="20"/>
          <w:szCs w:val="20"/>
          <w:color w:val="auto"/>
        </w:rPr>
      </w:pPr>
    </w:p>
    <w:p>
      <w:pPr>
        <w:ind w:left="10" w:right="3259" w:firstLine="705"/>
        <w:spacing w:after="0" w:line="258" w:lineRule="auto"/>
        <w:rPr>
          <w:sz w:val="20"/>
          <w:szCs w:val="20"/>
          <w:color w:val="auto"/>
        </w:rPr>
      </w:pPr>
      <w:r>
        <w:rPr>
          <w:rFonts w:ascii="Courier New" w:cs="Courier New" w:eastAsia="Courier New" w:hAnsi="Courier New"/>
          <w:sz w:val="14"/>
          <w:szCs w:val="14"/>
          <w:color w:val="auto"/>
        </w:rPr>
        <w:t>Educational Publishing. The Elementary, Secondary, Higher Education and Educational Technology groups publish elementary, secondary and college textbooks and related materials, computer-based educational products, audiovisual products and vocational and technical materials under such imprints as PRENTICE HALL, SILVER BURDETT GINN, GLOBE FEARON(TM), MODERN CURRICULUM and ALLYN &amp; BACON, among others. In February 1995, Simon &amp; Schuster acquired all of</w:t>
      </w:r>
    </w:p>
    <w:p>
      <w:pPr>
        <w:spacing w:after="0" w:line="15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9"/>
          </w:cols>
          <w:pgMar w:left="230" w:top="627" w:right="1440" w:bottom="1440" w:gutter="0" w:footer="0" w:header="0"/>
        </w:sectPr>
      </w:pPr>
    </w:p>
    <w:bookmarkStart w:id="15" w:name="page16"/>
    <w:bookmarkEnd w:id="15"/>
    <w:p>
      <w:pPr>
        <w:ind w:right="3179"/>
        <w:spacing w:after="0" w:line="238" w:lineRule="auto"/>
        <w:rPr>
          <w:sz w:val="20"/>
          <w:szCs w:val="20"/>
          <w:color w:val="auto"/>
        </w:rPr>
      </w:pPr>
      <w:r>
        <w:rPr>
          <w:rFonts w:ascii="Courier New" w:cs="Courier New" w:eastAsia="Courier New" w:hAnsi="Courier New"/>
          <w:sz w:val="15"/>
          <w:szCs w:val="15"/>
          <w:color w:val="auto"/>
        </w:rPr>
        <w:t>the outstanding stock of EDUCATIONAL MANAGEMENT GROUP, INC.(TM), an interactive educational company that develops and distributes customized instructional materials and live interactive television program services to schools and reaches more than one million students in approximately 3,800 schools. COMPUTER CURRICULUM CORPORATION(TM), a subsidiary of SIMON &amp; SCHUSTER, delivers multimedia coursework to approximately 1.5 million students in approximately 8,000 schools in five countries. The educational marketplace is subject to seasonal fluctuations in its business which correlate to the traditional school year. SIMON &amp; SCHUSTER sales to elementary and secondary schools are dependent, in part, on the "adoption" or selection of instructional materials by designated state agencies. Twenty-two states and some localities limit the textbooks that may be purchased with state funds to those books that have been approved by the adoption authorities.</w:t>
      </w:r>
    </w:p>
    <w:p>
      <w:pPr>
        <w:spacing w:after="0" w:line="183" w:lineRule="exact"/>
        <w:rPr>
          <w:sz w:val="20"/>
          <w:szCs w:val="20"/>
          <w:color w:val="auto"/>
        </w:rPr>
      </w:pPr>
    </w:p>
    <w:p>
      <w:pPr>
        <w:ind w:right="3179" w:firstLine="705"/>
        <w:spacing w:after="0" w:line="239" w:lineRule="auto"/>
        <w:rPr>
          <w:sz w:val="20"/>
          <w:szCs w:val="20"/>
          <w:color w:val="auto"/>
        </w:rPr>
      </w:pPr>
      <w:r>
        <w:rPr>
          <w:rFonts w:ascii="Courier New" w:cs="Courier New" w:eastAsia="Courier New" w:hAnsi="Courier New"/>
          <w:sz w:val="15"/>
          <w:szCs w:val="15"/>
          <w:color w:val="auto"/>
        </w:rPr>
        <w:t>Consumer Publishing. The Consumer group publishes and distributes hardcover, trade paperback, mass-market books, audio books and interactive products under imprints including SIMON &amp; SCHUSTER, POCKET BOOKS, SCRIBNER, THE FREE PRESS, SIMON &amp; SCHUSTER TRADE PAPERBACK(TM), which includes FIRESIDE(R), TOUCHSTONE(R), SCRIBNER PAPERBACK FICTION(TM) and SIMON &amp; SCHUSTER LIBROS EN ESPANOL(TM), as well as SIMON &amp; SCHUSTER CHILDREN'S PUBLISHING(TM), which includes ALADDIN PAPERBACKS(TM), ATHENEUM BOOKS FOR YOUNG READERS(TM), LITTLE SIMON(R), MARGARET K. McELDERRY BOOKS(TM), NICK JR.(TM) and SIMON &amp; SCHUSTER BOOKS FOR YOUNG READERS(TM). Titles released in 1995 included "Remember Me" and "The Lottery Winner" (Mary Higgins Clark), "All That Glitters" and "Hidden Jewel" (V.C. Andrews), "The Children's Book of Virtues" (William J. Bennett) and "The Christmas Box" (Richard Paul Evans). SIMON &amp; SCHUSTER AUDIO(TM) is the world's largest publisher of audio books. In 1995, the Consumer Group created SIMON &amp; SCHUSTER INTERACTIVE, which published 11 titles in 1995 and has 25 CD-ROM titles scheduled for publication in 1996. The consumer marketplace is subject to increased periods of demand in the summer months and during the end-of-year holiday season. In March 1995, SIMON &amp; SCHUSTER acquired an approximately 20% ownership stake in Byron Preiss MultiMedia Corporation, a leading interactive software developer. SIMON &amp; SCHUSTER ONLINE(TM), formed in January 1996, will publish original content on the Internet and commercial on-line services.</w:t>
      </w:r>
    </w:p>
    <w:p>
      <w:pPr>
        <w:spacing w:after="0" w:line="176"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Business and Professional Publishing. Through a wide variety of imprints, SIMON &amp; SCHUSTER publishes a full range of business, professional training, and medical and healthcare information products, including books, newsletters, journals, seminars, videos, loose-leaf series and multimedia programs, and operates seminars. Operating units include THE NEW YORK INSTITUTE OF FINANCE(TM), APPLETON &amp; LANGE(R), JOSSEY-BASS(TM), THE BUREAU OF BUSINESS PRACTICE(TM), AND PRENTICE HALL DIRECT(TM).</w:t>
      </w:r>
    </w:p>
    <w:p>
      <w:pPr>
        <w:spacing w:after="0" w:line="177"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Reference Publishing. MACMILLAN PUBLISHING USA, the umbrella identity of SIMON &amp; SCHUSTER's reference publishing operations, is the industry leader in computer book publishing and a leader in home/library reference publishing. The unit's imprints include MACMILLAN COMPUTER PUBLISHING USA(TM) (QUE(R), SAMS(R), HAYDEN BOOKS(TM), NEW RIDERS(TM), SAMS.NET(TM), BRADY GAMES(TM) and QUE EDUCATION &amp; TRAINING(TM)), MACMILLAN REFERENCE USA(TM) (ARCO(TM), BETTY CROCKER(R), BURPEE(TM), FROMMER'S(TM) TRAVEL GUIDE, HARRAP'S BILINGUAL</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27" w:right="1440" w:bottom="1440" w:gutter="0" w:footer="0" w:header="0"/>
        </w:sectPr>
      </w:pPr>
    </w:p>
    <w:bookmarkStart w:id="16" w:name="page17"/>
    <w:bookmarkEnd w:id="16"/>
    <w:p>
      <w:pPr>
        <w:ind w:right="3179"/>
        <w:spacing w:after="0" w:line="238" w:lineRule="auto"/>
        <w:rPr>
          <w:sz w:val="20"/>
          <w:szCs w:val="20"/>
          <w:color w:val="auto"/>
        </w:rPr>
      </w:pPr>
      <w:r>
        <w:rPr>
          <w:rFonts w:ascii="Courier New" w:cs="Courier New" w:eastAsia="Courier New" w:hAnsi="Courier New"/>
          <w:sz w:val="15"/>
          <w:szCs w:val="15"/>
          <w:color w:val="auto"/>
        </w:rPr>
        <w:t>DICTIONARIES(TM), HOWELL BOOK HOUSE(TM), MONARCH(R) NOTES, J.K. LASSER(TM), THE PLACES RATED(R) ALMANAC, THE UNOFFICIAL GUIDES(TM), WEBSTER'S NEW WORLD(R), WEIGHT WATCHERS(R), ALPHA(TM), MACMILLAN BOOKS(TM), MACMILLAN COOKING AND GARDENING(TM), MACMILLAN SPECTRUM(TM), THORNDIKE(R), SCHIRMER BOOKS(TM), CHARLES SCRIBNER SONS(R) REFERENCE, G.K. HALL(TM), MACMILLAN TRAVEL(TM) and MACMILLAN DIGITAL USA(TM)) and MACMILLAN ONLINE USA(TM), the online presence for MACMILLAN PUBLISHING both on the Internet and commercial online services such as CompuServe and America Online. In July 1995, the Company acquired ZIFF-DAVIS PRESS(TM), the book publishing operation of Ziff-Davis Publishing Company, which will publish approximately 65 titles in 1996. In January 1996, the Company acquired the WAITE GROUP, INC.(R), which publishes titles on computer programming languages and emerging technologies.</w:t>
      </w:r>
    </w:p>
    <w:p>
      <w:pPr>
        <w:spacing w:after="0" w:line="182"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International Publishing. The Company distributes its English language books originally published in the U.S. worldwide. The Company also expects to publish approximately 1,200 books in 10 languages and 34 countries outside North America in 1996, primarily in the areas of academic, computer, English language training, and professional publishing. The publishing includes local language translation and adaptation of U.S. product and indigenous publishing. SIMON &amp; SCHUSTER also maintains co-publishing partnerships in approximately 14 countries, such as Japan (Toppan and Impress) and the People's Republic of China, where the operations include distribution of U.S. products. In January 1994, the Company acquired German computer book publisher MARKT &amp; TECHNIK(TM), enhancing the Company's position as the world's largest computer book publisher and providing greater opportunities for expansion into other European markets, particularly Eastern Europe.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Cable Television</w:t>
      </w:r>
    </w:p>
    <w:p>
      <w:pPr>
        <w:spacing w:after="0" w:line="175" w:lineRule="exact"/>
        <w:rPr>
          <w:sz w:val="20"/>
          <w:szCs w:val="20"/>
          <w:color w:val="auto"/>
        </w:rPr>
      </w:pPr>
    </w:p>
    <w:p>
      <w:pPr>
        <w:ind w:right="3359" w:firstLine="705"/>
        <w:spacing w:after="0" w:line="257" w:lineRule="auto"/>
        <w:rPr>
          <w:sz w:val="20"/>
          <w:szCs w:val="20"/>
          <w:color w:val="auto"/>
        </w:rPr>
      </w:pPr>
      <w:r>
        <w:rPr>
          <w:rFonts w:ascii="Courier New" w:cs="Courier New" w:eastAsia="Courier New" w:hAnsi="Courier New"/>
          <w:sz w:val="14"/>
          <w:szCs w:val="14"/>
          <w:color w:val="auto"/>
        </w:rPr>
        <w:t>Cable Operations. At December 31, 1995, the Company, through Viacom Cable Television ("Viacom Cable"), was approximately the 12th largest multiple cable television system operator in the U.S. with approximately 1.2 million subscribers. During July 1995, the Company announced an agreement to split-off its cable systems to its shareholders through a "dutch auction" exchange offer and the subsequent investment in and acquisition of all of the common stock of such entity by a subsidiary of Tele-Communications, Inc. immediately following the split-off. The exchange offer and related transactions are subject to several conditions, including receipt of a tax ruling and consummation of the exchange offer. Viacom Cable's systems are operated pursuant to non-exclusive franchises granted by local governing authorities.</w:t>
      </w:r>
    </w:p>
    <w:p>
      <w:pPr>
        <w:spacing w:after="0" w:line="166"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In most of its systems, Viacom Cable offers two tiers of primary (i.e., non-premium) service: "Limited Service," which is subject to rate regulation by local franchise authorities and consists generally of local and distant broadcast stations, and all public, educational and governmental ("PEG") channels as may be required by the local franchise authorities; and the "Satellite Value Package," which, until March 31, 1999, is subject to rate regulation by the FCC and which provides additional channels of satellite-delivered cable networks, including the Company's own basic program services and joint venture services, as well as third-party services. Fees for these two levels of service constitute the major source of the systems' revenue. In addition, Viacom Cable offers a third tier of non-premium service which qualifies as a non-regulated "new product tier" in the following systems:</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27" w:right="1440" w:bottom="1440" w:gutter="0" w:footer="0" w:header="0"/>
        </w:sectPr>
      </w:pPr>
    </w:p>
    <w:bookmarkStart w:id="17" w:name="page18"/>
    <w:bookmarkEnd w:id="17"/>
    <w:p>
      <w:pPr>
        <w:ind w:right="3259"/>
        <w:spacing w:after="0" w:line="260" w:lineRule="auto"/>
        <w:rPr>
          <w:sz w:val="20"/>
          <w:szCs w:val="20"/>
          <w:color w:val="auto"/>
        </w:rPr>
      </w:pPr>
      <w:r>
        <w:rPr>
          <w:rFonts w:ascii="Courier New" w:cs="Courier New" w:eastAsia="Courier New" w:hAnsi="Courier New"/>
          <w:sz w:val="14"/>
          <w:szCs w:val="14"/>
          <w:color w:val="auto"/>
        </w:rPr>
        <w:t>Nashville, TN; Dayton, OH; Pittsburg, CA; Petaluma, CA; Livermore, CA; Puget Sound South, WA; and most of Puget Sound North/Central, WA. Each such tier consists of either five or six channels of advertiser-supported cable networks.</w:t>
      </w:r>
    </w:p>
    <w:p>
      <w:pPr>
        <w:spacing w:after="0" w:line="163"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The Communications Act precludes rate regulation wherever a cable system faces "effective competition". None of Viacom Cable's systems is presently subject to "effective competition" and therefore none of such systems is exempt from such regulation. Pursuant to the 1996 Telecommunications Act, which amends the Communications Act, regulation of the Satellite Value Package will cease as of March 31, 1999 (even in the absence of "effective competition"). Regulation of rates for Limited Service will end only when any cable system becomes subject to "effective competition". The 1996 Telecommunications Act adds a new "effective competition" test to the three already included in the Communications Act. The new test finds effective competition in areas where a local telephone company, its affiliate, or a multichannel video programming distributor using the facilities of the telephone company or its affiliate -- irrespective of the number of subscribers to the service -- offers programming to subscribers by any means (other than DTH) in the franchise area of the cable system, provided that the programming so offered is "comparable" to the programming provided by the cable operator in that area. The new product tiers mentioned above are not rate regulated at the present time, but the FCC has reserved the right to reopen the issue of rate regulation for new product tiers in the future.</w:t>
      </w:r>
    </w:p>
    <w:p>
      <w:pPr>
        <w:spacing w:after="0" w:line="164" w:lineRule="exact"/>
        <w:rPr>
          <w:sz w:val="20"/>
          <w:szCs w:val="20"/>
          <w:color w:val="auto"/>
        </w:rPr>
      </w:pPr>
    </w:p>
    <w:p>
      <w:pPr>
        <w:ind w:right="3179" w:firstLine="705"/>
        <w:spacing w:after="0" w:line="237" w:lineRule="auto"/>
        <w:rPr>
          <w:sz w:val="20"/>
          <w:szCs w:val="20"/>
          <w:color w:val="auto"/>
        </w:rPr>
      </w:pPr>
      <w:r>
        <w:rPr>
          <w:rFonts w:ascii="Courier New" w:cs="Courier New" w:eastAsia="Courier New" w:hAnsi="Courier New"/>
          <w:sz w:val="15"/>
          <w:szCs w:val="15"/>
          <w:color w:val="auto"/>
        </w:rPr>
        <w:t>Viacom Cable offers premium cable television programming, including the Company's premium subscription television program services, to its customers for an additional monthly fee of up to $12.95 per premium service. At December 31, 1995, the Company's cable television systems had approximately 921,000 subscriptions to premium subscription television program services.</w:t>
      </w:r>
    </w:p>
    <w:p>
      <w:pPr>
        <w:spacing w:after="0" w:line="178"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Viacom Cable earns revenues from sources in addition to subscriber fees. In all of its markets, revenues are generated from advertising sales as well as from commissions on the sales of products on home shopping services offered by Viacom Cable to its customers. Viacom also derives revenues, in three of its markets, from the lease of certain fiber optic capacity to partnerships engaged in competitive access telephone services. Viacom Cable has equity interests in each of these partnerships.</w:t>
      </w:r>
    </w:p>
    <w:p>
      <w:pPr>
        <w:spacing w:after="0" w:line="177"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Cable operators require substantial capital expenditures to construct systems and significant annual expenditures to maintain, rebuild and expand systems. System construction and operation and quality of equipment used must conform with federal, state and local electrical and safety codes and certain regulations of the FCC. Viacom Cable, like many other cable operators, is analyzing potential business applications for its broadband network, including interactive video, video on demand, data services and telephony. These applications, either individually or in combination, may require technological changes such as the installation of fiber optic cable and the capacity to engage in digital compression. Although management believes the equipment used in the cable operations is in good operating condition, except for ordinary wear and tear, the Company invests significant amounts each year to upgrade, rebuild and expand its cable systems. During the last five years, Viacom Cable's capital expenditures were as follows: 1991: $45 million; 1992: $55 million; 1993: $79 million; 1994: $100 million; and 1995: $119 million. The Company expects that Viacom Cable's capital expenditures in 1996 will be approximately $150 million.</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27" w:right="1440" w:bottom="1440" w:gutter="0" w:footer="0" w:header="0"/>
        </w:sectPr>
      </w:pPr>
    </w:p>
    <w:bookmarkStart w:id="18" w:name="page19"/>
    <w:bookmarkEnd w:id="18"/>
    <w:p>
      <w:pPr>
        <w:ind w:right="3179" w:firstLine="705"/>
        <w:spacing w:after="0" w:line="238" w:lineRule="auto"/>
        <w:rPr>
          <w:sz w:val="20"/>
          <w:szCs w:val="20"/>
          <w:color w:val="auto"/>
        </w:rPr>
      </w:pPr>
      <w:r>
        <w:rPr>
          <w:rFonts w:ascii="Courier New" w:cs="Courier New" w:eastAsia="Courier New" w:hAnsi="Courier New"/>
          <w:sz w:val="15"/>
          <w:szCs w:val="15"/>
          <w:color w:val="auto"/>
        </w:rPr>
        <w:t>Viacom Cable has constructed a fiber optic cable system in Castro Valley, California to provide more channels with significantly better picture quality, and to accommodate testing of new services including an interactive on-screen programming guide known as StarSight (in which consolidated affiliates of the Company currently have an approximately 22.6% equity interest on a combined basis), other interactive programs with VIACOM INTERACTIVE MEDIA, multiplexed services, experimental interactive video and data services and access to on-line computer services and the Internet through a PC-cable modem. In January 1996, the Castro Valley system began testing full telephone service over the cable system.</w:t>
      </w:r>
    </w:p>
    <w:p>
      <w:pPr>
        <w:spacing w:after="0" w:line="34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27" w:right="1440" w:bottom="1440" w:gutter="0" w:footer="0" w:header="0"/>
        </w:sectPr>
      </w:pPr>
    </w:p>
    <w:bookmarkStart w:id="19" w:name="page20"/>
    <w:bookmarkEnd w:id="19"/>
    <w:tbl>
      <w:tblPr>
        <w:tblLayout w:type="fixed"/>
        <w:tblInd w:w="1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6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Viacom Cable</w:t>
            </w:r>
          </w:p>
        </w:tc>
        <w:tc>
          <w:tcPr>
            <w:tcW w:w="1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1980" w:type="dxa"/>
            <w:vAlign w:val="bottom"/>
          </w:tcPr>
          <w:p>
            <w:pPr>
              <w:spacing w:after="0"/>
              <w:rPr>
                <w:sz w:val="14"/>
                <w:szCs w:val="14"/>
                <w:color w:val="auto"/>
              </w:rPr>
            </w:pPr>
          </w:p>
        </w:tc>
        <w:tc>
          <w:tcPr>
            <w:tcW w:w="1000" w:type="dxa"/>
            <w:vAlign w:val="bottom"/>
          </w:tcPr>
          <w:p>
            <w:pPr>
              <w:ind w:left="840"/>
              <w:spacing w:after="0"/>
              <w:rPr>
                <w:sz w:val="20"/>
                <w:szCs w:val="20"/>
                <w:color w:val="auto"/>
              </w:rPr>
            </w:pPr>
            <w:r>
              <w:rPr>
                <w:rFonts w:ascii="Courier New" w:cs="Courier New" w:eastAsia="Courier New" w:hAnsi="Courier New"/>
                <w:sz w:val="15"/>
                <w:szCs w:val="15"/>
                <w:color w:val="auto"/>
                <w:w w:val="77"/>
              </w:rPr>
              <w:t>As</w:t>
            </w:r>
          </w:p>
        </w:tc>
        <w:tc>
          <w:tcPr>
            <w:tcW w:w="18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6"/>
              </w:rPr>
              <w:t>of December 31, 1995</w:t>
            </w:r>
          </w:p>
        </w:tc>
        <w:tc>
          <w:tcPr>
            <w:tcW w:w="1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9"/>
        </w:trPr>
        <w:tc>
          <w:tcPr>
            <w:tcW w:w="7520" w:type="dxa"/>
            <w:vAlign w:val="bottom"/>
            <w:gridSpan w:val="6"/>
          </w:tcPr>
          <w:p>
            <w:pPr>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39"/>
        </w:trPr>
        <w:tc>
          <w:tcPr>
            <w:tcW w:w="1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ind w:left="60"/>
              <w:spacing w:after="0"/>
              <w:rPr>
                <w:sz w:val="20"/>
                <w:szCs w:val="20"/>
                <w:color w:val="auto"/>
              </w:rPr>
            </w:pPr>
            <w:r>
              <w:rPr>
                <w:rFonts w:ascii="Courier New" w:cs="Courier New" w:eastAsia="Courier New" w:hAnsi="Courier New"/>
                <w:sz w:val="15"/>
                <w:szCs w:val="15"/>
                <w:color w:val="auto"/>
              </w:rPr>
              <w:t>Approximate</w:t>
            </w: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0"/>
        </w:trPr>
        <w:tc>
          <w:tcPr>
            <w:tcW w:w="198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w w:val="94"/>
              </w:rPr>
              <w:t>Approximate</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rPr>
              <w:t>Homes</w:t>
            </w:r>
          </w:p>
        </w:tc>
        <w:tc>
          <w:tcPr>
            <w:tcW w:w="1200" w:type="dxa"/>
            <w:vAlign w:val="bottom"/>
          </w:tcPr>
          <w:p>
            <w:pPr>
              <w:ind w:left="60"/>
              <w:spacing w:after="0"/>
              <w:rPr>
                <w:sz w:val="20"/>
                <w:szCs w:val="20"/>
                <w:color w:val="auto"/>
              </w:rPr>
            </w:pPr>
            <w:r>
              <w:rPr>
                <w:rFonts w:ascii="Courier New" w:cs="Courier New" w:eastAsia="Courier New" w:hAnsi="Courier New"/>
                <w:sz w:val="15"/>
                <w:szCs w:val="15"/>
                <w:color w:val="auto"/>
              </w:rPr>
              <w:t>Homes</w:t>
            </w:r>
          </w:p>
        </w:tc>
        <w:tc>
          <w:tcPr>
            <w:tcW w:w="1280" w:type="dxa"/>
            <w:vAlign w:val="bottom"/>
          </w:tcPr>
          <w:p>
            <w:pPr>
              <w:spacing w:after="0"/>
              <w:rPr>
                <w:sz w:val="20"/>
                <w:szCs w:val="20"/>
                <w:color w:val="auto"/>
              </w:rPr>
            </w:pPr>
            <w:r>
              <w:rPr>
                <w:rFonts w:ascii="Courier New" w:cs="Courier New" w:eastAsia="Courier New" w:hAnsi="Courier New"/>
                <w:sz w:val="15"/>
                <w:szCs w:val="15"/>
                <w:color w:val="auto"/>
              </w:rPr>
              <w:t>Number of</w:t>
            </w:r>
          </w:p>
        </w:tc>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1980" w:type="dxa"/>
            <w:vAlign w:val="bottom"/>
          </w:tcPr>
          <w:p>
            <w:pPr>
              <w:spacing w:after="0"/>
              <w:rPr>
                <w:sz w:val="14"/>
                <w:szCs w:val="14"/>
                <w:color w:val="auto"/>
              </w:rPr>
            </w:pPr>
          </w:p>
        </w:tc>
        <w:tc>
          <w:tcPr>
            <w:tcW w:w="16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 Franchise Area</w:t>
            </w:r>
          </w:p>
        </w:tc>
        <w:tc>
          <w:tcPr>
            <w:tcW w:w="1200" w:type="dxa"/>
            <w:vAlign w:val="bottom"/>
          </w:tcPr>
          <w:p>
            <w:pPr>
              <w:ind w:left="60"/>
              <w:spacing w:after="0"/>
              <w:rPr>
                <w:sz w:val="20"/>
                <w:szCs w:val="20"/>
                <w:color w:val="auto"/>
              </w:rPr>
            </w:pPr>
            <w:r>
              <w:rPr>
                <w:rFonts w:ascii="Courier New" w:cs="Courier New" w:eastAsia="Courier New" w:hAnsi="Courier New"/>
                <w:sz w:val="15"/>
                <w:szCs w:val="15"/>
                <w:color w:val="auto"/>
              </w:rPr>
              <w:t>Passed by</w:t>
            </w:r>
          </w:p>
        </w:tc>
        <w:tc>
          <w:tcPr>
            <w:tcW w:w="1280" w:type="dxa"/>
            <w:vAlign w:val="bottom"/>
          </w:tcPr>
          <w:p>
            <w:pPr>
              <w:spacing w:after="0"/>
              <w:rPr>
                <w:sz w:val="20"/>
                <w:szCs w:val="20"/>
                <w:color w:val="auto"/>
              </w:rPr>
            </w:pPr>
            <w:r>
              <w:rPr>
                <w:rFonts w:ascii="Courier New" w:cs="Courier New" w:eastAsia="Courier New" w:hAnsi="Courier New"/>
                <w:sz w:val="15"/>
                <w:szCs w:val="15"/>
                <w:color w:val="auto"/>
              </w:rPr>
              <w:t>Primary</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Primary</w:t>
            </w:r>
          </w:p>
        </w:tc>
        <w:tc>
          <w:tcPr>
            <w:tcW w:w="880" w:type="dxa"/>
            <w:vAlign w:val="bottom"/>
          </w:tcPr>
          <w:p>
            <w:pPr>
              <w:ind w:left="60"/>
              <w:spacing w:after="0"/>
              <w:rPr>
                <w:sz w:val="20"/>
                <w:szCs w:val="20"/>
                <w:color w:val="auto"/>
              </w:rPr>
            </w:pPr>
            <w:r>
              <w:rPr>
                <w:rFonts w:ascii="Courier New" w:cs="Courier New" w:eastAsia="Courier New" w:hAnsi="Courier New"/>
                <w:sz w:val="15"/>
                <w:szCs w:val="15"/>
                <w:color w:val="auto"/>
              </w:rPr>
              <w:t>Premium</w:t>
            </w:r>
          </w:p>
        </w:tc>
        <w:tc>
          <w:tcPr>
            <w:tcW w:w="14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Premium</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Miles of</w:t>
            </w:r>
          </w:p>
        </w:tc>
      </w:tr>
      <w:tr>
        <w:trPr>
          <w:trHeight w:val="170"/>
        </w:trPr>
        <w:tc>
          <w:tcPr>
            <w:tcW w:w="198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(1)</w:t>
            </w:r>
          </w:p>
        </w:tc>
        <w:tc>
          <w:tcPr>
            <w:tcW w:w="660" w:type="dxa"/>
            <w:vAlign w:val="bottom"/>
          </w:tcPr>
          <w:p>
            <w:pPr>
              <w:spacing w:after="0"/>
              <w:rPr>
                <w:sz w:val="14"/>
                <w:szCs w:val="14"/>
                <w:color w:val="auto"/>
              </w:rPr>
            </w:pPr>
          </w:p>
        </w:tc>
        <w:tc>
          <w:tcPr>
            <w:tcW w:w="1200" w:type="dxa"/>
            <w:vAlign w:val="bottom"/>
          </w:tcPr>
          <w:p>
            <w:pPr>
              <w:ind w:left="60"/>
              <w:spacing w:after="0"/>
              <w:rPr>
                <w:sz w:val="20"/>
                <w:szCs w:val="20"/>
                <w:color w:val="auto"/>
              </w:rPr>
            </w:pPr>
            <w:r>
              <w:rPr>
                <w:rFonts w:ascii="Courier New" w:cs="Courier New" w:eastAsia="Courier New" w:hAnsi="Courier New"/>
                <w:sz w:val="15"/>
                <w:szCs w:val="15"/>
                <w:color w:val="auto"/>
              </w:rPr>
              <w:t>Cable (2)</w:t>
            </w:r>
          </w:p>
        </w:tc>
        <w:tc>
          <w:tcPr>
            <w:tcW w:w="1280" w:type="dxa"/>
            <w:vAlign w:val="bottom"/>
          </w:tcPr>
          <w:p>
            <w:pPr>
              <w:spacing w:after="0"/>
              <w:rPr>
                <w:sz w:val="20"/>
                <w:szCs w:val="20"/>
                <w:color w:val="auto"/>
              </w:rPr>
            </w:pPr>
            <w:r>
              <w:rPr>
                <w:rFonts w:ascii="Courier New" w:cs="Courier New" w:eastAsia="Courier New" w:hAnsi="Courier New"/>
                <w:sz w:val="15"/>
                <w:szCs w:val="15"/>
                <w:color w:val="auto"/>
              </w:rPr>
              <w:t>Customers(3)</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Penetration(4)</w:t>
            </w:r>
          </w:p>
        </w:tc>
        <w:tc>
          <w:tcPr>
            <w:tcW w:w="880" w:type="dxa"/>
            <w:vAlign w:val="bottom"/>
          </w:tcPr>
          <w:p>
            <w:pPr>
              <w:ind w:left="60"/>
              <w:spacing w:after="0"/>
              <w:rPr>
                <w:sz w:val="20"/>
                <w:szCs w:val="20"/>
                <w:color w:val="auto"/>
              </w:rPr>
            </w:pPr>
            <w:r>
              <w:rPr>
                <w:rFonts w:ascii="Courier New" w:cs="Courier New" w:eastAsia="Courier New" w:hAnsi="Courier New"/>
                <w:sz w:val="15"/>
                <w:szCs w:val="15"/>
                <w:color w:val="auto"/>
              </w:rPr>
              <w:t>Units(5)</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Penetration(6)</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w w:val="96"/>
              </w:rPr>
              <w:t>Cable Distribution</w:t>
            </w:r>
          </w:p>
        </w:tc>
      </w:tr>
      <w:tr>
        <w:trPr>
          <w:trHeight w:val="339"/>
        </w:trPr>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Bay Area Region</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0"/>
        </w:trPr>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Marin(7)</w:t>
            </w: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81,000</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77,800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63,000</w:t>
            </w:r>
          </w:p>
        </w:tc>
        <w:tc>
          <w:tcPr>
            <w:tcW w:w="1400" w:type="dxa"/>
            <w:vAlign w:val="bottom"/>
          </w:tcPr>
          <w:p>
            <w:pPr>
              <w:ind w:left="1100"/>
              <w:spacing w:after="0"/>
              <w:rPr>
                <w:sz w:val="20"/>
                <w:szCs w:val="20"/>
                <w:color w:val="auto"/>
              </w:rPr>
            </w:pPr>
            <w:r>
              <w:rPr>
                <w:rFonts w:ascii="Courier New" w:cs="Courier New" w:eastAsia="Courier New" w:hAnsi="Courier New"/>
                <w:sz w:val="15"/>
                <w:szCs w:val="15"/>
                <w:color w:val="auto"/>
              </w:rPr>
              <w:t>81%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38,600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648</w:t>
            </w:r>
          </w:p>
        </w:tc>
      </w:tr>
      <w:tr>
        <w:trPr>
          <w:trHeight w:val="170"/>
        </w:trPr>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Sonoma(7)</w:t>
            </w: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48,000</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45,700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36,100</w:t>
            </w:r>
          </w:p>
        </w:tc>
        <w:tc>
          <w:tcPr>
            <w:tcW w:w="1400" w:type="dxa"/>
            <w:vAlign w:val="bottom"/>
          </w:tcPr>
          <w:p>
            <w:pPr>
              <w:ind w:left="1100"/>
              <w:spacing w:after="0"/>
              <w:rPr>
                <w:sz w:val="20"/>
                <w:szCs w:val="20"/>
                <w:color w:val="auto"/>
              </w:rPr>
            </w:pPr>
            <w:r>
              <w:rPr>
                <w:rFonts w:ascii="Courier New" w:cs="Courier New" w:eastAsia="Courier New" w:hAnsi="Courier New"/>
                <w:sz w:val="15"/>
                <w:szCs w:val="15"/>
                <w:color w:val="auto"/>
              </w:rPr>
              <w:t>79%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23,600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542</w:t>
            </w:r>
          </w:p>
        </w:tc>
      </w:tr>
      <w:tr>
        <w:trPr>
          <w:trHeight w:val="170"/>
        </w:trPr>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Napa</w:t>
            </w: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33,000</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32,700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24,100</w:t>
            </w:r>
          </w:p>
        </w:tc>
        <w:tc>
          <w:tcPr>
            <w:tcW w:w="1400" w:type="dxa"/>
            <w:vAlign w:val="bottom"/>
          </w:tcPr>
          <w:p>
            <w:pPr>
              <w:ind w:left="1100"/>
              <w:spacing w:after="0"/>
              <w:rPr>
                <w:sz w:val="20"/>
                <w:szCs w:val="20"/>
                <w:color w:val="auto"/>
              </w:rPr>
            </w:pPr>
            <w:r>
              <w:rPr>
                <w:rFonts w:ascii="Courier New" w:cs="Courier New" w:eastAsia="Courier New" w:hAnsi="Courier New"/>
                <w:sz w:val="15"/>
                <w:szCs w:val="15"/>
                <w:color w:val="auto"/>
              </w:rPr>
              <w:t>74%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16,500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323</w:t>
            </w:r>
          </w:p>
        </w:tc>
      </w:tr>
      <w:tr>
        <w:trPr>
          <w:trHeight w:val="170"/>
        </w:trPr>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East Bay/Castro</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Valley(7)</w:t>
            </w: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90,000</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88,700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74,700</w:t>
            </w:r>
          </w:p>
        </w:tc>
        <w:tc>
          <w:tcPr>
            <w:tcW w:w="1400" w:type="dxa"/>
            <w:vAlign w:val="bottom"/>
          </w:tcPr>
          <w:p>
            <w:pPr>
              <w:ind w:left="1100"/>
              <w:spacing w:after="0"/>
              <w:rPr>
                <w:sz w:val="20"/>
                <w:szCs w:val="20"/>
                <w:color w:val="auto"/>
              </w:rPr>
            </w:pPr>
            <w:r>
              <w:rPr>
                <w:rFonts w:ascii="Courier New" w:cs="Courier New" w:eastAsia="Courier New" w:hAnsi="Courier New"/>
                <w:sz w:val="15"/>
                <w:szCs w:val="15"/>
                <w:color w:val="auto"/>
              </w:rPr>
              <w:t>84%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68,300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91%</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691</w:t>
            </w:r>
          </w:p>
        </w:tc>
      </w:tr>
      <w:tr>
        <w:trPr>
          <w:trHeight w:val="170"/>
        </w:trPr>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Pittsburg/Pinole(7)</w:t>
            </w: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74,000</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73,900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55,500</w:t>
            </w:r>
          </w:p>
        </w:tc>
        <w:tc>
          <w:tcPr>
            <w:tcW w:w="1400" w:type="dxa"/>
            <w:vAlign w:val="bottom"/>
          </w:tcPr>
          <w:p>
            <w:pPr>
              <w:ind w:left="1100"/>
              <w:spacing w:after="0"/>
              <w:rPr>
                <w:sz w:val="20"/>
                <w:szCs w:val="20"/>
                <w:color w:val="auto"/>
              </w:rPr>
            </w:pPr>
            <w:r>
              <w:rPr>
                <w:rFonts w:ascii="Courier New" w:cs="Courier New" w:eastAsia="Courier New" w:hAnsi="Courier New"/>
                <w:sz w:val="15"/>
                <w:szCs w:val="15"/>
                <w:color w:val="auto"/>
              </w:rPr>
              <w:t>75%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55,800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101%</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572</w:t>
            </w:r>
          </w:p>
        </w:tc>
      </w:tr>
      <w:tr>
        <w:trPr>
          <w:trHeight w:val="170"/>
        </w:trPr>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San Francisco</w:t>
            </w: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358,000</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339,500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178,500</w:t>
            </w:r>
          </w:p>
        </w:tc>
        <w:tc>
          <w:tcPr>
            <w:tcW w:w="1400" w:type="dxa"/>
            <w:vAlign w:val="bottom"/>
          </w:tcPr>
          <w:p>
            <w:pPr>
              <w:ind w:left="1100"/>
              <w:spacing w:after="0"/>
              <w:rPr>
                <w:sz w:val="20"/>
                <w:szCs w:val="20"/>
                <w:color w:val="auto"/>
              </w:rPr>
            </w:pPr>
            <w:r>
              <w:rPr>
                <w:rFonts w:ascii="Courier New" w:cs="Courier New" w:eastAsia="Courier New" w:hAnsi="Courier New"/>
                <w:sz w:val="15"/>
                <w:szCs w:val="15"/>
                <w:color w:val="auto"/>
              </w:rPr>
              <w:t>53%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148,700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83%</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711</w:t>
            </w:r>
          </w:p>
        </w:tc>
      </w:tr>
      <w:tr>
        <w:trPr>
          <w:trHeight w:val="170"/>
        </w:trPr>
        <w:tc>
          <w:tcPr>
            <w:tcW w:w="198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ind w:left="11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Total Bay Area Region</w:t>
            </w: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684,000</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658,300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431,900</w:t>
            </w:r>
          </w:p>
        </w:tc>
        <w:tc>
          <w:tcPr>
            <w:tcW w:w="1400" w:type="dxa"/>
            <w:vAlign w:val="bottom"/>
          </w:tcPr>
          <w:p>
            <w:pPr>
              <w:ind w:left="1100"/>
              <w:spacing w:after="0"/>
              <w:rPr>
                <w:sz w:val="20"/>
                <w:szCs w:val="20"/>
                <w:color w:val="auto"/>
              </w:rPr>
            </w:pPr>
            <w:r>
              <w:rPr>
                <w:rFonts w:ascii="Courier New" w:cs="Courier New" w:eastAsia="Courier New" w:hAnsi="Courier New"/>
                <w:sz w:val="15"/>
                <w:szCs w:val="15"/>
                <w:color w:val="auto"/>
              </w:rPr>
              <w:t>66%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351,500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3,487</w:t>
            </w:r>
          </w:p>
        </w:tc>
      </w:tr>
      <w:tr>
        <w:trPr>
          <w:trHeight w:val="339"/>
        </w:trPr>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Ore-Cal Region</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0"/>
        </w:trPr>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Redding(7)</w:t>
            </w: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58,000</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55,800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36,600</w:t>
            </w:r>
          </w:p>
        </w:tc>
        <w:tc>
          <w:tcPr>
            <w:tcW w:w="1400" w:type="dxa"/>
            <w:vAlign w:val="bottom"/>
          </w:tcPr>
          <w:p>
            <w:pPr>
              <w:ind w:left="1100"/>
              <w:spacing w:after="0"/>
              <w:rPr>
                <w:sz w:val="20"/>
                <w:szCs w:val="20"/>
                <w:color w:val="auto"/>
              </w:rPr>
            </w:pPr>
            <w:r>
              <w:rPr>
                <w:rFonts w:ascii="Courier New" w:cs="Courier New" w:eastAsia="Courier New" w:hAnsi="Courier New"/>
                <w:sz w:val="15"/>
                <w:szCs w:val="15"/>
                <w:color w:val="auto"/>
              </w:rPr>
              <w:t>66%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21,500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682</w:t>
            </w:r>
          </w:p>
        </w:tc>
      </w:tr>
      <w:tr>
        <w:trPr>
          <w:trHeight w:val="170"/>
        </w:trPr>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Oroville</w:t>
            </w: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44,000</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40,100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26,500</w:t>
            </w:r>
          </w:p>
        </w:tc>
        <w:tc>
          <w:tcPr>
            <w:tcW w:w="1400" w:type="dxa"/>
            <w:vAlign w:val="bottom"/>
          </w:tcPr>
          <w:p>
            <w:pPr>
              <w:ind w:left="1100"/>
              <w:spacing w:after="0"/>
              <w:rPr>
                <w:sz w:val="20"/>
                <w:szCs w:val="20"/>
                <w:color w:val="auto"/>
              </w:rPr>
            </w:pPr>
            <w:r>
              <w:rPr>
                <w:rFonts w:ascii="Courier New" w:cs="Courier New" w:eastAsia="Courier New" w:hAnsi="Courier New"/>
                <w:sz w:val="15"/>
                <w:szCs w:val="15"/>
                <w:color w:val="auto"/>
              </w:rPr>
              <w:t>66%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13,000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504</w:t>
            </w:r>
          </w:p>
        </w:tc>
      </w:tr>
      <w:tr>
        <w:trPr>
          <w:trHeight w:val="170"/>
        </w:trPr>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Salem</w:t>
            </w: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79,000</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76,200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47,800</w:t>
            </w:r>
          </w:p>
        </w:tc>
        <w:tc>
          <w:tcPr>
            <w:tcW w:w="1400" w:type="dxa"/>
            <w:vAlign w:val="bottom"/>
          </w:tcPr>
          <w:p>
            <w:pPr>
              <w:ind w:left="1100"/>
              <w:spacing w:after="0"/>
              <w:rPr>
                <w:sz w:val="20"/>
                <w:szCs w:val="20"/>
                <w:color w:val="auto"/>
              </w:rPr>
            </w:pPr>
            <w:r>
              <w:rPr>
                <w:rFonts w:ascii="Courier New" w:cs="Courier New" w:eastAsia="Courier New" w:hAnsi="Courier New"/>
                <w:sz w:val="15"/>
                <w:szCs w:val="15"/>
                <w:color w:val="auto"/>
              </w:rPr>
              <w:t>63%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29,600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632</w:t>
            </w:r>
          </w:p>
        </w:tc>
      </w:tr>
      <w:tr>
        <w:trPr>
          <w:trHeight w:val="170"/>
        </w:trPr>
        <w:tc>
          <w:tcPr>
            <w:tcW w:w="198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ind w:left="11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Total Ore-Cal  Region</w:t>
            </w: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181,000</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172,100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110,900</w:t>
            </w:r>
          </w:p>
        </w:tc>
        <w:tc>
          <w:tcPr>
            <w:tcW w:w="1400" w:type="dxa"/>
            <w:vAlign w:val="bottom"/>
          </w:tcPr>
          <w:p>
            <w:pPr>
              <w:ind w:left="1100"/>
              <w:spacing w:after="0"/>
              <w:rPr>
                <w:sz w:val="20"/>
                <w:szCs w:val="20"/>
                <w:color w:val="auto"/>
              </w:rPr>
            </w:pPr>
            <w:r>
              <w:rPr>
                <w:rFonts w:ascii="Courier New" w:cs="Courier New" w:eastAsia="Courier New" w:hAnsi="Courier New"/>
                <w:sz w:val="15"/>
                <w:szCs w:val="15"/>
                <w:color w:val="auto"/>
              </w:rPr>
              <w:t>64%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64,100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1,818</w:t>
            </w:r>
          </w:p>
        </w:tc>
      </w:tr>
      <w:tr>
        <w:trPr>
          <w:trHeight w:val="339"/>
        </w:trPr>
        <w:tc>
          <w:tcPr>
            <w:tcW w:w="1980" w:type="dxa"/>
            <w:vAlign w:val="bottom"/>
          </w:tcPr>
          <w:p>
            <w:pPr>
              <w:spacing w:after="0"/>
              <w:rPr>
                <w:sz w:val="20"/>
                <w:szCs w:val="20"/>
                <w:color w:val="auto"/>
              </w:rPr>
            </w:pPr>
            <w:r>
              <w:rPr>
                <w:rFonts w:ascii="Courier New" w:cs="Courier New" w:eastAsia="Courier New" w:hAnsi="Courier New"/>
                <w:sz w:val="15"/>
                <w:szCs w:val="15"/>
                <w:color w:val="auto"/>
              </w:rPr>
              <w:t>Puget Sound Region(7)</w:t>
            </w:r>
          </w:p>
        </w:tc>
        <w:tc>
          <w:tcPr>
            <w:tcW w:w="10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645,000</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624,400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438,100</w:t>
            </w:r>
          </w:p>
        </w:tc>
        <w:tc>
          <w:tcPr>
            <w:tcW w:w="1400" w:type="dxa"/>
            <w:vAlign w:val="bottom"/>
          </w:tcPr>
          <w:p>
            <w:pPr>
              <w:ind w:left="1100"/>
              <w:spacing w:after="0"/>
              <w:rPr>
                <w:sz w:val="20"/>
                <w:szCs w:val="20"/>
                <w:color w:val="auto"/>
              </w:rPr>
            </w:pPr>
            <w:r>
              <w:rPr>
                <w:rFonts w:ascii="Courier New" w:cs="Courier New" w:eastAsia="Courier New" w:hAnsi="Courier New"/>
                <w:sz w:val="15"/>
                <w:szCs w:val="15"/>
                <w:color w:val="auto"/>
              </w:rPr>
              <w:t>70%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302,100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6,410</w:t>
            </w:r>
          </w:p>
        </w:tc>
      </w:tr>
      <w:tr>
        <w:trPr>
          <w:trHeight w:val="339"/>
        </w:trPr>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Midwest Region</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0"/>
        </w:trPr>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Nashville(7)</w:t>
            </w: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271,000</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240,700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146,300</w:t>
            </w:r>
          </w:p>
        </w:tc>
        <w:tc>
          <w:tcPr>
            <w:tcW w:w="1400" w:type="dxa"/>
            <w:vAlign w:val="bottom"/>
          </w:tcPr>
          <w:p>
            <w:pPr>
              <w:ind w:left="1100"/>
              <w:spacing w:after="0"/>
              <w:rPr>
                <w:sz w:val="20"/>
                <w:szCs w:val="20"/>
                <w:color w:val="auto"/>
              </w:rPr>
            </w:pPr>
            <w:r>
              <w:rPr>
                <w:rFonts w:ascii="Courier New" w:cs="Courier New" w:eastAsia="Courier New" w:hAnsi="Courier New"/>
                <w:sz w:val="15"/>
                <w:szCs w:val="15"/>
                <w:color w:val="auto"/>
              </w:rPr>
              <w:t>61%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143,800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2,357</w:t>
            </w:r>
          </w:p>
        </w:tc>
      </w:tr>
      <w:tr>
        <w:trPr>
          <w:trHeight w:val="170"/>
        </w:trPr>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Dayton(7)</w:t>
            </w: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98,000</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94,100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52,300</w:t>
            </w:r>
          </w:p>
        </w:tc>
        <w:tc>
          <w:tcPr>
            <w:tcW w:w="1400" w:type="dxa"/>
            <w:vAlign w:val="bottom"/>
          </w:tcPr>
          <w:p>
            <w:pPr>
              <w:ind w:left="1100"/>
              <w:spacing w:after="0"/>
              <w:rPr>
                <w:sz w:val="20"/>
                <w:szCs w:val="20"/>
                <w:color w:val="auto"/>
              </w:rPr>
            </w:pPr>
            <w:r>
              <w:rPr>
                <w:rFonts w:ascii="Courier New" w:cs="Courier New" w:eastAsia="Courier New" w:hAnsi="Courier New"/>
                <w:sz w:val="15"/>
                <w:szCs w:val="15"/>
                <w:color w:val="auto"/>
              </w:rPr>
              <w:t>56%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59,600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114%</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635</w:t>
            </w:r>
          </w:p>
        </w:tc>
      </w:tr>
      <w:tr>
        <w:trPr>
          <w:trHeight w:val="170"/>
        </w:trPr>
        <w:tc>
          <w:tcPr>
            <w:tcW w:w="198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ind w:left="11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Total Midwest Region</w:t>
            </w: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369,000</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334,800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198,600</w:t>
            </w:r>
          </w:p>
        </w:tc>
        <w:tc>
          <w:tcPr>
            <w:tcW w:w="1400" w:type="dxa"/>
            <w:vAlign w:val="bottom"/>
          </w:tcPr>
          <w:p>
            <w:pPr>
              <w:ind w:left="1100"/>
              <w:spacing w:after="0"/>
              <w:rPr>
                <w:sz w:val="20"/>
                <w:szCs w:val="20"/>
                <w:color w:val="auto"/>
              </w:rPr>
            </w:pPr>
            <w:r>
              <w:rPr>
                <w:rFonts w:ascii="Courier New" w:cs="Courier New" w:eastAsia="Courier New" w:hAnsi="Courier New"/>
                <w:sz w:val="15"/>
                <w:szCs w:val="15"/>
                <w:color w:val="auto"/>
              </w:rPr>
              <w:t>59%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203,400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2,992</w:t>
            </w:r>
          </w:p>
        </w:tc>
      </w:tr>
      <w:tr>
        <w:trPr>
          <w:trHeight w:val="339"/>
        </w:trPr>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Total Viacom Cable</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1,879,000</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1,789,600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1,179,500</w:t>
            </w:r>
          </w:p>
        </w:tc>
        <w:tc>
          <w:tcPr>
            <w:tcW w:w="1400" w:type="dxa"/>
            <w:vAlign w:val="bottom"/>
          </w:tcPr>
          <w:p>
            <w:pPr>
              <w:ind w:left="1100"/>
              <w:spacing w:after="0"/>
              <w:rPr>
                <w:sz w:val="20"/>
                <w:szCs w:val="20"/>
                <w:color w:val="auto"/>
              </w:rPr>
            </w:pPr>
            <w:r>
              <w:rPr>
                <w:rFonts w:ascii="Courier New" w:cs="Courier New" w:eastAsia="Courier New" w:hAnsi="Courier New"/>
                <w:sz w:val="15"/>
                <w:szCs w:val="15"/>
                <w:color w:val="auto"/>
              </w:rPr>
              <w:t>66%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921,100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14,707</w:t>
            </w:r>
          </w:p>
        </w:tc>
      </w:tr>
      <w:tr>
        <w:trPr>
          <w:trHeight w:val="170"/>
        </w:trPr>
        <w:tc>
          <w:tcPr>
            <w:tcW w:w="198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ind w:left="11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ind w:left="10" w:right="4400" w:hanging="10"/>
        <w:spacing w:after="0" w:line="237" w:lineRule="auto"/>
        <w:tabs>
          <w:tab w:leader="none" w:pos="362"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Homes in franchise area represents Viacom Cable's estimate based upon local sources such as city directories, chambers of commerce, public utilities, public officials and house counts.</w:t>
      </w:r>
    </w:p>
    <w:p>
      <w:pPr>
        <w:spacing w:after="0" w:line="5" w:lineRule="exact"/>
        <w:rPr>
          <w:rFonts w:ascii="Courier New" w:cs="Courier New" w:eastAsia="Courier New" w:hAnsi="Courier New"/>
          <w:sz w:val="15"/>
          <w:szCs w:val="15"/>
          <w:color w:val="auto"/>
        </w:rPr>
      </w:pPr>
    </w:p>
    <w:p>
      <w:pPr>
        <w:ind w:left="10" w:right="4660" w:hanging="10"/>
        <w:spacing w:after="0" w:line="235" w:lineRule="auto"/>
        <w:tabs>
          <w:tab w:leader="none" w:pos="362"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Homes are deemed "passed by cable" if such homes can be connected without any further extension of the transmission trunk lines.</w:t>
      </w:r>
    </w:p>
    <w:p>
      <w:pPr>
        <w:spacing w:after="0" w:line="6" w:lineRule="exact"/>
        <w:rPr>
          <w:rFonts w:ascii="Courier New" w:cs="Courier New" w:eastAsia="Courier New" w:hAnsi="Courier New"/>
          <w:sz w:val="15"/>
          <w:szCs w:val="15"/>
          <w:color w:val="auto"/>
        </w:rPr>
      </w:pPr>
    </w:p>
    <w:p>
      <w:pPr>
        <w:ind w:left="10" w:right="5200" w:hanging="10"/>
        <w:spacing w:after="0" w:line="235" w:lineRule="auto"/>
        <w:tabs>
          <w:tab w:leader="none" w:pos="362"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number of homes connected, rather than the number of television outlets connected within such homes.</w:t>
      </w:r>
    </w:p>
    <w:p>
      <w:pPr>
        <w:spacing w:after="0" w:line="1"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primary customers as a percentage of homes passed by cable.</w:t>
      </w:r>
    </w:p>
    <w:p>
      <w:pPr>
        <w:spacing w:after="0" w:line="4" w:lineRule="exact"/>
        <w:rPr>
          <w:rFonts w:ascii="Courier New" w:cs="Courier New" w:eastAsia="Courier New" w:hAnsi="Courier New"/>
          <w:sz w:val="15"/>
          <w:szCs w:val="15"/>
          <w:color w:val="auto"/>
        </w:rPr>
      </w:pPr>
    </w:p>
    <w:p>
      <w:pPr>
        <w:ind w:left="10" w:right="4840" w:hanging="10"/>
        <w:spacing w:after="0" w:line="235" w:lineRule="auto"/>
        <w:tabs>
          <w:tab w:leader="none" w:pos="362"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premium unit count is based on the total number of premium services subscribed to by primary customers.</w:t>
      </w:r>
    </w:p>
    <w:p>
      <w:pPr>
        <w:spacing w:after="0" w:line="1"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premium units as a percentage of primary customers.</w:t>
      </w:r>
    </w:p>
    <w:p>
      <w:pPr>
        <w:spacing w:after="0" w:line="4" w:lineRule="exact"/>
        <w:rPr>
          <w:rFonts w:ascii="Courier New" w:cs="Courier New" w:eastAsia="Courier New" w:hAnsi="Courier New"/>
          <w:sz w:val="15"/>
          <w:szCs w:val="15"/>
          <w:color w:val="auto"/>
        </w:rPr>
      </w:pPr>
    </w:p>
    <w:p>
      <w:pPr>
        <w:ind w:left="10" w:right="4660" w:hanging="10"/>
        <w:spacing w:after="0" w:line="235" w:lineRule="auto"/>
        <w:tabs>
          <w:tab w:leader="none" w:pos="362"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cable television companies have franchises and serve parts of these areas in which the Company has franchises.</w:t>
      </w:r>
    </w:p>
    <w:p>
      <w:pPr>
        <w:spacing w:after="0" w:line="200" w:lineRule="exact"/>
        <w:rPr>
          <w:sz w:val="20"/>
          <w:szCs w:val="20"/>
          <w:color w:val="auto"/>
        </w:rPr>
      </w:pPr>
    </w:p>
    <w:p>
      <w:pPr>
        <w:spacing w:after="0" w:line="30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1450"/>
          </w:cols>
          <w:pgMar w:left="230" w:top="961" w:right="219"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Intellectual Property</w:t>
      </w:r>
    </w:p>
    <w:p>
      <w:pPr>
        <w:spacing w:after="0" w:line="175" w:lineRule="exact"/>
        <w:rPr>
          <w:sz w:val="20"/>
          <w:szCs w:val="20"/>
          <w:color w:val="auto"/>
        </w:rPr>
      </w:pPr>
    </w:p>
    <w:p>
      <w:pPr>
        <w:ind w:right="3359" w:firstLine="705"/>
        <w:spacing w:after="0" w:line="257" w:lineRule="auto"/>
        <w:rPr>
          <w:sz w:val="20"/>
          <w:szCs w:val="20"/>
          <w:color w:val="auto"/>
        </w:rPr>
      </w:pPr>
      <w:r>
        <w:rPr>
          <w:rFonts w:ascii="Courier New" w:cs="Courier New" w:eastAsia="Courier New" w:hAnsi="Courier New"/>
          <w:sz w:val="14"/>
          <w:szCs w:val="14"/>
          <w:color w:val="auto"/>
        </w:rPr>
        <w:t>It is the Company's practice to protect its theatrical and television product, software, publications and its other original and acquired works. The following logos and trademarks are among those strongly identified with the product lines they represent and are significant assets of the Company: VIACOM(R), the BLOCKBUSTER(R) family of marks, MACMILLAN(R), the MTV: MUSIC TELEVISION(R) family of marks, THE MOVIE CHANNEL(TM), NICK AT NITE(R) and the NICKELODEON(R) family of marks, NICK AT NITE'S TV LAND(TM), the PARAMOUNT(R) family of marks, POCKET BOOKS(TM), SIMON &amp; SCHUSTER(R), SHOWTIME(R), the STAR TREK(R) family of marks and the VH1 MUSIC FIRST(TM) family of marks.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5" w:lineRule="exact"/>
        <w:rPr>
          <w:sz w:val="20"/>
          <w:szCs w:val="20"/>
          <w:color w:val="auto"/>
        </w:rPr>
      </w:pPr>
    </w:p>
    <w:p>
      <w:pPr>
        <w:ind w:right="3439" w:firstLine="705"/>
        <w:spacing w:after="0" w:line="235" w:lineRule="auto"/>
        <w:rPr>
          <w:sz w:val="20"/>
          <w:szCs w:val="20"/>
          <w:color w:val="auto"/>
        </w:rPr>
      </w:pPr>
      <w:r>
        <w:rPr>
          <w:rFonts w:ascii="Courier New" w:cs="Courier New" w:eastAsia="Courier New" w:hAnsi="Courier New"/>
          <w:sz w:val="15"/>
          <w:szCs w:val="15"/>
          <w:color w:val="auto"/>
        </w:rPr>
        <w:t>All of the Company's segments compete generally with various forms of leisure, entertainment and recreational activities.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Networks</w:t>
      </w:r>
    </w:p>
    <w:p>
      <w:pPr>
        <w:spacing w:after="0" w:line="17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MTVN. MTVN services are in competition for available channel space on existing cable systems and for fees from cable operators and alternative media distributors, with other cable program services, and nationally distributed and local independent television stations. MTVN also competes for advertising revenue with other cable and broadcast television programmers, and radio and print media. For basic cable television programmers such as MTVN, advertising revenues derived by each program service depend on the number of households subscribing to the service through local cable operators and other distributors. (See "Business --Competition--Entertainment")</w:t>
      </w:r>
    </w:p>
    <w:p>
      <w:pPr>
        <w:spacing w:after="0" w:line="179"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Certain major record companies have either launched or have announced plans to launch music-based program services in the U.S. Certain major record companies have also announced plans to launch, or have launched, music-based program services outside the U.S., including but not limited to: V-Channel which is jointly owned and operated in Asia by Star TV and four major record labels; and Viva and Viva 2, German-language music channels distributed in Germany and owned in large part by four major record labels. MuchMusic, a music service which originated in Canada, commenced U.S. distribution in spring 1995; and a MuchMusic service customized for the Latin American market is being distributed in Mexico and Argentina.</w:t>
      </w:r>
    </w:p>
    <w:p>
      <w:pPr>
        <w:spacing w:after="0" w:line="180" w:lineRule="exact"/>
        <w:rPr>
          <w:sz w:val="20"/>
          <w:szCs w:val="20"/>
          <w:color w:val="auto"/>
        </w:rPr>
      </w:pPr>
    </w:p>
    <w:p>
      <w:pPr>
        <w:ind w:right="3259" w:firstLine="705"/>
        <w:spacing w:after="0" w:line="257" w:lineRule="auto"/>
        <w:rPr>
          <w:sz w:val="20"/>
          <w:szCs w:val="20"/>
          <w:color w:val="auto"/>
        </w:rPr>
      </w:pPr>
      <w:r>
        <w:rPr>
          <w:rFonts w:ascii="Courier New" w:cs="Courier New" w:eastAsia="Courier New" w:hAnsi="Courier New"/>
          <w:sz w:val="14"/>
          <w:szCs w:val="14"/>
          <w:color w:val="auto"/>
        </w:rPr>
        <w:t>SNI. Competition among premium subscription television program services in the U.S. is primarily dependent on: (1) the acquisition and packaging of an adequate number of recently released quality motion pictures; and (2) the offering of prices, marketing and advertising support and other incentives to cable operators and other distributors so as to favorably position and package SNI's premium subscription television program services to subscribers. HBO is the dominant company in the U.S. premium subscription television category, offering two premium subscription television program services, the HBO service and Cinemax. SNI is second to HBO with a significantly smaller share of the premium subscription television category. In addition, in February 1994, Encore Media Corp. (an affiliate of Tele-Communications, Inc.) launched Starz!, a premium subscription television program service featuring recently released motion pictures, in competition with SNI's premium program services. (See "Business--Competition--Entertainment")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Broadcasting</w:t>
      </w:r>
    </w:p>
    <w:p>
      <w:pPr>
        <w:spacing w:after="0" w:line="175"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The principal methods of competition in the television and radio broadcasting field are the development of audience interest through programming and promotions. While three of the Company's television stations are affiliated with NBC and another of the Company's television stations is affiliated with CBS, the Company's expansion strategy has been to seek to acquire UPN affiliates or independent stations which will become primary affiliates of UPN. At this time, UPN has limited programming. Therefore, with respect to the Company's current UPN affiliated stations, and, to the extent that the Company acquires independent stations, there will be a need for those stations to acquire additional programming to a greater extent than would otherwise be required if the stations were affiliated with the older, more established networks.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961" w:right="1440" w:bottom="1440" w:gutter="0" w:footer="0" w:header="0"/>
        </w:sectPr>
      </w:pPr>
    </w:p>
    <w:bookmarkStart w:id="21" w:name="page22"/>
    <w:bookmarkEnd w:id="21"/>
    <w:p>
      <w:pPr>
        <w:ind w:right="3179"/>
        <w:spacing w:after="0" w:line="257" w:lineRule="auto"/>
        <w:rPr>
          <w:sz w:val="20"/>
          <w:szCs w:val="20"/>
          <w:color w:val="auto"/>
        </w:rPr>
      </w:pPr>
      <w:r>
        <w:rPr>
          <w:rFonts w:ascii="Courier New" w:cs="Courier New" w:eastAsia="Courier New" w:hAnsi="Courier New"/>
          <w:sz w:val="14"/>
          <w:szCs w:val="14"/>
          <w:color w:val="auto"/>
        </w:rPr>
        <w:t>Television and radio stations compete for advertising revenues with other stations in their respective coverage areas as well as with all other advertising media. Generally, technological advances with respect to the methods of providing home entertainment alternatives and changing regulatory policies with respect to the broadcast industry may have an impact upon broadcasting's future competitive environment. In addition, the 1996 Telecommunications Act liberalizes television and radio station ownership limits and consequently allows for increased group ownership or control of stations on both a national and, with respect to radio, a local market basis. The Company is unable to predict what impact these changes will have on its businesses in each applicable market. (See "Business--Regulation--Broadcasting")</w:t>
      </w:r>
    </w:p>
    <w:p>
      <w:pPr>
        <w:spacing w:after="0" w:line="166"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In recent years, competition has arisen from the DBS distribution of programming which commenced in 1994. Moreover, the FCC has issued rules which may significantly increase the number of MMDS systems. The FCC has also authorized video uses of certain frequencies which have not traditionally been used or permitted for commercial video services and has issued rules which will increase the number of FM and AM stations. The FCC is also considering authorizing digital audio broadcasts, which could ultimately permit increased radio competition by satellite delivery of audio stations directly to the home (or to cars) and has authorized and is in the process of licensing low-power television stations ("LPTV stations") that may serve various communities with coverage areas smaller than those served by full conventional television stations. Because of their coverage limitations, LPTV stations may be allocated to communities which cannot accommodate a full-power television station because of technical requirements.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Entertainment</w:t>
      </w:r>
    </w:p>
    <w:p>
      <w:pPr>
        <w:spacing w:after="0" w:line="175"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The Company competes intensely with other major studios and independent film producers in the production and distribution of motion pictures and video cassettes. Similarly, as a producer and distributor of television programs, the Company competes with other studios and independent producers in the licensing of television programs to both networks and independent television stations. PARAMOUNT PICTURES' competitive position primarily depends on the quality of the product produced, public response and cost. The Company also competes to obtain creative talents and story properties which are essential to the success of all of the Company's entertainment businesses.</w:t>
      </w:r>
    </w:p>
    <w:p>
      <w:pPr>
        <w:spacing w:after="0" w:line="167" w:lineRule="exact"/>
        <w:rPr>
          <w:sz w:val="20"/>
          <w:szCs w:val="20"/>
          <w:color w:val="auto"/>
        </w:rPr>
      </w:pPr>
    </w:p>
    <w:p>
      <w:pPr>
        <w:ind w:right="3439" w:firstLine="705"/>
        <w:spacing w:after="0" w:line="237" w:lineRule="auto"/>
        <w:rPr>
          <w:sz w:val="20"/>
          <w:szCs w:val="20"/>
          <w:color w:val="auto"/>
        </w:rPr>
      </w:pPr>
      <w:r>
        <w:rPr>
          <w:rFonts w:ascii="Courier New" w:cs="Courier New" w:eastAsia="Courier New" w:hAnsi="Courier New"/>
          <w:sz w:val="15"/>
          <w:szCs w:val="15"/>
          <w:color w:val="auto"/>
        </w:rPr>
        <w:t>In addition to the competitive factors applicable to all areas of the entertainment industry, the marketplace for interactive entertainment is also characterized by the rapid evolution of game-playing and distribution technologies.</w:t>
      </w:r>
    </w:p>
    <w:p>
      <w:pPr>
        <w:spacing w:after="0" w:line="176" w:lineRule="exact"/>
        <w:rPr>
          <w:sz w:val="20"/>
          <w:szCs w:val="20"/>
          <w:color w:val="auto"/>
        </w:rPr>
      </w:pPr>
    </w:p>
    <w:p>
      <w:pPr>
        <w:ind w:right="3179" w:firstLine="705"/>
        <w:spacing w:after="0" w:line="259" w:lineRule="auto"/>
        <w:rPr>
          <w:sz w:val="20"/>
          <w:szCs w:val="20"/>
          <w:color w:val="auto"/>
        </w:rPr>
      </w:pPr>
      <w:r>
        <w:rPr>
          <w:rFonts w:ascii="Courier New" w:cs="Courier New" w:eastAsia="Courier New" w:hAnsi="Courier New"/>
          <w:sz w:val="14"/>
          <w:szCs w:val="14"/>
          <w:color w:val="auto"/>
        </w:rPr>
        <w:t>Recently announced transactions, resulting in greater consolidation in the entertainment and media industries, may also present significant competitive challenges to several of the Company's businesses, including its theatrical motion picture division and its basic and premium subscription program services.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Video</w:t>
      </w:r>
    </w:p>
    <w:p>
      <w:pPr>
        <w:spacing w:after="0" w:line="175" w:lineRule="exact"/>
        <w:rPr>
          <w:sz w:val="20"/>
          <w:szCs w:val="20"/>
          <w:color w:val="auto"/>
        </w:rPr>
      </w:pPr>
    </w:p>
    <w:p>
      <w:pPr>
        <w:ind w:right="3799" w:firstLine="705"/>
        <w:spacing w:after="0" w:line="265" w:lineRule="auto"/>
        <w:rPr>
          <w:sz w:val="20"/>
          <w:szCs w:val="20"/>
          <w:color w:val="auto"/>
        </w:rPr>
      </w:pPr>
      <w:r>
        <w:rPr>
          <w:rFonts w:ascii="Courier New" w:cs="Courier New" w:eastAsia="Courier New" w:hAnsi="Courier New"/>
          <w:sz w:val="14"/>
          <w:szCs w:val="14"/>
          <w:color w:val="auto"/>
        </w:rPr>
        <w:t>The home video retail business is highly competitive. The Company believes that the principal competitive factors in the business are title</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27" w:right="1440" w:bottom="1440" w:gutter="0" w:footer="0" w:header="0"/>
        </w:sectPr>
      </w:pPr>
    </w:p>
    <w:bookmarkStart w:id="22" w:name="page23"/>
    <w:bookmarkEnd w:id="22"/>
    <w:p>
      <w:pPr>
        <w:ind w:right="3179"/>
        <w:spacing w:after="0" w:line="257" w:lineRule="auto"/>
        <w:rPr>
          <w:sz w:val="20"/>
          <w:szCs w:val="20"/>
          <w:color w:val="auto"/>
        </w:rPr>
      </w:pPr>
      <w:r>
        <w:rPr>
          <w:rFonts w:ascii="Courier New" w:cs="Courier New" w:eastAsia="Courier New" w:hAnsi="Courier New"/>
          <w:sz w:val="14"/>
          <w:szCs w:val="14"/>
          <w:color w:val="auto"/>
        </w:rPr>
        <w:t>selection, number of copies of titles available, the quality of customer service and pricing. The Company believes that the success of its business depends in part on its large and attractive Company-owned and franchise-owned BLOCKBUSTER VIDEO stores offering a wide selection of titles and larger and more accessible inventory than most of its competitors, in addition to more convenient store locations, faster and more efficient computerized check-in/check-out procedures, extended operating hours, effective customer service and competitive pricing.</w:t>
      </w:r>
    </w:p>
    <w:p>
      <w:pPr>
        <w:spacing w:after="0" w:line="167"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From time to time, home video companies and distributors offer titles at a price substantially lower than the range in which titles are ordinarily priced to home video retailers. These titles, known as "sell-thru" titles because their lower wholesale price is intended to increase the number of copies sold by retailers, consist primarily of successful children's movies and other movies that have unique characteristics or other mass ownership appeal. BLOCKBUSTER offers these titles both for rental and sale in its stores. The competition for sales of these titles is greater than "rental-priced products" due to the participation in this market of mass merchants, grocery stores and other retailers not engaged in the business of renting videocassettes. Although the number of sell-thru priced products increased in 1996, the Company believes that the substantially higher profit margins to movie studios on rental product will continue to limit the number of sell-thru titles.</w:t>
      </w:r>
    </w:p>
    <w:p>
      <w:pPr>
        <w:spacing w:after="0" w:line="33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In the retail rental marketplace, the Company and its franchise owners compete with other national and regional video rental chains, local video rental stores, grocery stores and several other retailers engaged in the rental of videocassettes. As noted above, the market for sell-thru product at retail is significantly broader. The Company and its franchise owners also compete generally with other feature film distribution media, such as movie theaters and broadcast, cable and DBS television.</w:t>
      </w:r>
    </w:p>
    <w:p>
      <w:pPr>
        <w:spacing w:after="0" w:line="177"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A significant competitive advantage that the Company and its franchisees (and all other video retail outlets) currently enjoy over broadcast, cable and DBS television is a limited exclusive distribution "window". Generally, after the initial domestic theatrical exhibition of a film, studios make the films available to video rental outlets on an exclusive basis for a period of time. The length of this period, however, varies based upon a number of factors including, but not limited to, the box-office success of the film and license fee commitments made by pay-per-view distributors, premium subscription program services and broadcast networks to exhibit the film in such alternative windows. While certain films had shorter home video windows than historically available to retailers, the average window for major releases during the year did not differ materially from prior years and the Company does not expect this window to differ materially in 1996. However, there can be no assurances that the studios will not alter the window due to new methods of distribution or other factors.</w:t>
      </w:r>
    </w:p>
    <w:p>
      <w:pPr>
        <w:spacing w:after="0" w:line="185"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In 1994, several consumer product companies announced plans to introduce different types of products to exhibit prerecorded filmed entertainment products on television sets. During 1995, these companies collectively established uniform technological standards on which all such products would be based. The product, now commonly referred to as the "digital versatile disc" or "DVD" player, is based on digital technology and permits a film that is recorded in digital format on a compact disc to be shown on a standard television set. This new technology is said to offer significant benefits to consumers by enabling home video companies and their distributors to produce a lower cost, higher</w:t>
      </w:r>
    </w:p>
    <w:p>
      <w:pPr>
        <w:spacing w:after="0" w:line="1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27" w:right="1440" w:bottom="1440" w:gutter="0" w:footer="0" w:header="0"/>
        </w:sectPr>
      </w:pPr>
    </w:p>
    <w:bookmarkStart w:id="23" w:name="page24"/>
    <w:bookmarkEnd w:id="23"/>
    <w:p>
      <w:pPr>
        <w:ind w:right="3179"/>
        <w:spacing w:after="0" w:line="238" w:lineRule="auto"/>
        <w:rPr>
          <w:sz w:val="20"/>
          <w:szCs w:val="20"/>
          <w:color w:val="auto"/>
        </w:rPr>
      </w:pPr>
      <w:r>
        <w:rPr>
          <w:rFonts w:ascii="Courier New" w:cs="Courier New" w:eastAsia="Courier New" w:hAnsi="Courier New"/>
          <w:sz w:val="15"/>
          <w:szCs w:val="15"/>
          <w:color w:val="auto"/>
        </w:rPr>
        <w:t>quality product than videocassettes. Manufacturers are planning to introduce their DVD products into the U.S. The Company is unable to determine at this time whether this new format will gain significant consumer acceptance generally or among the Company's customers. As a result, the Company is unable to determine the impact, if any, this new format will have on the Company's business. Once such technology is introduced, the Company will monitor its acceptance by the market and endeavor to exploit this new medium, both in the rental and sale of the product.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Music</w:t>
      </w:r>
    </w:p>
    <w:p>
      <w:pPr>
        <w:spacing w:after="0" w:line="175" w:lineRule="exact"/>
        <w:rPr>
          <w:sz w:val="20"/>
          <w:szCs w:val="20"/>
          <w:color w:val="auto"/>
        </w:rPr>
      </w:pPr>
    </w:p>
    <w:p>
      <w:pPr>
        <w:ind w:right="3259" w:firstLine="705"/>
        <w:spacing w:after="0" w:line="257" w:lineRule="auto"/>
        <w:rPr>
          <w:sz w:val="20"/>
          <w:szCs w:val="20"/>
          <w:color w:val="auto"/>
        </w:rPr>
      </w:pPr>
      <w:r>
        <w:rPr>
          <w:rFonts w:ascii="Courier New" w:cs="Courier New" w:eastAsia="Courier New" w:hAnsi="Courier New"/>
          <w:sz w:val="14"/>
          <w:szCs w:val="14"/>
          <w:color w:val="auto"/>
        </w:rPr>
        <w:t>Competition among music retailers has intensified greatly over the past two years with the entry into the business of a number of mass merchants. Many of these retail chains have significantly reduced their prices on prerecorded music products (primarily new releases) to attract customers into their stores and generate sales of other, higher margin products. To protect its market share, the Company has lowered the prices at which it sells many of its products, resulting in lower revenue and reduced profit margins. Several other specialty music retail chains, however, have been unable to compete. Some of these chains have declared bankruptcy while others have begun closing unprofitable stores in an attempt to minimize operating losses. The intense competition in the industry coupled with a generally soft overall retail environment during 1995, also negatively affected many of the mass merchants.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Theme Parks</w:t>
      </w:r>
    </w:p>
    <w:p>
      <w:pPr>
        <w:spacing w:after="0" w:line="175" w:lineRule="exact"/>
        <w:rPr>
          <w:sz w:val="20"/>
          <w:szCs w:val="20"/>
          <w:color w:val="auto"/>
        </w:rPr>
      </w:pPr>
    </w:p>
    <w:p>
      <w:pPr>
        <w:ind w:right="3359" w:firstLine="705"/>
        <w:spacing w:after="0" w:line="238" w:lineRule="auto"/>
        <w:rPr>
          <w:sz w:val="20"/>
          <w:szCs w:val="20"/>
          <w:color w:val="auto"/>
        </w:rPr>
      </w:pPr>
      <w:r>
        <w:rPr>
          <w:rFonts w:ascii="Courier New" w:cs="Courier New" w:eastAsia="Courier New" w:hAnsi="Courier New"/>
          <w:sz w:val="15"/>
          <w:szCs w:val="15"/>
          <w:color w:val="auto"/>
        </w:rPr>
        <w:t>The Company's theme parks compete directly with other theme parks in their respective geographic regions as well as generally with other forms of leisure entertainment. The profitability of the leisure-time industry is influenced by various factors which are not directly controllable, such as economic conditions, amount of available leisure time, oil and transportation prices, and weather patterns. The Company believes that its intellectual properties will enhance existing attractions and facilitate the development of new attractions to encourage visitors to the PARAMOUNT PARKS theme parks and water park.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Publishing</w:t>
      </w:r>
    </w:p>
    <w:p>
      <w:pPr>
        <w:spacing w:after="0" w:line="175"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Competition in the elementary, secondary and higher education textbook and the trade and paperback book fields is intense, with a number of strong competitors. In addition, the acquisition of publication rights to important book titles is highly competitive and the Company competes with numerous other book publishers. In the field of elementary and secondary school textbooks, 22 states and some local jurisdictions limit the textbooks that may be bought by school systems with state funds to those books that have been approved by adoption or listing. Competition to be included on state adoption lists is considerable. In the higher education textbook field, new books compete with used books. In addition, book piracy affects sales in certain foreign markets. A large portion of annual sales of educational textbooks is made during the June to September period. In certain areas of publishing, books are usually sold on a fully returnable basis resulting in significant product returns to publishers. In the field of information services to businesses and professionals, there are numerous organizations that provide competitive materials and services.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27"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Cable Television</w:t>
      </w:r>
    </w:p>
    <w:p>
      <w:pPr>
        <w:spacing w:after="0" w:line="175"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The Company's cable television systems operate pursuant to non-exclusive franchises granted by local governing authorities (either municipal or county). The Communications Act prohibits a franchiser from granting exclusive franchises and from unreasonably refusing to award additional competitive franchises. Accordingly, other cable operators have been franchised and may continue to apply for franchises in certain areas served by the Company's cable systems. However, no new franchises were granted in such areas during 1995.</w:t>
      </w:r>
    </w:p>
    <w:p>
      <w:pPr>
        <w:spacing w:after="0" w:line="167"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The Company's cable systems also may compete for viewers with other distribution systems which deliver programming by MMDS (multichannel, multipoint distribution systems via microwave transmission) and SMATV (satellite transmission to a central receiving facility for distribution to a number of subscribers) or directly to subscribers via DTH technology (either TVRO or DBS). The strength of competition depends upon the availability, reliability, programming and pricing of such alternative distribution systems. Digital compression may allow cable systems to significantly increase the number of channels of programming they deliver and thereby help cable systems meet competition from these other distribution systems.</w:t>
      </w:r>
    </w:p>
    <w:p>
      <w:pPr>
        <w:spacing w:after="0" w:line="180"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In addition, the 1996 Telecommunications Act permits telephone companies ("telcos") to enter the business of distributing programming inside their respective service areas (telcos were previously permitted to do so outside their local telephone areas) either as traditional cable operators, as common carriers, as operators of wireless systems such as MMDS or as operators of a hybrid common carrier/cable system known as an "open video system" ("OVS") (see "Business--Regulation--Cable Television"). The 1996 Telecommunications Act also permits registered utility holding companies to provide cable services under certain conditions (these utilities were previously prohibited from doing so under the Public Utilities Holding Company Act) (see "Business--Regulation--Cable Television").</w:t>
      </w:r>
    </w:p>
    <w:p>
      <w:pPr>
        <w:spacing w:after="0" w:line="181" w:lineRule="exact"/>
        <w:rPr>
          <w:sz w:val="20"/>
          <w:szCs w:val="20"/>
          <w:color w:val="auto"/>
        </w:rPr>
      </w:pPr>
    </w:p>
    <w:p>
      <w:pPr>
        <w:ind w:right="3179" w:firstLine="793"/>
        <w:spacing w:after="0" w:line="260" w:lineRule="auto"/>
        <w:rPr>
          <w:sz w:val="20"/>
          <w:szCs w:val="20"/>
          <w:color w:val="auto"/>
        </w:rPr>
      </w:pPr>
      <w:r>
        <w:rPr>
          <w:rFonts w:ascii="Courier New" w:cs="Courier New" w:eastAsia="Courier New" w:hAnsi="Courier New"/>
          <w:sz w:val="14"/>
          <w:szCs w:val="14"/>
          <w:color w:val="auto"/>
        </w:rPr>
        <w:t>Wireless distribution systems such as MMDS generally do not require local government franchises in order to provide service, nor will telcos require local franchises if they provide service on a common carrier or OVS basis.</w:t>
      </w:r>
    </w:p>
    <w:p>
      <w:pPr>
        <w:spacing w:after="0" w:line="163"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With respect to the provision of telephony services, the Company is a general partner in three partnerships that provide commercial competitive access services. These are services linking business customers to long distance carriers via private networks. Portions of these networks are owned by the partnerships and other portions are owned by the Company's local cable system and leased to the partnerships. These partnership interests will be sold as part of the proposed split-off of the Company's cable systems.</w:t>
      </w:r>
    </w:p>
    <w:p>
      <w:pPr>
        <w:spacing w:after="0" w:line="177" w:lineRule="exact"/>
        <w:rPr>
          <w:sz w:val="20"/>
          <w:szCs w:val="20"/>
          <w:color w:val="auto"/>
        </w:rPr>
      </w:pPr>
    </w:p>
    <w:p>
      <w:pPr>
        <w:ind w:right="3539" w:firstLine="705"/>
        <w:spacing w:after="0" w:line="237" w:lineRule="auto"/>
        <w:rPr>
          <w:sz w:val="20"/>
          <w:szCs w:val="20"/>
          <w:color w:val="auto"/>
        </w:rPr>
      </w:pPr>
      <w:r>
        <w:rPr>
          <w:rFonts w:ascii="Courier New" w:cs="Courier New" w:eastAsia="Courier New" w:hAnsi="Courier New"/>
          <w:sz w:val="15"/>
          <w:szCs w:val="15"/>
          <w:color w:val="auto"/>
        </w:rPr>
        <w:t>The Company views the future success of the cable business in a competitive environment as being dependent on the supply of additional programming and new services to its customers and an increase in primary and premium subscriber penetrations.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22"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Regulation</w:t>
      </w:r>
    </w:p>
    <w:p>
      <w:pPr>
        <w:spacing w:after="0" w:line="175" w:lineRule="exact"/>
        <w:rPr>
          <w:sz w:val="20"/>
          <w:szCs w:val="20"/>
          <w:color w:val="auto"/>
        </w:rPr>
      </w:pPr>
    </w:p>
    <w:p>
      <w:pPr>
        <w:ind w:right="3359" w:firstLine="705"/>
        <w:spacing w:after="0" w:line="257" w:lineRule="auto"/>
        <w:rPr>
          <w:sz w:val="20"/>
          <w:szCs w:val="20"/>
          <w:color w:val="auto"/>
        </w:rPr>
      </w:pPr>
      <w:r>
        <w:rPr>
          <w:rFonts w:ascii="Courier New" w:cs="Courier New" w:eastAsia="Courier New" w:hAnsi="Courier New"/>
          <w:sz w:val="14"/>
          <w:szCs w:val="14"/>
          <w:color w:val="auto"/>
        </w:rPr>
        <w:t>The Company's businesses are either subject to or affected by regulations of federal, state and local governmental authorities. The rules, regulations, policies and procedures affecting these businesses are constantly subject to change. The descriptions which follow are summaries and should be read in conjunction with the texts of the statutes, rules and regulations described herein. The descriptions do not purport to describe all present and proposed statutes, rules and regulations affecting the Company's businesses.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Intellectual Property</w:t>
      </w:r>
    </w:p>
    <w:p>
      <w:pPr>
        <w:spacing w:after="0" w:line="175"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The Company conducts many of its businesses through the control and exploitation of the numerous copyrights and trademarks underlying its products and licenses; therefore, domestic and international laws affecting intellectual property have significant importance to the Company. Congress is currently considering revisions to the Copyright Act of 1976 (the "Copyright Act"), including extension of the protection term by 20 years. Congress may also consider legislation to update the Copyright Act to take into account new technological developments relating to the distribution of copyrighted materials. On November 1, 1995, the Digital Performance Right in Sound Recordings Act of 1995 was enacted, which legislation is not expected to have a material effect on the Company.</w:t>
      </w:r>
    </w:p>
    <w:p>
      <w:pPr>
        <w:spacing w:after="0" w:line="181"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Compulsory Copyright. Cable television and SMATV systems are subject to the Copyright Act which provides a compulsory license for carriage of broadcast signals at prescribed rates (the proceeds are divided among the various copyright holders of the programs carried on distant broadcast signals). No license fee is payable to any program copyright holder for retransmission of broadcast signals which are "local" to the communities served by the cable system. "Open video systems" under the 1996 Telecommunications Act will also be subject to the compulsory license. (See "Business -- Competition --Cable Television" above)</w:t>
      </w:r>
    </w:p>
    <w:p>
      <w:pPr>
        <w:spacing w:after="0" w:line="179" w:lineRule="exact"/>
        <w:rPr>
          <w:sz w:val="20"/>
          <w:szCs w:val="20"/>
          <w:color w:val="auto"/>
        </w:rPr>
      </w:pPr>
    </w:p>
    <w:p>
      <w:pPr>
        <w:ind w:right="3439" w:firstLine="705"/>
        <w:spacing w:after="0" w:line="238" w:lineRule="auto"/>
        <w:rPr>
          <w:sz w:val="20"/>
          <w:szCs w:val="20"/>
          <w:color w:val="auto"/>
        </w:rPr>
      </w:pPr>
      <w:r>
        <w:rPr>
          <w:rFonts w:ascii="Courier New" w:cs="Courier New" w:eastAsia="Courier New" w:hAnsi="Courier New"/>
          <w:sz w:val="15"/>
          <w:szCs w:val="15"/>
          <w:color w:val="auto"/>
        </w:rPr>
        <w:t>The Copyright Act also provides a similar compulsory license for DTH services. Legislation adopted by Congress in 1994 extended the DTH compulsory license for five years, raised the statutory fees paid to carry broadcast signals, and, beginning in 1996, requires the fees to be set through negotiations and binding arbitration rather than by law, taking into account fair market value. Such legislation also includes a provision eliminating the requirement that cable operators pay compulsory license fees for stations located more than 35 miles away but within the same "Area of Dominant Influence".</w:t>
      </w:r>
    </w:p>
    <w:p>
      <w:pPr>
        <w:spacing w:after="0" w:line="179" w:lineRule="exact"/>
        <w:rPr>
          <w:sz w:val="20"/>
          <w:szCs w:val="20"/>
          <w:color w:val="auto"/>
        </w:rPr>
      </w:pPr>
    </w:p>
    <w:p>
      <w:pPr>
        <w:ind w:right="3259" w:firstLine="705"/>
        <w:spacing w:after="0" w:line="257" w:lineRule="auto"/>
        <w:rPr>
          <w:sz w:val="20"/>
          <w:szCs w:val="20"/>
          <w:color w:val="auto"/>
        </w:rPr>
      </w:pPr>
      <w:r>
        <w:rPr>
          <w:rFonts w:ascii="Courier New" w:cs="Courier New" w:eastAsia="Courier New" w:hAnsi="Courier New"/>
          <w:sz w:val="14"/>
          <w:szCs w:val="14"/>
          <w:color w:val="auto"/>
        </w:rPr>
        <w:t>First Sale Doctrine. The "First Sale" provision of the Copyright Act provides that the owner of a legitimate copy of a copyrighted work may rent or otherwise use or dispose of that copy in such a manner as the owner sees fit. The First Sale doctrine does not apply to sound recordings or computer software (other than software made for a limited purpose computer, such as a video game platform), for which the Copyright Act vests a rental right (i.e., the right to control the rental of the copy) in the copyright holder. The repeal or limitation of the First Sale doctrine (or conversely, the creation of a rental right vested in the copyright holder) for audiovisual works or for computer software made for limited purpose computers would have an adverse impact on the</w:t>
      </w:r>
    </w:p>
    <w:p>
      <w:pPr>
        <w:spacing w:after="0" w:line="1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22" w:right="1440" w:bottom="1440" w:gutter="0" w:footer="0" w:header="0"/>
        </w:sectPr>
      </w:pPr>
    </w:p>
    <w:bookmarkStart w:id="26" w:name="page27"/>
    <w:bookmarkEnd w:id="26"/>
    <w:p>
      <w:pPr>
        <w:ind w:right="3799"/>
        <w:spacing w:after="0" w:line="235" w:lineRule="auto"/>
        <w:rPr>
          <w:sz w:val="20"/>
          <w:szCs w:val="20"/>
          <w:color w:val="auto"/>
        </w:rPr>
      </w:pPr>
      <w:r>
        <w:rPr>
          <w:rFonts w:ascii="Courier New" w:cs="Courier New" w:eastAsia="Courier New" w:hAnsi="Courier New"/>
          <w:sz w:val="15"/>
          <w:szCs w:val="15"/>
          <w:color w:val="auto"/>
        </w:rPr>
        <w:t>Company's home video business; however, no such legislation is pending in Congress at the present time.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Networks and Broadcasting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Networks</w:t>
      </w:r>
    </w:p>
    <w:p>
      <w:pPr>
        <w:spacing w:after="0" w:line="175" w:lineRule="exact"/>
        <w:rPr>
          <w:sz w:val="20"/>
          <w:szCs w:val="20"/>
          <w:color w:val="auto"/>
        </w:rPr>
      </w:pPr>
    </w:p>
    <w:p>
      <w:pPr>
        <w:ind w:right="3799" w:firstLine="705"/>
        <w:spacing w:after="0" w:line="235" w:lineRule="auto"/>
        <w:rPr>
          <w:sz w:val="20"/>
          <w:szCs w:val="20"/>
          <w:color w:val="auto"/>
        </w:rPr>
      </w:pPr>
      <w:r>
        <w:rPr>
          <w:rFonts w:ascii="Courier New" w:cs="Courier New" w:eastAsia="Courier New" w:hAnsi="Courier New"/>
          <w:sz w:val="15"/>
          <w:szCs w:val="15"/>
          <w:color w:val="auto"/>
        </w:rPr>
        <w:t>Communications Act; 1996 Telecommunications Act. (See "Business-- Regulation--Cable Television" below)</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Broadcasting</w:t>
      </w:r>
    </w:p>
    <w:p>
      <w:pPr>
        <w:spacing w:after="0" w:line="175" w:lineRule="exact"/>
        <w:rPr>
          <w:sz w:val="20"/>
          <w:szCs w:val="20"/>
          <w:color w:val="auto"/>
        </w:rPr>
      </w:pPr>
    </w:p>
    <w:p>
      <w:pPr>
        <w:ind w:right="3179" w:firstLine="705"/>
        <w:spacing w:after="0" w:line="235" w:lineRule="auto"/>
        <w:rPr>
          <w:sz w:val="20"/>
          <w:szCs w:val="20"/>
          <w:color w:val="auto"/>
        </w:rPr>
      </w:pPr>
      <w:r>
        <w:rPr>
          <w:rFonts w:ascii="Courier New" w:cs="Courier New" w:eastAsia="Courier New" w:hAnsi="Courier New"/>
          <w:sz w:val="15"/>
          <w:szCs w:val="15"/>
          <w:color w:val="auto"/>
        </w:rPr>
        <w:t>Television and radio broadcasting are subject to the jurisdiction of the FCC pursuant to the Communications Act.</w:t>
      </w:r>
    </w:p>
    <w:p>
      <w:pPr>
        <w:spacing w:after="0" w:line="176"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The Communications Act. The Communications Act authorizes the FCC to issue, renew, revoke or modify broadcast licenses; to regulate the radio frequency, operating power and location of stations; to approve the transmitting equipment used by stations; to adopt rules and regulations necessary to carry out the provisions of the Communications Act; and to impose certain penalties for violations of the Communications Act and the FCC's regulations governing the day-to-day operations of television and radio stations.</w:t>
      </w:r>
    </w:p>
    <w:p>
      <w:pPr>
        <w:spacing w:after="0" w:line="167"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Broadcast Licenses. Under the 1996 Telecommunications Act, broadcast station licenses (both television and radio) will ordinarily be granted for maximum periods of eight years, and will be renewable for additional eight-year periods upon application and approval. Prior to this Act, licenses were renewable and were ordinarily granted for the maximum periods of five years, in the case of television stations, and seven years, in the case of radio stations. There is no indication in the 1996 Telecommunications Act as to whether the eight-year term will apply retroactively or only to those licensees who apply for renewals in the future. Licenses may be revoked by the FCC for serious violations of its regulations. Under prior law, competing applications could be filed against a broadcaster seeking to renew its license, and the FCC was required to conduct a hearing to consider the comparative merits of the incumbent and the competing applicant. Although the FCC typically gave the incumbent a "renewal expectancy" if it had complied with FCC rules and broadcast a minimum of public affairs and informational programming during the previous license term, an incumbent nevertheless might have to endure the expense and uncertainty of the comparative hearing process.</w:t>
      </w:r>
    </w:p>
    <w:p>
      <w:pPr>
        <w:spacing w:after="0" w:line="187"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The 1996 Telecommunications Act eliminates competing applications and comparative hearings if the renewal applicant has served the public interest and has not seriously violated the Communications Act or FCC rules, or shown a pattern of abuse. Only if the FCC finds the licensee failed to satisfy these requirements, finds there are no mitigating factors to justify imposing a condition on the license or short-term renewal, and ultimately denies the renewal, can it accept and consider new applications for the now-vacant channel.</w:t>
      </w:r>
    </w:p>
    <w:p>
      <w:pPr>
        <w:spacing w:after="0" w:line="1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27" w:right="1440" w:bottom="1440" w:gutter="0" w:footer="0" w:header="0"/>
        </w:sectPr>
      </w:pPr>
    </w:p>
    <w:bookmarkStart w:id="27" w:name="page28"/>
    <w:bookmarkEnd w:id="27"/>
    <w:p>
      <w:pPr>
        <w:ind w:right="3179" w:firstLine="705"/>
        <w:spacing w:after="0" w:line="238" w:lineRule="auto"/>
        <w:rPr>
          <w:sz w:val="20"/>
          <w:szCs w:val="20"/>
          <w:color w:val="auto"/>
        </w:rPr>
      </w:pPr>
      <w:r>
        <w:rPr>
          <w:rFonts w:ascii="Courier New" w:cs="Courier New" w:eastAsia="Courier New" w:hAnsi="Courier New"/>
          <w:sz w:val="15"/>
          <w:szCs w:val="15"/>
          <w:color w:val="auto"/>
        </w:rPr>
        <w:t>As in the past, the FCC must decide what factors are relevant to whether a broadcaster has "served the public interest," and it may use the same factors it formerly considered or such other factors that it may adapt relevant to a renewal expectancy. In addition to the broadcaster's record of providing news, public affairs, and other informational programming, the FCC has also considered children's programming relevant to television renewals.</w:t>
      </w:r>
    </w:p>
    <w:p>
      <w:pPr>
        <w:spacing w:after="0" w:line="176"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The new renewal schedules pursuant to the 1996 Telecommunications Act will be set by the FCC. However, under the five and seven-year schedules which have not yet been revised, the licenses for the Company's television stations expire as follows: WDCA-TV on October 1, 1996; WBFS-TV on February 1, 1997 WUPA-TV on April 1, 1997; WPSG-TV on August 1, 1997; WKBD-TV on October 1, 1997; KMOV-TV on February 1, 1998; each of KTXA-TV and KTXH-TV on August 1, 1998; each of WVIT-TV and WSBK-TV on April 1, 1999; and each of WNYT-TV and WHEC-TV on June 1, 1999. The Company's licenses for its radio stations expire as follows: WLTI-FM on October 1, 1996; WLIT-FM on December 1, 1996; each of KYSR-FM and KXEZ-FM on December 1, 1997; each of KBSG-AM/FM and KNDD-FM on February 1, 1998; WLTW-FM on June 1, 1998; and each of WMZQ-AM/FM, WBZS-AM and WJZW-FM on October 1, 2002. The Company will apply for renewal of such licenses which expire in 1996 and expects that such licenses will be renewed.</w:t>
      </w:r>
    </w:p>
    <w:p>
      <w:pPr>
        <w:spacing w:after="0" w:line="183"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The Communications Act prohibits the assignment of a license or the transfer of control of a license without prior approval of the FCC. The Communications Act, as amended by the 1996 Telecommunications Act, provides that no license may be held by a corporation if more than 20% of the voting stock is owned of record or voted by aliens or is subject to control by aliens. In addition, no corporation may hold the voting stock of another corporation owning broadcast licenses if more than 25% of the voting stock of such parent corporation is owned of record or voted by aliens or is subject to control by aliens, unless specific FCC authorization is obtained.</w:t>
      </w:r>
    </w:p>
    <w:p>
      <w:pPr>
        <w:spacing w:after="0" w:line="179" w:lineRule="exact"/>
        <w:rPr>
          <w:sz w:val="20"/>
          <w:szCs w:val="20"/>
          <w:color w:val="auto"/>
        </w:rPr>
      </w:pPr>
    </w:p>
    <w:p>
      <w:pPr>
        <w:ind w:right="3259" w:firstLine="705"/>
        <w:spacing w:after="0" w:line="239" w:lineRule="auto"/>
        <w:rPr>
          <w:sz w:val="20"/>
          <w:szCs w:val="20"/>
          <w:color w:val="auto"/>
        </w:rPr>
      </w:pPr>
      <w:r>
        <w:rPr>
          <w:rFonts w:ascii="Courier New" w:cs="Courier New" w:eastAsia="Courier New" w:hAnsi="Courier New"/>
          <w:sz w:val="15"/>
          <w:szCs w:val="15"/>
          <w:color w:val="auto"/>
        </w:rPr>
        <w:t>Broadcast signals are presently transmitted in analog rather than digital form. The FCC is currently considering allotting to broadcasters additional spectrum in new, digital transmission modes. If the FCC adopts its proposals, the 1996 Telecommunications Act requires the FCC to also permit broadcasters to utilize the digitally transmitted signals for various purposes including for additional channels of programming and services "ancillary and supplemental" to broadcasting. Full conversion from analog to digital mode, if it is to occur at all, is expected to occur over the course of a transition period subsequent to the FCC's adoption of digital standards. Until such transition is complete, broadcasters may be licensed to transmit on two channels, one for carriage of the analog transmission and the second for carriage of the digital signal, which can be used to transmit either a single "high definition" channel of video programming or, alternatively, up to six different channels carrying either an enhanced (although not "high definition") broadcast signal or the aforesaid ancillary and supplemental services (e.g., data transmissions or subscription video services). The 1996 Telecommunications Act requires that if separate analog and digital channels are used transitionally, one of the two channels used during the transition period must eventually be returned to the government. However, this legislation does not establish a time frame for return of the channel nor specify which of the two channels (i.e., the analog or digital channel) must be returned. To the extent digital</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27" w:right="1440" w:bottom="1440" w:gutter="0" w:footer="0" w:header="0"/>
        </w:sectPr>
      </w:pPr>
    </w:p>
    <w:bookmarkStart w:id="28" w:name="page29"/>
    <w:bookmarkEnd w:id="28"/>
    <w:p>
      <w:pPr>
        <w:ind w:right="3259"/>
        <w:spacing w:after="0" w:line="237" w:lineRule="auto"/>
        <w:rPr>
          <w:sz w:val="20"/>
          <w:szCs w:val="20"/>
          <w:color w:val="auto"/>
        </w:rPr>
      </w:pPr>
      <w:r>
        <w:rPr>
          <w:rFonts w:ascii="Courier New" w:cs="Courier New" w:eastAsia="Courier New" w:hAnsi="Courier New"/>
          <w:sz w:val="15"/>
          <w:szCs w:val="15"/>
          <w:color w:val="auto"/>
        </w:rPr>
        <w:t>spectrum is used for any service which generates subscription or usage fees, a broadcaster must pay the government, at a rate to be determined by the FCC, for use of the spectrum.</w:t>
      </w:r>
    </w:p>
    <w:p>
      <w:pPr>
        <w:spacing w:after="0" w:line="175" w:lineRule="exact"/>
        <w:rPr>
          <w:sz w:val="20"/>
          <w:szCs w:val="20"/>
          <w:color w:val="auto"/>
        </w:rPr>
      </w:pPr>
    </w:p>
    <w:p>
      <w:pPr>
        <w:ind w:right="3359" w:firstLine="705"/>
        <w:spacing w:after="0" w:line="238" w:lineRule="auto"/>
        <w:rPr>
          <w:sz w:val="20"/>
          <w:szCs w:val="20"/>
          <w:color w:val="auto"/>
        </w:rPr>
      </w:pPr>
      <w:r>
        <w:rPr>
          <w:rFonts w:ascii="Courier New" w:cs="Courier New" w:eastAsia="Courier New" w:hAnsi="Courier New"/>
          <w:sz w:val="15"/>
          <w:szCs w:val="15"/>
          <w:color w:val="auto"/>
        </w:rPr>
        <w:t>Despite the 1996 Telecommunications Act's recent passage, Congress is currently considering the issue of whether the additional spectrum authorized for broadcasters by the legislation should be auctioned to the highest bidder (either broadcasters or other users) rather than allotted to incumbent broadcasters without charge. Congress is also considering whether to require broadcasters, should they be allotted the spectrum, to convert to full digital transmission within a specified period of time so that returned channels could then be auctioned to other users not later than a designated date. A spectrum auction or a short-term analog-to-digital transition period could have an adverse effect on the business of broadcasting.</w:t>
      </w:r>
    </w:p>
    <w:p>
      <w:pPr>
        <w:spacing w:after="0" w:line="180" w:lineRule="exact"/>
        <w:rPr>
          <w:sz w:val="20"/>
          <w:szCs w:val="20"/>
          <w:color w:val="auto"/>
        </w:rPr>
      </w:pPr>
    </w:p>
    <w:p>
      <w:pPr>
        <w:ind w:right="3179" w:firstLine="705"/>
        <w:spacing w:after="0" w:line="256" w:lineRule="auto"/>
        <w:rPr>
          <w:sz w:val="20"/>
          <w:szCs w:val="20"/>
          <w:color w:val="auto"/>
        </w:rPr>
      </w:pPr>
      <w:r>
        <w:rPr>
          <w:rFonts w:ascii="Courier New" w:cs="Courier New" w:eastAsia="Courier New" w:hAnsi="Courier New"/>
          <w:sz w:val="14"/>
          <w:szCs w:val="14"/>
          <w:color w:val="auto"/>
        </w:rPr>
        <w:t>Must Carry/Retransmission Consent. The Communications Act contains provisions which grant certain "must carry" rights to commercial broadcast television stations that are "local" to communities served by a cable system, including the right to elect either to require a cable operator to carry the station pursuant to the must carry provisions of the Act or to require that the cable operator secure the station's "retransmission consent" on a negotiated basis before the station can be carried (i.e., retransmitted) on the cable system (see Business-Regulation-"Cable Television" below). All of the Company's television stations are carried on cable systems serving the communities in the stations' markets. Certain of the stations obtained carriage by asserting must carry rights and other stations granted retransmission consent. Failure to be carried on cable systems could be detrimental to the business of a television station. The application of must carry requirements to additional services which a broadcaster might transmit over the digital spectrum is to be decided by the FCC except that the 1996 Telecommunications Act expressly provides that any "ancillary and supplementary" services provided by broadcasters will not be entitled to mandatory cable carriage. The must carry rules were challenged by cable program services and cable system operators. In April 1993, a District of Columbia three-judge court upheld the rules against a First Amendment challenge. In June 1994, the U.S. Supreme Court held that the rules were content-neutral rather than unconstitutional, but nevertheless vacated the District Court's decision and remanded the case back to the District Court for determination of the impact of such rules on the broadcast and cable industries. On December 13, 1995, the District Court again upheld the rules in a two-to-one decision. This decision has been appealed to the U.S. Supreme Court, which has agreed to review the decision. Oral argument before the U.S. Supreme Court is expected to occur in the fourth quarter of 1996.</w:t>
      </w:r>
    </w:p>
    <w:p>
      <w:pPr>
        <w:spacing w:after="0" w:line="179"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Restrictions on Broadcast Advertising. In past Congressional sessions, committees of Congress examined proposals for legislation that would eliminate or severely restrict advertising of beer and wine either through direct restrictions on content or through elimination or reduction of the deductibility of expenses for such advertising under federal tax laws. Such proposals generated substantial opposition, but, while there is currently no proposal to do so, it is possible that similar proposals will be reintroduced in Congress. The elimination of all beer and wine advertising would have an adverse effect on the revenues of the Company's television and radio stations.</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27" w:right="1440" w:bottom="1440" w:gutter="0" w:footer="0" w:header="0"/>
        </w:sectPr>
      </w:pPr>
    </w:p>
    <w:bookmarkStart w:id="29" w:name="page30"/>
    <w:bookmarkEnd w:id="29"/>
    <w:p>
      <w:pPr>
        <w:ind w:right="3179" w:firstLine="705"/>
        <w:spacing w:after="0" w:line="256" w:lineRule="auto"/>
        <w:rPr>
          <w:sz w:val="20"/>
          <w:szCs w:val="20"/>
          <w:color w:val="auto"/>
        </w:rPr>
      </w:pPr>
      <w:r>
        <w:rPr>
          <w:rFonts w:ascii="Courier New" w:cs="Courier New" w:eastAsia="Courier New" w:hAnsi="Courier New"/>
          <w:sz w:val="14"/>
          <w:szCs w:val="14"/>
          <w:color w:val="auto"/>
        </w:rPr>
        <w:t>Ownership Limitations. The 1996 Telecommunications Act increases the ownership limits on the number of radio and television stations in which one entity can own an "attributable interest" as defined by the FCC. The Company currently owns radio and television stations below these limits. Under the new law, a single entity can have an "attributable" ownership or management interest in an unlimited number of AM and FM stations nationwide, including multiple AM and/or FM stations licensed to serve the same market. The limit on the number of such multiple stations in a particular market in which a single entity may hold an "attributable interest" depends upon the total number of AM and/or FM stations in that market. With respect to television, the 1996 Telecommunications Act limits the maximum number of stations nationwide in which one entity can have an "attributable interest", to that number which serves up to 35% of U.S. television households. (FCC rules count only one-half of the households in a market when determining the household reach of stations which broadcast on a UHF frequency). That rule is presently under consideration in a pending proceeding reviewing the television broadcast ownership rules. Subject to waiver, the FCC currently prohibits a single entity from owning more than one television station serving the same market or two or more stations which have overlapping signals with a certain strength. The FCC also permits radio stations to broker the programming and sales inventories of their stations to other radio stations within the same area, subject to various restrictions, so long as ultimate operational control and ownership is retained and exercised by the licensee. Such brokerage agreements function, as a practical matter, to effect a consolidation of competitive radio broadcast stations within a market in much the same manner as would multiple ownership of radio facilities by one entity. Similar brokerage agreements among television stations are being implemented in a number of markets and are not now subject to any explicit FCC regulations but may be affected by pending FCC rulemakings. The recently enacted legislation prevents the FCC from totally banning such television agreements. The FCC is currently considering whether to revise its ownership rules as well as redefine its current standards of what level of ownership or control constitutes an "attributable interest" under its rules. Moreover, the 1996 Telecommunications Act requires the FCC to review all of its ownership rules every two years and modify or repeal those that no longer serve the public interest.</w:t>
      </w:r>
    </w:p>
    <w:p>
      <w:pPr>
        <w:spacing w:after="0" w:line="350"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The FCC's ownership limitations also preclude (except on a grandfathered basis) common ownership in the same market of (i) television stations and cable systems; (ii) television or radio stations and newspapers of general circulation; and (iii) radio and television stations. All such restrictions are subject to waiver by the FCC on a case-by-case basis and radio-television cross-ownership prohibitions in particular are routinely granted in the major television markets so long as at least 30 separately owned and operated radio television and television stations serve the market. The Company operates two AM and two FM stations as well as a television station serving Washington, D.C. Ownership of the television station (WDCA) was obtained when the Company acquired majority ownership of Paramount Communications on March 11, 1994. Pursuant to the FCC's order consenting to the transfer of control of the broadcast licenses of Paramount Communications to the Company, the Company is obligated to dispose of one AM and one FM radio station serving Washington, D.C. The Company has requested a waiver of this obligation from the FCC until such time as the FCC completes its pending review of local ownership limitations. Depending on the outcome of that review, the Company may request a permanent waiver of this undertaking. The FCC's previous prohibition on a national</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27" w:right="1440" w:bottom="1440" w:gutter="0" w:footer="0" w:header="0"/>
        </w:sectPr>
      </w:pPr>
    </w:p>
    <w:bookmarkStart w:id="30" w:name="page31"/>
    <w:bookmarkEnd w:id="30"/>
    <w:p>
      <w:pPr>
        <w:ind w:right="3359"/>
        <w:spacing w:after="0" w:line="235" w:lineRule="auto"/>
        <w:rPr>
          <w:sz w:val="20"/>
          <w:szCs w:val="20"/>
          <w:color w:val="auto"/>
        </w:rPr>
      </w:pPr>
      <w:r>
        <w:rPr>
          <w:rFonts w:ascii="Courier New" w:cs="Courier New" w:eastAsia="Courier New" w:hAnsi="Courier New"/>
          <w:sz w:val="15"/>
          <w:szCs w:val="15"/>
          <w:color w:val="auto"/>
        </w:rPr>
        <w:t>television network's ownership or operation of cable systems has been repealed by the 1996 Telecommunications Act.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Entertainment</w:t>
      </w:r>
    </w:p>
    <w:p>
      <w:pPr>
        <w:spacing w:after="0" w:line="17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The Company's first-run, network and other production operations and its distribution of off-network, first-run and other programs in domestic and foreign syndication are not directly regulated by legislation. However, existing and proposed rules and regulations of the FCC applicable to broadcast networks, individual broadcast stations and cable could affect the Company's Entertainment businesses.</w:t>
      </w:r>
    </w:p>
    <w:p>
      <w:pPr>
        <w:spacing w:after="0" w:line="176" w:lineRule="exact"/>
        <w:rPr>
          <w:sz w:val="20"/>
          <w:szCs w:val="20"/>
          <w:color w:val="auto"/>
        </w:rPr>
      </w:pPr>
    </w:p>
    <w:p>
      <w:pPr>
        <w:ind w:right="3179" w:firstLine="705"/>
        <w:spacing w:after="0" w:line="256" w:lineRule="auto"/>
        <w:rPr>
          <w:sz w:val="20"/>
          <w:szCs w:val="20"/>
          <w:color w:val="auto"/>
        </w:rPr>
      </w:pPr>
      <w:r>
        <w:rPr>
          <w:rFonts w:ascii="Courier New" w:cs="Courier New" w:eastAsia="Courier New" w:hAnsi="Courier New"/>
          <w:sz w:val="14"/>
          <w:szCs w:val="14"/>
          <w:color w:val="auto"/>
        </w:rPr>
        <w:t>Financial Interest and Syndication Rules. The financial interest and syndication rules ("finsyn rules") which were adopted by the FCC in 1970 expired in September 1995. These rules significantly limited the role of broadcast television networks in broadcast television program syndication. The financial interest rule prohibited a network from acquiring a financial or proprietary right or interest in the exhibition (other than its own broadcast network exhibition), distribution or other commercial use in connection with the broadcasting of any television program of which it is not the sole producer. The syndication rule prohibited a network from syndicating programming domestically to television stations for non-network exhibition and precluded a network from reserving any rights to participate in income derived from domestic broadcast syndication or from foreign broadcast syndication where the network was not the sole producer. For the purposes of these rules, a broadcast network was defined as any entity which offers an interconnected program service on a regular basis for 15 or more hours per week to at least 25 affiliated television stations in</w:t>
      </w:r>
    </w:p>
    <w:p>
      <w:pPr>
        <w:spacing w:after="0" w:line="5" w:lineRule="exact"/>
        <w:rPr>
          <w:sz w:val="20"/>
          <w:szCs w:val="20"/>
          <w:color w:val="auto"/>
        </w:rPr>
      </w:pPr>
    </w:p>
    <w:p>
      <w:pPr>
        <w:ind w:right="3179"/>
        <w:spacing w:after="0" w:line="265" w:lineRule="auto"/>
        <w:rPr>
          <w:sz w:val="20"/>
          <w:szCs w:val="20"/>
          <w:color w:val="auto"/>
        </w:rPr>
      </w:pPr>
      <w:r>
        <w:rPr>
          <w:rFonts w:ascii="Courier New" w:cs="Courier New" w:eastAsia="Courier New" w:hAnsi="Courier New"/>
          <w:sz w:val="14"/>
          <w:szCs w:val="14"/>
          <w:color w:val="auto"/>
        </w:rPr>
        <w:t>10 or more states. Elimination of the finsyn rules may have an adverse effect on the Company's distribution and production of network prime time programming.</w:t>
      </w:r>
    </w:p>
    <w:p>
      <w:pPr>
        <w:spacing w:after="0" w:line="158"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Prime Time Access Rule. The Prime Time Access Rule ("PTAR") will expire on August 30, 1996. PTAR prohibits network affiliates in the top 50 markets (designated by the FCC based on survey data) from exhibiting network or off-network programming during more than three out of the four prime time hours, with certain limited exceptions. First-run programming produced by a network is considered network programming for this purpose. Expiration of PTAR could affect the Company's first-run and other distribution activities and hamper the development of UPN.</w:t>
      </w:r>
    </w:p>
    <w:p>
      <w:pPr>
        <w:spacing w:after="0" w:line="178" w:lineRule="exact"/>
        <w:rPr>
          <w:sz w:val="20"/>
          <w:szCs w:val="20"/>
          <w:color w:val="auto"/>
        </w:rPr>
      </w:pPr>
    </w:p>
    <w:p>
      <w:pPr>
        <w:ind w:right="3359" w:firstLine="705"/>
        <w:spacing w:after="0" w:line="237" w:lineRule="auto"/>
        <w:rPr>
          <w:sz w:val="20"/>
          <w:szCs w:val="20"/>
          <w:color w:val="auto"/>
        </w:rPr>
      </w:pPr>
      <w:r>
        <w:rPr>
          <w:rFonts w:ascii="Courier New" w:cs="Courier New" w:eastAsia="Courier New" w:hAnsi="Courier New"/>
          <w:sz w:val="15"/>
          <w:szCs w:val="15"/>
          <w:color w:val="auto"/>
        </w:rPr>
        <w:t>Antitrust. The Company, through PARAMOUNT PICTURES, is subject to a consent decree, entered in 1948, which contains restrictions on certain motion picture trade practices in the U.S.</w:t>
      </w:r>
    </w:p>
    <w:p>
      <w:pPr>
        <w:spacing w:after="0" w:line="175"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European Union Directive. In October 1989, the European Union ("EU", then the EC and sometimes referred to as the EC) directed each of the 12 European Community member countries to adopt broadcast quota regulations based on its guidelines by October 3, 1991. In March 1995, the Executive Commission of the EU approved revisions to the directive which would, if adopted, increase the discrimination against non-European programming. The EU Council of Ministers modified the proposed revisions in November 1995. In February 1996, the European Parliament recommended further modifications, which are now being considered by both the Executive Commission and the Council of Ministers. At this time, it is impossible to predict what changes will be adopted by the EU, or to predict</w:t>
      </w:r>
    </w:p>
    <w:p>
      <w:pPr>
        <w:spacing w:after="0" w:line="1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27" w:right="1440" w:bottom="1440" w:gutter="0" w:footer="0" w:header="0"/>
        </w:sectPr>
      </w:pPr>
    </w:p>
    <w:bookmarkStart w:id="31" w:name="page32"/>
    <w:bookmarkEnd w:id="31"/>
    <w:p>
      <w:pPr>
        <w:ind w:right="3179"/>
        <w:spacing w:after="0" w:line="237" w:lineRule="auto"/>
        <w:rPr>
          <w:sz w:val="20"/>
          <w:szCs w:val="20"/>
          <w:color w:val="auto"/>
        </w:rPr>
      </w:pPr>
      <w:r>
        <w:rPr>
          <w:rFonts w:ascii="Courier New" w:cs="Courier New" w:eastAsia="Courier New" w:hAnsi="Courier New"/>
          <w:sz w:val="15"/>
          <w:szCs w:val="15"/>
          <w:color w:val="auto"/>
        </w:rPr>
        <w:t>their impact on the Company's theatrical distribution and television syndication businesses. The Company believes that its program services in Europe are in compliance with the EU broadcast quotas.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Video and Music Distribution</w:t>
      </w:r>
    </w:p>
    <w:p>
      <w:pPr>
        <w:spacing w:after="0" w:line="17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Franchising. Certain states, the United States Federal Trade Commission and certain foreign jurisdictions require a franchiser to transmit specified disclosure statements to potential owners before issuing a franchise. Additionally, some states and foreign jurisdictions require the franchiser to register its franchise before its issuance. The Company believes the offering circulars used to market its franchises comply with the Federal Trade Commission guidelines and all applicable laws of states in the United States and foreign jurisdictions regulating the offering and issuance of franchises. The Company's home video and music retailing businesses, other than the franchising aspect, are not generally subject to any government regulation other than customary laws and local zoning and permit requirements.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Cable Television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Regulation</w:t>
      </w:r>
    </w:p>
    <w:p>
      <w:pPr>
        <w:spacing w:after="0" w:line="17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Communications Act; 1996 Telecommunications Act. The Communications Act sets forth the framework under which cable television systems are regulated. On February 8, 1996, the 1996 Telecommunications Act was enacted. When fully implemented by the FCC, this legislation will change regulation of the communications industry, and alter federal, state and local laws and regulations regarding the provision of cable and telephony services. Among other items, the 1996 Telecommunications Act authorizes entry of cable operators and electric utilities into the telephone/telecommunications business. It authorizes entry of telephone companies into the multichannel video distribution business in their own service areas and, beginning in March 1999, eliminates the regulations of certain cable rates. The following is a summary of certain significant aspects of the Communications Act's regulation of cable television, as amended by the 1996 Telecommunications Act:</w:t>
      </w:r>
    </w:p>
    <w:p>
      <w:pPr>
        <w:spacing w:after="0" w:line="183"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Rate Regulation. Rates for two types of cable programming tiers of service are currently subject to regulation under the Communications Act: basic service (corresponding to Viacom Cable's "Limited Service" tier) and cable programming service (corresponding to Viacom Cable's "Satellite Value Package") (see "Business--Cable Television"). Rates for premium services (such as SHOWTIME), per-program services (such as pay-per-view events and movies), and "new product tiers" (a new type of tier authorized by the FCC in 1994 which offers broad pricing and packaging flexibility) are not regulated. The FCC may in the future determine to regulate "new product tiers".</w:t>
      </w:r>
    </w:p>
    <w:p>
      <w:pPr>
        <w:spacing w:after="0" w:line="179" w:lineRule="exact"/>
        <w:rPr>
          <w:sz w:val="20"/>
          <w:szCs w:val="20"/>
          <w:color w:val="auto"/>
        </w:rPr>
      </w:pPr>
    </w:p>
    <w:p>
      <w:pPr>
        <w:ind w:right="3179" w:firstLine="705"/>
        <w:spacing w:after="0" w:line="258" w:lineRule="auto"/>
        <w:rPr>
          <w:sz w:val="20"/>
          <w:szCs w:val="20"/>
          <w:color w:val="auto"/>
        </w:rPr>
      </w:pPr>
      <w:r>
        <w:rPr>
          <w:rFonts w:ascii="Courier New" w:cs="Courier New" w:eastAsia="Courier New" w:hAnsi="Courier New"/>
          <w:sz w:val="14"/>
          <w:szCs w:val="14"/>
          <w:color w:val="auto"/>
        </w:rPr>
        <w:t>For regulated tiers of service, the FCC established a "benchmark" formula to set a cable operator's "initial permitted rate." Cable systems whose rates exceeded the applicable benchmark were required to reduce their rates either to the benchmark or by 17% from those charged on September 30, 1992, whichever reduction was less. These regulations also established the prices that an operator may charge for subscriber equipment and installation services, based</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27" w:right="1440" w:bottom="1440" w:gutter="0" w:footer="0" w:header="0"/>
        </w:sectPr>
      </w:pPr>
    </w:p>
    <w:bookmarkStart w:id="32" w:name="page33"/>
    <w:bookmarkEnd w:id="32"/>
    <w:p>
      <w:pPr>
        <w:ind w:right="3439"/>
        <w:spacing w:after="0" w:line="237" w:lineRule="auto"/>
        <w:rPr>
          <w:sz w:val="20"/>
          <w:szCs w:val="20"/>
          <w:color w:val="auto"/>
        </w:rPr>
      </w:pPr>
      <w:r>
        <w:rPr>
          <w:rFonts w:ascii="Courier New" w:cs="Courier New" w:eastAsia="Courier New" w:hAnsi="Courier New"/>
          <w:sz w:val="15"/>
          <w:szCs w:val="15"/>
          <w:color w:val="auto"/>
        </w:rPr>
        <w:t>on the operator's actual cost plus an 11.25% return. The FCC has also adopted standards governing "cost-of service" proceedings pursuant to which a cable operator may attempt to prove that its costs of providing regulated service justify initial permitted rates that are higher than those produced under the benchmark approach.</w:t>
      </w:r>
    </w:p>
    <w:p>
      <w:pPr>
        <w:spacing w:after="0" w:line="178"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Once a cable operator establishes its initial rates under either the benchmark or cost of service methods, FCC regulations provide for periodic rate increases on a going-forward basis for certain "external" cost increases exceeding inflation, providing (among other things) a pass-through of, and 7.5% mark-up on, increases in an operator's programming expenses. On November 10, 1994, the FCC adopted "going forward" rules (the "Going Forward Regulations") that increased the mark-up for channels added to regulated tiers (other than the basic tier). These rules allow operators to pass through to subscribers the costs, plus a 20-cent per channel mark-up, for channels newly added to regulated tiers (other than the basic tier). Through 1996, however, operators are subject to an aggregate cap of $1.50 (no more than $1.20 of which may be mark-up) on the amount that they may increase their retail rates for cable program service tier rates due to channel additions. In 1997, operators will be entitled to an additional 20-cent per channel mark-up and will no longer be subject to a license fee cap. In addition, the FCC proposed eliminating the current 7.5% operator mark-up on increases in a program service's license fees. The Company, along with other cable industry interests, has opposed this proposal.</w:t>
      </w:r>
    </w:p>
    <w:p>
      <w:pPr>
        <w:spacing w:after="0" w:line="164"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Implementation of the FCC's rate regulations has had a negative effect on the Cable Television segment's revenues and earnings from operations. The reduction in revenues in 1994 was partially offset by customer growth and subsequent permitted rate increases. Viacom Cable implemented additional rate increases in 1995 pursuant to the Going Forward Regulations. These increases and future increases will continue to mitigate the adverse impact of rate regulation on revenues of the Cable Television segment. Any adverse revenue impact will be further mitigated when the rates for tiers such as the Company's "Satellite Value Package" (i.e., tiers of service other than basic service) are deregulated commencing March 31, 1999.</w:t>
      </w:r>
    </w:p>
    <w:p>
      <w:pPr>
        <w:spacing w:after="0" w:line="180"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The 1996 Telecommunications Act eliminates rate regulation for all tiers of regulated service, other than the basic service tier, after March 31, 1999, or possibly earlier to the extent that any cable system becomes subject to "effective competition" prior to such date. The 1996 Telecommunications Act adds a new "effective competition" test to the three already included in the Communications Act. The new test finds effective competition in areas where a local telephone company, its affiliate, or a multichannel video programming distributor using the facilities of the telephone company or its affiliate -- irrespective of the number of subscribers to the service -- offers programming to subscribers by any means (other than DTH) in the franchise area of the cable system, provided that the programming so offered is "comparable" to the programming provided by the cable operator in that area. Basic service tier regulation will continue without a specific sunset date, but will also end when any cable system becomes subject to "effective competition". (See "Business--Cable Television")</w:t>
      </w:r>
    </w:p>
    <w:p>
      <w:pPr>
        <w:spacing w:after="0" w:line="185" w:lineRule="exact"/>
        <w:rPr>
          <w:sz w:val="20"/>
          <w:szCs w:val="20"/>
          <w:color w:val="auto"/>
        </w:rPr>
      </w:pPr>
    </w:p>
    <w:p>
      <w:pPr>
        <w:ind w:right="3359" w:firstLine="705"/>
        <w:spacing w:after="0" w:line="260" w:lineRule="auto"/>
        <w:rPr>
          <w:sz w:val="20"/>
          <w:szCs w:val="20"/>
          <w:color w:val="auto"/>
        </w:rPr>
      </w:pPr>
      <w:r>
        <w:rPr>
          <w:rFonts w:ascii="Courier New" w:cs="Courier New" w:eastAsia="Courier New" w:hAnsi="Courier New"/>
          <w:sz w:val="14"/>
          <w:szCs w:val="14"/>
          <w:color w:val="auto"/>
        </w:rPr>
        <w:t>Vertical Integration. Certain pricing and other restrictions (the "program access rules") are imposed on vertically integrated cable programmers (such as the Company) with respect to their dealings with multichannel</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27" w:right="1440" w:bottom="1440" w:gutter="0" w:footer="0" w:header="0"/>
        </w:sectPr>
      </w:pPr>
    </w:p>
    <w:bookmarkStart w:id="33" w:name="page34"/>
    <w:bookmarkEnd w:id="33"/>
    <w:p>
      <w:pPr>
        <w:ind w:right="3259"/>
        <w:spacing w:after="0" w:line="257" w:lineRule="auto"/>
        <w:rPr>
          <w:sz w:val="20"/>
          <w:szCs w:val="20"/>
          <w:color w:val="auto"/>
        </w:rPr>
      </w:pPr>
      <w:r>
        <w:rPr>
          <w:rFonts w:ascii="Courier New" w:cs="Courier New" w:eastAsia="Courier New" w:hAnsi="Courier New"/>
          <w:sz w:val="14"/>
          <w:szCs w:val="14"/>
          <w:color w:val="auto"/>
        </w:rPr>
        <w:t>distributors of programming, such as cable systems, SMATV systems, MMDS operators and TVRO and DBS distributors (as defined in "Business--Competition-- Cable Television"). The FCC's implementing regulations governing access by multichannel distributors to the programming of vertically integrated cable programmers limit the extent to which a vertically integrated cable programmer can differentiate in pricing or other terms and conditions of carriage between and among multichannel distributors. Multichannel distributors may file a complaint with the FCC if they believe that a vertically integrated cable programmer has not complied with these regulations. To date, no complaints have been filed against the Company. The 1996 Telecommunications Act extends the program access rules to (i) telcos and their affiliates providing video programming to their subscribers by any means and (ii) programmers in which a telco providing video programming has an attributable interest. The FCC's implementing regulations also limit the number of channels on a cable system which may be used to carry the programming of such system's affiliated (vertically integrated) cable programmers. These regulations provide generally that no more than 40% of such a system's channels can be used to carry the programming of the system's affiliated cable programmers. These channel occupancy limits apply only up to 75 channels of a given system.</w:t>
      </w:r>
    </w:p>
    <w:p>
      <w:pPr>
        <w:spacing w:after="0" w:line="333"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Must Carry/Retransmission Consent. Commercial television stations which are "local" to communities served by a cable system can elect to require either Must Carry or Retransmission Consent. In addition, a cable system (or other multichannel video distributor) may not carry any commercial non-satellite-delivered television station which is "distant" to communities served by such system or any radio station without obtaining the consent of such station for retransmission; however, these "distant" television stations do not have Must Carry rights. Television stations may require payment in consideration for Retransmission Consent.</w:t>
      </w:r>
    </w:p>
    <w:p>
      <w:pPr>
        <w:spacing w:after="0" w:line="179"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The initial round of Must Carry/Retransmission Consent elections occurred in 1993. Pursuant to these elections, the Company has negotiated retransmission rights for a number of commercial television stations which it carries. Some of these agreements are on an interim basis and may be canceled by the stations. The Company carries other television stations pursuant to their exercise of their Must Carry rights. Local non-commercial television stations have Must Carry rights, but may not elect Retransmission Consent. Local commercial television stations must make new Must Carry/Retransmission Consent elections by October 1, 1996. Cable carriage pursuant to these new elections commences January 1, 1997.</w:t>
      </w:r>
    </w:p>
    <w:p>
      <w:pPr>
        <w:spacing w:after="0" w:line="180"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Buy-Through to Premium Services. Pursuant to the Communications Act, a cable system may not require subscribers to purchase any tier of service other than the basic service tier in order to obtain other tiers of service or services offered by the cable operator on a per channel (e.g., premium services) or pay-per-view basis. A cable system which is not now fully addressable and which cannot utilize other means to facilitate access to all of its programming will have until 2002 to fully comply with this provision through the implementation of fully addressable technology. The Company's cable systems have already substantially implemented compliance.</w:t>
      </w:r>
    </w:p>
    <w:p>
      <w:pPr>
        <w:spacing w:after="0" w:line="179" w:lineRule="exact"/>
        <w:rPr>
          <w:sz w:val="20"/>
          <w:szCs w:val="20"/>
          <w:color w:val="auto"/>
        </w:rPr>
      </w:pPr>
    </w:p>
    <w:p>
      <w:pPr>
        <w:ind w:right="3359" w:firstLine="705"/>
        <w:spacing w:after="0" w:line="259" w:lineRule="auto"/>
        <w:rPr>
          <w:sz w:val="20"/>
          <w:szCs w:val="20"/>
          <w:color w:val="auto"/>
        </w:rPr>
      </w:pPr>
      <w:r>
        <w:rPr>
          <w:rFonts w:ascii="Courier New" w:cs="Courier New" w:eastAsia="Courier New" w:hAnsi="Courier New"/>
          <w:sz w:val="14"/>
          <w:szCs w:val="14"/>
          <w:color w:val="auto"/>
        </w:rPr>
        <w:t>Legal Challenges. Lawsuits have been filed challenging various provisions of the Communications Act including the provisions relating to Must Carry and Retransmission Consent (see "Business--Regulation--Broadcasting" above), the pricing and other restrictions imposed on vertically integrated</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27" w:right="1440" w:bottom="1440" w:gutter="0" w:footer="0" w:header="0"/>
        </w:sectPr>
      </w:pPr>
    </w:p>
    <w:bookmarkStart w:id="34" w:name="page35"/>
    <w:bookmarkEnd w:id="34"/>
    <w:p>
      <w:pPr>
        <w:ind w:right="3179"/>
        <w:spacing w:after="0" w:line="237" w:lineRule="auto"/>
        <w:rPr>
          <w:sz w:val="20"/>
          <w:szCs w:val="20"/>
          <w:color w:val="auto"/>
        </w:rPr>
      </w:pPr>
      <w:r>
        <w:rPr>
          <w:rFonts w:ascii="Courier New" w:cs="Courier New" w:eastAsia="Courier New" w:hAnsi="Courier New"/>
          <w:sz w:val="15"/>
          <w:szCs w:val="15"/>
          <w:color w:val="auto"/>
        </w:rPr>
        <w:t>cable programmers with respect to their dealings with multichannel programming distributors (see "Business--Regulation--Cable Television--Vertical Integration"), and the mandated availability of cable channels for leased access and PEG programming.</w:t>
      </w:r>
    </w:p>
    <w:p>
      <w:pPr>
        <w:spacing w:after="0" w:line="176" w:lineRule="exact"/>
        <w:rPr>
          <w:sz w:val="20"/>
          <w:szCs w:val="20"/>
          <w:color w:val="auto"/>
        </w:rPr>
      </w:pPr>
    </w:p>
    <w:p>
      <w:pPr>
        <w:ind w:right="3179" w:firstLine="705"/>
        <w:spacing w:after="0" w:line="256" w:lineRule="auto"/>
        <w:rPr>
          <w:sz w:val="20"/>
          <w:szCs w:val="20"/>
          <w:color w:val="auto"/>
        </w:rPr>
      </w:pPr>
      <w:r>
        <w:rPr>
          <w:rFonts w:ascii="Courier New" w:cs="Courier New" w:eastAsia="Courier New" w:hAnsi="Courier New"/>
          <w:sz w:val="14"/>
          <w:szCs w:val="14"/>
          <w:color w:val="auto"/>
        </w:rPr>
        <w:t>Competitive Entry. The 1996 Telecommunications Act permits telcos to enter the multichannel video distribution business in their service areas either as cable operators, as operators of wireless distribution systems (such as MMDS), as operators of "open video systems" or on a common carrier basis. The 1996 Telecommunications Act further permits registered utility holding companies (which had previously been prohibited from providing cable service under the Public Utilities Holding Company Act) to provide cable services. The 1996 Telecommunications Act also generally eliminates state and local entry barriers which currently either prohibit or restrict an entity's (including a cable operator's) capacity to offer telecommunications services (including telephone exchange service) in competition with telcos and to interconnect on a non-discriminatory basis with telcos and utilize certain telco facilities in order to provide service in competition with a telco. The FCC is required to adopt regulations implementing the interconnection and non-discriminatory access requirements of the 1996 Telecommunications Act, in order to assure that new entrants such as cable operators have access to network elements of telcos and other carriers, and that the systems built by all telecommunications carriers are interoperable. The Company cannot predict the outcome or impact of these legislative and regulatory efforts, although the Company anticipates that its program services could benefit from the increased distribution opportunities afforded by broadened telco entry into multichannel video distribution. Telcos have stated their general intention to enter the video programming business.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and Local Regulation</w:t>
      </w:r>
    </w:p>
    <w:p>
      <w:pPr>
        <w:spacing w:after="0" w:line="17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State and local regulation of cable is exercised primarily through the franchising process under which a company enters into a franchise agreement with the appropriate franchising authority ("LFA") and agrees to abide by applicable ordinances. The Communications Act sets up the basic regulatory framework within which LFAs can exercise franchising powers. In general, an LFA may exercise its police power to regulate public rights-of-way and has broad powers with respect to customer service standards. LFAs may impose franchise fees, subject to a federal cap, and may elect to regulate the rates for the basic service tier, subject to compliance with the FCC's benchmark, cost of service and related rules.</w:t>
      </w:r>
    </w:p>
    <w:p>
      <w:pPr>
        <w:spacing w:after="0" w:line="180"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Under the Communications Act, LFAs may control only cable-related equipment and facilities requirements and may not require the carriage of specific program services. However, federal law (as implemented by FCC regulations) mandates the carriage of both commercial and non-commercial television broadcast stations "local" to the area in which a cable system is located. (See "Business--Regulation--Cable Television--Must Carry/Retransmission Consent" above)</w:t>
      </w:r>
    </w:p>
    <w:p>
      <w:pPr>
        <w:spacing w:after="0" w:line="177" w:lineRule="exact"/>
        <w:rPr>
          <w:sz w:val="20"/>
          <w:szCs w:val="20"/>
          <w:color w:val="auto"/>
        </w:rPr>
      </w:pPr>
    </w:p>
    <w:p>
      <w:pPr>
        <w:ind w:right="3179" w:firstLine="705"/>
        <w:spacing w:after="0" w:line="258" w:lineRule="auto"/>
        <w:rPr>
          <w:sz w:val="20"/>
          <w:szCs w:val="20"/>
          <w:color w:val="auto"/>
        </w:rPr>
      </w:pPr>
      <w:r>
        <w:rPr>
          <w:rFonts w:ascii="Courier New" w:cs="Courier New" w:eastAsia="Courier New" w:hAnsi="Courier New"/>
          <w:sz w:val="14"/>
          <w:szCs w:val="14"/>
          <w:color w:val="auto"/>
        </w:rPr>
        <w:t>The Communications Act guarantees cable operators due process rights in franchise renewal proceedings and provides that franchises will be renewed unless the cable operator fails to meet one or more enumerated statutory criteria. The 1996 Telecommunications Act prohibits an LFA from requiring a cable operator to provide telecommunications service or facilities as a condition of renewal, and from specifying the type, use or capacity of equipment</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27" w:right="1440" w:bottom="1440" w:gutter="0" w:footer="0" w:header="0"/>
        </w:sectPr>
      </w:pPr>
    </w:p>
    <w:bookmarkStart w:id="35" w:name="page36"/>
    <w:bookmarkEnd w:id="35"/>
    <w:p>
      <w:pPr>
        <w:ind w:right="3179"/>
        <w:spacing w:after="0" w:line="237" w:lineRule="auto"/>
        <w:rPr>
          <w:sz w:val="20"/>
          <w:szCs w:val="20"/>
          <w:color w:val="auto"/>
        </w:rPr>
      </w:pPr>
      <w:r>
        <w:rPr>
          <w:rFonts w:ascii="Courier New" w:cs="Courier New" w:eastAsia="Courier New" w:hAnsi="Courier New"/>
          <w:sz w:val="15"/>
          <w:szCs w:val="15"/>
          <w:color w:val="auto"/>
        </w:rPr>
        <w:t>or technology employed by a cable operator upon renewal. The Company's current franchises expire on various dates through 2017. During the five-year period 1996 through 2000, franchises having an aggregate of approximately 292,000 customers (at December 31, 1995) will expire unless renewed. The Company expects its franchises to be renewed.</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75" w:lineRule="exact"/>
        <w:rPr>
          <w:sz w:val="20"/>
          <w:szCs w:val="20"/>
          <w:color w:val="auto"/>
        </w:rPr>
      </w:pPr>
    </w:p>
    <w:p>
      <w:pPr>
        <w:ind w:right="3179" w:firstLine="705"/>
        <w:spacing w:after="0" w:line="239" w:lineRule="auto"/>
        <w:rPr>
          <w:sz w:val="20"/>
          <w:szCs w:val="20"/>
          <w:color w:val="auto"/>
        </w:rPr>
      </w:pPr>
      <w:r>
        <w:rPr>
          <w:rFonts w:ascii="Courier New" w:cs="Courier New" w:eastAsia="Courier New" w:hAnsi="Courier New"/>
          <w:sz w:val="15"/>
          <w:szCs w:val="15"/>
          <w:color w:val="auto"/>
        </w:rPr>
        <w:t>The Company maintains its world headquarters at 1515 Broadway, New York, New York, where it rents approximately one million square feet for executive offices and certain of its operating divisions. The lease runs to 2010, with four renewal options for five years each. The lease also grants the Company options for additional space and a right of first negotiation for other available space in the building. The Company also leases approximately 484,000 square feet of office space at 1633 Broadway, New York, New York, which lease runs to 2010, and approximately 237,000 square feet of office space at 1230 Avenue of the Americas, New York, New York, which lease runs to 2009, which leases contain options to renew. The Company owns the PARAMOUNT PICTURES studio at 5555 Melrose Avenue, Los Angeles, California, which consists of approximately 380 acres containing sound stages, administrative, technical and dressing room structures, screening theaters, machinery and equipment facilities, plus a back lot and parking lots. PARAMOUNT PARKS' operations in the U.S. include approximately 1,640 acres owned and 295 acres leased and in Canada include approximately 380 acres owned. The Company owns the Blockbuster Entertainment Group headquarters at 200 South Andrews Avenue, Fort Lauderdale, Florida, which consists of approximately 148,000 square feet of office space, supplemented by another approximately 97,000 square feet of leased office space at 110 East Broward Avenue, Fort Lauderdale, Florida. The BLOCKBUSTER retail and distribution operations in the U.S. and Canada consist of approximately 56 owned properties, aggregating approximately 361,000 square feet, and approximately 3,303 leased locations, aggregating approximately 21.9 million square feet. Facilities within the Publishing segment (other than executive offices at 1230 Avenue of the Americas described above) include approximately 7,653,000 square feet of space, of which approximately 5,070,000 square feet are leased. The facilities are used for warehouse, distribution and administrative functions. The Company's cable television systems include a combination of owned and leased premises in California, Ohio, Oregon, Tennessee and Washington (the location of Viacom Cable's franchises) and each system's electronic distribution equipment.</w:t>
      </w:r>
    </w:p>
    <w:p>
      <w:pPr>
        <w:spacing w:after="0" w:line="179" w:lineRule="exact"/>
        <w:rPr>
          <w:sz w:val="20"/>
          <w:szCs w:val="20"/>
          <w:color w:val="auto"/>
        </w:rPr>
      </w:pPr>
    </w:p>
    <w:p>
      <w:pPr>
        <w:ind w:right="3259" w:firstLine="705"/>
        <w:spacing w:after="0" w:line="237" w:lineRule="auto"/>
        <w:rPr>
          <w:sz w:val="20"/>
          <w:szCs w:val="20"/>
          <w:color w:val="auto"/>
        </w:rPr>
      </w:pPr>
      <w:r>
        <w:rPr>
          <w:rFonts w:ascii="Courier New" w:cs="Courier New" w:eastAsia="Courier New" w:hAnsi="Courier New"/>
          <w:sz w:val="15"/>
          <w:szCs w:val="15"/>
          <w:color w:val="auto"/>
        </w:rPr>
        <w:t>The Company also owns and leases office, studio, retail and warehouse space in various cities in the U.S., Canada and several countries around the world for its businesses. The Company considers its properties adequate for its present needs.</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5" w:lineRule="exact"/>
        <w:rPr>
          <w:sz w:val="20"/>
          <w:szCs w:val="20"/>
          <w:color w:val="auto"/>
        </w:rPr>
      </w:pPr>
    </w:p>
    <w:p>
      <w:pPr>
        <w:ind w:right="3259" w:firstLine="705"/>
        <w:spacing w:after="0" w:line="257" w:lineRule="auto"/>
        <w:rPr>
          <w:sz w:val="20"/>
          <w:szCs w:val="20"/>
          <w:color w:val="auto"/>
        </w:rPr>
      </w:pPr>
      <w:r>
        <w:rPr>
          <w:rFonts w:ascii="Courier New" w:cs="Courier New" w:eastAsia="Courier New" w:hAnsi="Courier New"/>
          <w:sz w:val="14"/>
          <w:szCs w:val="14"/>
          <w:color w:val="auto"/>
        </w:rPr>
        <w:t>On August 18, 1994, the District Court in and for Dallas County, Texas entered a judgment in favor of the plaintiffs in the action Howell v. Blockbuster Entertainment Corporation, et al. (Cause No. 91-10193-M). The defendants included Blockbuster Entertainment Corporation ("BEC"), which has been merged into the Company, and Video Superstores Master Limited Partnership, a dissolved limited partnership that was indirectly controlled by BEC at the time of its dissolution. The judgment was based upon plaintiffs' claims of</w:t>
      </w:r>
    </w:p>
    <w:p>
      <w:pPr>
        <w:spacing w:after="0" w:line="1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27"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breach of fiduciary duty, fraud, conspiracy, breach of contract and tortious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interference with contract and claims under Texas partnership law in connection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the defendants' treatment, and ultimate acquisition, of plaintiffs'</w:t>
      </w:r>
    </w:p>
    <w:p>
      <w:pPr>
        <w:spacing w:after="0"/>
        <w:rPr>
          <w:sz w:val="20"/>
          <w:szCs w:val="20"/>
          <w:color w:val="auto"/>
        </w:rPr>
      </w:pPr>
      <w:r>
        <w:rPr>
          <w:rFonts w:ascii="Courier New" w:cs="Courier New" w:eastAsia="Courier New" w:hAnsi="Courier New"/>
          <w:sz w:val="15"/>
          <w:szCs w:val="15"/>
          <w:color w:val="auto"/>
        </w:rPr>
        <w:t>interest in a limited partnership which owned three Blockbuster stores. The</w:t>
      </w:r>
    </w:p>
    <w:p>
      <w:pPr>
        <w:spacing w:after="0"/>
        <w:rPr>
          <w:sz w:val="20"/>
          <w:szCs w:val="20"/>
          <w:color w:val="auto"/>
        </w:rPr>
      </w:pPr>
      <w:r>
        <w:rPr>
          <w:rFonts w:ascii="Courier New" w:cs="Courier New" w:eastAsia="Courier New" w:hAnsi="Courier New"/>
          <w:sz w:val="15"/>
          <w:szCs w:val="15"/>
          <w:color w:val="auto"/>
        </w:rPr>
        <w:t>court entered judgment against all defendants, jointly and severally, in the</w:t>
      </w:r>
    </w:p>
    <w:p>
      <w:pPr>
        <w:spacing w:after="0" w:line="238" w:lineRule="auto"/>
        <w:rPr>
          <w:sz w:val="20"/>
          <w:szCs w:val="20"/>
          <w:color w:val="auto"/>
        </w:rPr>
      </w:pPr>
      <w:r>
        <w:rPr>
          <w:rFonts w:ascii="Courier New" w:cs="Courier New" w:eastAsia="Courier New" w:hAnsi="Courier New"/>
          <w:sz w:val="15"/>
          <w:szCs w:val="15"/>
          <w:color w:val="auto"/>
        </w:rPr>
        <w:t>amount of $14,850,175, including compensatory damages, attorneys fees and</w:t>
      </w:r>
    </w:p>
    <w:p>
      <w:pPr>
        <w:spacing w:after="0"/>
        <w:rPr>
          <w:sz w:val="20"/>
          <w:szCs w:val="20"/>
          <w:color w:val="auto"/>
        </w:rPr>
      </w:pPr>
      <w:r>
        <w:rPr>
          <w:rFonts w:ascii="Courier New" w:cs="Courier New" w:eastAsia="Courier New" w:hAnsi="Courier New"/>
          <w:sz w:val="15"/>
          <w:szCs w:val="15"/>
          <w:color w:val="auto"/>
        </w:rPr>
        <w:t>prejudgment interest. In addition, the Court entered judgment totaling</w:t>
      </w:r>
    </w:p>
    <w:p>
      <w:pPr>
        <w:spacing w:after="0"/>
        <w:rPr>
          <w:sz w:val="20"/>
          <w:szCs w:val="20"/>
          <w:color w:val="auto"/>
        </w:rPr>
      </w:pPr>
      <w:r>
        <w:rPr>
          <w:rFonts w:ascii="Courier New" w:cs="Courier New" w:eastAsia="Courier New" w:hAnsi="Courier New"/>
          <w:sz w:val="15"/>
          <w:szCs w:val="15"/>
          <w:color w:val="auto"/>
        </w:rPr>
        <w:t>$108,840,030 for exemplary damages. The Howell action was settled in December</w:t>
      </w:r>
    </w:p>
    <w:p>
      <w:pPr>
        <w:spacing w:after="0" w:line="238" w:lineRule="auto"/>
        <w:rPr>
          <w:sz w:val="20"/>
          <w:szCs w:val="20"/>
          <w:color w:val="auto"/>
        </w:rPr>
      </w:pPr>
      <w:r>
        <w:rPr>
          <w:rFonts w:ascii="Courier New" w:cs="Courier New" w:eastAsia="Courier New" w:hAnsi="Courier New"/>
          <w:sz w:val="15"/>
          <w:szCs w:val="15"/>
          <w:color w:val="auto"/>
        </w:rPr>
        <w:t>1995 with the payment by the Company of an amount without material adverse</w:t>
      </w:r>
    </w:p>
    <w:p>
      <w:pPr>
        <w:spacing w:after="0"/>
        <w:rPr>
          <w:sz w:val="20"/>
          <w:szCs w:val="20"/>
          <w:color w:val="auto"/>
        </w:rPr>
      </w:pPr>
      <w:r>
        <w:rPr>
          <w:rFonts w:ascii="Courier New" w:cs="Courier New" w:eastAsia="Courier New" w:hAnsi="Courier New"/>
          <w:sz w:val="15"/>
          <w:szCs w:val="15"/>
          <w:color w:val="auto"/>
        </w:rPr>
        <w:t>effect on its financial condition or result of operations. The settlement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involved the vacation of the judgment and withdrawal of all the Court's findings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fact and conclusions of law.</w:t>
      </w:r>
    </w:p>
    <w:p>
      <w:pPr>
        <w:spacing w:after="0" w:line="17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On September 27, 1994, an action captioned Murphy, et al. v. Blockbuster Entertainment Corporation, et al. (Cause No. 94-10051-M) was filed in the District Court in and for Dallas County, Texas by plaintiffs representing the two other limited partners of plaintiff Howell in the litigation described above. Plaintiffs assert the same basic causes of action as in Howell and have claimed they are entitled to actual damages in excess of $240 million and punitive damages in excess of $1 billion. The Company believes that it has substantial defenses to these claims, including, among others, that the claims are barred by the statute of limitations and by releases entered into by the plaintiffs or their predecessors, and intends to vigorously defend the claims. (While the Company maintained that certain of these defenses were also available in the Howell litigation, significantly stronger facts support their application in this litigation.) In addition, the Murphy plaintiffs have stipulated that they will make no use of the Howell judgment or findings of fact or conclusions of law in their action.</w:t>
      </w:r>
    </w:p>
    <w:p>
      <w:pPr>
        <w:spacing w:after="0" w:line="18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Antitrust Matters. On September 23, 1993, the Company filed an action in the United States District Court for the Southern District of New York styled Viacom International Inc. v. Tele-Communications, Inc., et al., Case No. 93 Civ 6658. The complaint (as amended on November 9, 1993) alleged violations of Sections 1 and 2 of the Sherman Act, Section 7 of the Clayton Act, Section 12 of the Cable Act, and New York's Donnelly Act, and tortious interference, against all defendants, and a breach of contract claim against certain defendants, including Tele-Communications, Inc. ("TCI"). The claims for relief in the complaint are based in significant part on allegations that defendants exert monopoly power in the U.S. cable industry through their control over approximately one in four of all cable households in the U.S. In addition to other relief, the Company seeks injunctive relief against defendants' anticompetitive conduct and damages in an amount to be determined at trial, including trebled damages and attorneys' fees.</w:t>
      </w:r>
    </w:p>
    <w:p>
      <w:pPr>
        <w:spacing w:after="0" w:line="184" w:lineRule="exact"/>
        <w:rPr>
          <w:sz w:val="20"/>
          <w:szCs w:val="20"/>
          <w:color w:val="auto"/>
        </w:rPr>
      </w:pPr>
    </w:p>
    <w:p>
      <w:pPr>
        <w:ind w:right="3259" w:firstLine="705"/>
        <w:spacing w:after="0" w:line="257" w:lineRule="auto"/>
        <w:rPr>
          <w:sz w:val="20"/>
          <w:szCs w:val="20"/>
          <w:color w:val="auto"/>
        </w:rPr>
      </w:pPr>
      <w:r>
        <w:rPr>
          <w:rFonts w:ascii="Courier New" w:cs="Courier New" w:eastAsia="Courier New" w:hAnsi="Courier New"/>
          <w:sz w:val="14"/>
          <w:szCs w:val="14"/>
          <w:color w:val="auto"/>
        </w:rPr>
        <w:t>The Company has announced that it has provisionally agreed to settle this action, subject to certain conditions, including, among other things, the effectiveness of a new affiliation agreement covering TCI's long-term carriage of SHOWTIME and THE MOVIE CHANNEL and the consummation of the split-off of the Company's cable television systems (see "Business--Cable Television"). The action is currently suspended pending satisfaction of certain conditions which, if satisfied, would lead to settlement of the action.</w:t>
      </w:r>
    </w:p>
    <w:p>
      <w:pPr>
        <w:spacing w:after="0" w:line="167" w:lineRule="exact"/>
        <w:rPr>
          <w:sz w:val="20"/>
          <w:szCs w:val="20"/>
          <w:color w:val="auto"/>
        </w:rPr>
      </w:pPr>
    </w:p>
    <w:p>
      <w:pPr>
        <w:ind w:right="3539" w:firstLine="705"/>
        <w:spacing w:after="0" w:line="265" w:lineRule="auto"/>
        <w:rPr>
          <w:sz w:val="20"/>
          <w:szCs w:val="20"/>
          <w:color w:val="auto"/>
        </w:rPr>
      </w:pPr>
      <w:r>
        <w:rPr>
          <w:rFonts w:ascii="Courier New" w:cs="Courier New" w:eastAsia="Courier New" w:hAnsi="Courier New"/>
          <w:sz w:val="14"/>
          <w:szCs w:val="14"/>
          <w:color w:val="auto"/>
        </w:rPr>
        <w:t>Certain subsidiaries of the Company from time to time receive claims from federal and state environmental regulatory agencies and other entities</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22" w:right="1440" w:bottom="1440" w:gutter="0" w:footer="0" w:header="0"/>
        </w:sectPr>
      </w:pPr>
    </w:p>
    <w:bookmarkStart w:id="37" w:name="page38"/>
    <w:bookmarkEnd w:id="37"/>
    <w:p>
      <w:pPr>
        <w:ind w:right="3179"/>
        <w:spacing w:after="0" w:line="238" w:lineRule="auto"/>
        <w:rPr>
          <w:sz w:val="20"/>
          <w:szCs w:val="20"/>
          <w:color w:val="auto"/>
        </w:rPr>
      </w:pPr>
      <w:r>
        <w:rPr>
          <w:rFonts w:ascii="Courier New" w:cs="Courier New" w:eastAsia="Courier New" w:hAnsi="Courier New"/>
          <w:sz w:val="15"/>
          <w:szCs w:val="15"/>
          <w:color w:val="auto"/>
        </w:rPr>
        <w:t>asserting that they are or may be liable for environmental cleanup costs and related damages arising out of former operations. While the outcome of these claims cannot be predicted with certainty, on the basis of its experience and the information currently available to it, the Company does not believe that the claims it has received will have a material adverse effect on its results of operations financial position or cash flows (see "Item 6. Selected Financial Data" and "Item 7. Management's Discussion and Analysis of Results of Operations and Financial Condition").</w:t>
      </w:r>
    </w:p>
    <w:p>
      <w:pPr>
        <w:spacing w:after="0" w:line="178" w:lineRule="exact"/>
        <w:rPr>
          <w:sz w:val="20"/>
          <w:szCs w:val="20"/>
          <w:color w:val="auto"/>
        </w:rPr>
      </w:pPr>
    </w:p>
    <w:p>
      <w:pPr>
        <w:ind w:right="3179" w:firstLine="705"/>
        <w:spacing w:after="0" w:line="237" w:lineRule="auto"/>
        <w:rPr>
          <w:sz w:val="20"/>
          <w:szCs w:val="20"/>
          <w:color w:val="auto"/>
        </w:rPr>
      </w:pPr>
      <w:r>
        <w:rPr>
          <w:rFonts w:ascii="Courier New" w:cs="Courier New" w:eastAsia="Courier New" w:hAnsi="Courier New"/>
          <w:sz w:val="15"/>
          <w:szCs w:val="15"/>
          <w:color w:val="auto"/>
        </w:rPr>
        <w:t>The Company and various of its subsidiaries are parties to certain other legal proceedings. However, these proceedings are not likely to result in judgments that will have a material adverse effect on its results of operations, financial position or cash flows.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Information About Foreign and Domestic Operations</w:t>
      </w:r>
    </w:p>
    <w:p>
      <w:pPr>
        <w:spacing w:after="0" w:line="175" w:lineRule="exact"/>
        <w:rPr>
          <w:sz w:val="20"/>
          <w:szCs w:val="20"/>
          <w:color w:val="auto"/>
        </w:rPr>
      </w:pPr>
    </w:p>
    <w:p>
      <w:pPr>
        <w:ind w:right="3179" w:firstLine="705"/>
        <w:spacing w:after="0" w:line="237" w:lineRule="auto"/>
        <w:rPr>
          <w:sz w:val="20"/>
          <w:szCs w:val="20"/>
          <w:color w:val="auto"/>
        </w:rPr>
      </w:pPr>
      <w:r>
        <w:rPr>
          <w:rFonts w:ascii="Courier New" w:cs="Courier New" w:eastAsia="Courier New" w:hAnsi="Courier New"/>
          <w:sz w:val="15"/>
          <w:szCs w:val="15"/>
          <w:color w:val="auto"/>
        </w:rPr>
        <w:t>Financial information relating to foreign and domestic operations for each of the last three years ending December 31, is set forth in Notes 13 and 14 to the Consolidated Financial Statements of the Company included elsewhere herein.</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Not Applicable</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27"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Executive Officers of the Company</w:t>
      </w:r>
    </w:p>
    <w:p>
      <w:pPr>
        <w:spacing w:after="0" w:line="175" w:lineRule="exact"/>
        <w:rPr>
          <w:sz w:val="20"/>
          <w:szCs w:val="20"/>
          <w:color w:val="auto"/>
        </w:rPr>
      </w:pPr>
    </w:p>
    <w:p>
      <w:pPr>
        <w:jc w:val="both"/>
        <w:ind w:right="3259" w:firstLine="705"/>
        <w:spacing w:after="0" w:line="237" w:lineRule="auto"/>
        <w:rPr>
          <w:sz w:val="20"/>
          <w:szCs w:val="20"/>
          <w:color w:val="auto"/>
        </w:rPr>
      </w:pPr>
      <w:r>
        <w:rPr>
          <w:rFonts w:ascii="Courier New" w:cs="Courier New" w:eastAsia="Courier New" w:hAnsi="Courier New"/>
          <w:sz w:val="15"/>
          <w:szCs w:val="15"/>
          <w:color w:val="auto"/>
        </w:rPr>
        <w:t>Set forth below is certain information concerning the current executive officers of the Company, which information is hereby included in Part I of this report.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620" w:type="dxa"/>
            <w:vAlign w:val="bottom"/>
          </w:tcPr>
          <w:p>
            <w:pPr>
              <w:ind w:left="220"/>
              <w:spacing w:after="0"/>
              <w:rPr>
                <w:sz w:val="20"/>
                <w:szCs w:val="20"/>
                <w:color w:val="auto"/>
              </w:rPr>
            </w:pPr>
            <w:r>
              <w:rPr>
                <w:rFonts w:ascii="Courier New" w:cs="Courier New" w:eastAsia="Courier New" w:hAnsi="Courier New"/>
                <w:sz w:val="15"/>
                <w:szCs w:val="15"/>
                <w:color w:val="auto"/>
              </w:rPr>
              <w:t>Age</w:t>
            </w:r>
          </w:p>
        </w:tc>
        <w:tc>
          <w:tcPr>
            <w:tcW w:w="1140" w:type="dxa"/>
            <w:vAlign w:val="bottom"/>
          </w:tcPr>
          <w:p>
            <w:pPr>
              <w:spacing w:after="0"/>
              <w:rPr>
                <w:sz w:val="14"/>
                <w:szCs w:val="14"/>
                <w:color w:val="auto"/>
              </w:rPr>
            </w:pPr>
          </w:p>
        </w:tc>
        <w:tc>
          <w:tcPr>
            <w:tcW w:w="3140" w:type="dxa"/>
            <w:vAlign w:val="bottom"/>
          </w:tcPr>
          <w:p>
            <w:pPr>
              <w:ind w:left="400"/>
              <w:spacing w:after="0"/>
              <w:rPr>
                <w:sz w:val="20"/>
                <w:szCs w:val="20"/>
                <w:color w:val="auto"/>
              </w:rPr>
            </w:pPr>
            <w:r>
              <w:rPr>
                <w:rFonts w:ascii="Courier New" w:cs="Courier New" w:eastAsia="Courier New" w:hAnsi="Courier New"/>
                <w:sz w:val="15"/>
                <w:szCs w:val="15"/>
                <w:color w:val="auto"/>
              </w:rPr>
              <w:t>Title</w:t>
            </w:r>
          </w:p>
        </w:tc>
      </w:tr>
      <w:tr>
        <w:trPr>
          <w:trHeight w:val="339"/>
        </w:trPr>
        <w:tc>
          <w:tcPr>
            <w:tcW w:w="1880" w:type="dxa"/>
            <w:vAlign w:val="bottom"/>
          </w:tcPr>
          <w:p>
            <w:pPr>
              <w:spacing w:after="0"/>
              <w:rPr>
                <w:sz w:val="20"/>
                <w:szCs w:val="20"/>
                <w:color w:val="auto"/>
              </w:rPr>
            </w:pPr>
            <w:r>
              <w:rPr>
                <w:rFonts w:ascii="Courier New" w:cs="Courier New" w:eastAsia="Courier New" w:hAnsi="Courier New"/>
                <w:sz w:val="15"/>
                <w:szCs w:val="15"/>
                <w:color w:val="auto"/>
              </w:rPr>
              <w:t>Sumner M. Redstone</w:t>
            </w:r>
          </w:p>
        </w:tc>
        <w:tc>
          <w:tcPr>
            <w:tcW w:w="620" w:type="dxa"/>
            <w:vAlign w:val="bottom"/>
          </w:tcPr>
          <w:p>
            <w:pPr>
              <w:ind w:left="220"/>
              <w:spacing w:after="0"/>
              <w:rPr>
                <w:sz w:val="20"/>
                <w:szCs w:val="20"/>
                <w:color w:val="auto"/>
              </w:rPr>
            </w:pPr>
            <w:r>
              <w:rPr>
                <w:rFonts w:ascii="Courier New" w:cs="Courier New" w:eastAsia="Courier New" w:hAnsi="Courier New"/>
                <w:sz w:val="15"/>
                <w:szCs w:val="15"/>
                <w:color w:val="auto"/>
              </w:rPr>
              <w:t>72</w:t>
            </w: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w w:val="98"/>
              </w:rPr>
              <w:t>Chairman of</w:t>
            </w:r>
          </w:p>
        </w:tc>
        <w:tc>
          <w:tcPr>
            <w:tcW w:w="3140" w:type="dxa"/>
            <w:vAlign w:val="bottom"/>
          </w:tcPr>
          <w:p>
            <w:pPr>
              <w:ind w:left="60"/>
              <w:spacing w:after="0"/>
              <w:rPr>
                <w:sz w:val="20"/>
                <w:szCs w:val="20"/>
                <w:color w:val="auto"/>
              </w:rPr>
            </w:pPr>
            <w:r>
              <w:rPr>
                <w:rFonts w:ascii="Courier New" w:cs="Courier New" w:eastAsia="Courier New" w:hAnsi="Courier New"/>
                <w:sz w:val="15"/>
                <w:szCs w:val="15"/>
                <w:color w:val="auto"/>
              </w:rPr>
              <w:t>the Board of Directors</w:t>
            </w:r>
          </w:p>
        </w:tc>
      </w:tr>
      <w:tr>
        <w:trPr>
          <w:trHeight w:val="170"/>
        </w:trPr>
        <w:tc>
          <w:tcPr>
            <w:tcW w:w="1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ind w:left="320"/>
              <w:spacing w:after="0"/>
              <w:rPr>
                <w:sz w:val="20"/>
                <w:szCs w:val="20"/>
                <w:color w:val="auto"/>
              </w:rPr>
            </w:pPr>
            <w:r>
              <w:rPr>
                <w:rFonts w:ascii="Courier New" w:cs="Courier New" w:eastAsia="Courier New" w:hAnsi="Courier New"/>
                <w:sz w:val="15"/>
                <w:szCs w:val="15"/>
                <w:color w:val="auto"/>
                <w:w w:val="98"/>
              </w:rPr>
              <w:t>and Chief</w:t>
            </w:r>
          </w:p>
        </w:tc>
        <w:tc>
          <w:tcPr>
            <w:tcW w:w="3140" w:type="dxa"/>
            <w:vAlign w:val="bottom"/>
          </w:tcPr>
          <w:p>
            <w:pPr>
              <w:ind w:left="60"/>
              <w:spacing w:after="0"/>
              <w:rPr>
                <w:sz w:val="20"/>
                <w:szCs w:val="20"/>
                <w:color w:val="auto"/>
              </w:rPr>
            </w:pPr>
            <w:r>
              <w:rPr>
                <w:rFonts w:ascii="Courier New" w:cs="Courier New" w:eastAsia="Courier New" w:hAnsi="Courier New"/>
                <w:sz w:val="15"/>
                <w:szCs w:val="15"/>
                <w:color w:val="auto"/>
              </w:rPr>
              <w:t>Executive Officer</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Philippe P. Dauman</w:t>
            </w:r>
          </w:p>
        </w:tc>
        <w:tc>
          <w:tcPr>
            <w:tcW w:w="620" w:type="dxa"/>
            <w:vAlign w:val="bottom"/>
          </w:tcPr>
          <w:p>
            <w:pPr>
              <w:ind w:left="220"/>
              <w:spacing w:after="0"/>
              <w:rPr>
                <w:sz w:val="20"/>
                <w:szCs w:val="20"/>
                <w:color w:val="auto"/>
              </w:rPr>
            </w:pPr>
            <w:r>
              <w:rPr>
                <w:rFonts w:ascii="Courier New" w:cs="Courier New" w:eastAsia="Courier New" w:hAnsi="Courier New"/>
                <w:sz w:val="15"/>
                <w:szCs w:val="15"/>
                <w:color w:val="auto"/>
              </w:rPr>
              <w:t>42</w:t>
            </w:r>
          </w:p>
        </w:tc>
        <w:tc>
          <w:tcPr>
            <w:tcW w:w="42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Deputy Chairman, Executive Vice President,</w:t>
            </w:r>
          </w:p>
        </w:tc>
      </w:tr>
      <w:tr>
        <w:trPr>
          <w:trHeight w:val="170"/>
        </w:trPr>
        <w:tc>
          <w:tcPr>
            <w:tcW w:w="1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8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7"/>
              </w:rPr>
              <w:t>General Counsel, Chief Administrative Officer</w:t>
            </w:r>
          </w:p>
        </w:tc>
      </w:tr>
      <w:tr>
        <w:trPr>
          <w:trHeight w:val="170"/>
        </w:trPr>
        <w:tc>
          <w:tcPr>
            <w:tcW w:w="1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and Secretary and Director</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Thomas E. Dooley</w:t>
            </w:r>
          </w:p>
        </w:tc>
        <w:tc>
          <w:tcPr>
            <w:tcW w:w="620" w:type="dxa"/>
            <w:vAlign w:val="bottom"/>
          </w:tcPr>
          <w:p>
            <w:pPr>
              <w:ind w:left="220"/>
              <w:spacing w:after="0"/>
              <w:rPr>
                <w:sz w:val="20"/>
                <w:szCs w:val="20"/>
                <w:color w:val="auto"/>
              </w:rPr>
            </w:pPr>
            <w:r>
              <w:rPr>
                <w:rFonts w:ascii="Courier New" w:cs="Courier New" w:eastAsia="Courier New" w:hAnsi="Courier New"/>
                <w:sz w:val="15"/>
                <w:szCs w:val="15"/>
                <w:color w:val="auto"/>
              </w:rPr>
              <w:t>39</w:t>
            </w:r>
          </w:p>
        </w:tc>
        <w:tc>
          <w:tcPr>
            <w:tcW w:w="42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Deputy Chairman, Executive Vice President--</w:t>
            </w:r>
          </w:p>
        </w:tc>
      </w:tr>
      <w:tr>
        <w:trPr>
          <w:trHeight w:val="170"/>
        </w:trPr>
        <w:tc>
          <w:tcPr>
            <w:tcW w:w="1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Finance, Corporate Development and</w:t>
            </w:r>
          </w:p>
        </w:tc>
      </w:tr>
      <w:tr>
        <w:trPr>
          <w:trHeight w:val="170"/>
        </w:trPr>
        <w:tc>
          <w:tcPr>
            <w:tcW w:w="1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Communications and Director</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Vaughn A. Clarke</w:t>
            </w:r>
          </w:p>
        </w:tc>
        <w:tc>
          <w:tcPr>
            <w:tcW w:w="620" w:type="dxa"/>
            <w:vAlign w:val="bottom"/>
          </w:tcPr>
          <w:p>
            <w:pPr>
              <w:ind w:left="220"/>
              <w:spacing w:after="0"/>
              <w:rPr>
                <w:sz w:val="20"/>
                <w:szCs w:val="20"/>
                <w:color w:val="auto"/>
              </w:rPr>
            </w:pPr>
            <w:r>
              <w:rPr>
                <w:rFonts w:ascii="Courier New" w:cs="Courier New" w:eastAsia="Courier New" w:hAnsi="Courier New"/>
                <w:sz w:val="15"/>
                <w:szCs w:val="15"/>
                <w:color w:val="auto"/>
              </w:rPr>
              <w:t>42</w:t>
            </w: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w w:val="98"/>
              </w:rPr>
              <w:t>Senior Vice</w:t>
            </w:r>
          </w:p>
        </w:tc>
        <w:tc>
          <w:tcPr>
            <w:tcW w:w="3140" w:type="dxa"/>
            <w:vAlign w:val="bottom"/>
          </w:tcPr>
          <w:p>
            <w:pPr>
              <w:ind w:left="60"/>
              <w:spacing w:after="0"/>
              <w:rPr>
                <w:sz w:val="20"/>
                <w:szCs w:val="20"/>
                <w:color w:val="auto"/>
              </w:rPr>
            </w:pPr>
            <w:r>
              <w:rPr>
                <w:rFonts w:ascii="Courier New" w:cs="Courier New" w:eastAsia="Courier New" w:hAnsi="Courier New"/>
                <w:sz w:val="15"/>
                <w:szCs w:val="15"/>
                <w:color w:val="auto"/>
              </w:rPr>
              <w:t>President, Treasurer</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Carl D. Folta</w:t>
            </w:r>
          </w:p>
        </w:tc>
        <w:tc>
          <w:tcPr>
            <w:tcW w:w="620" w:type="dxa"/>
            <w:vAlign w:val="bottom"/>
          </w:tcPr>
          <w:p>
            <w:pPr>
              <w:ind w:left="220"/>
              <w:spacing w:after="0"/>
              <w:rPr>
                <w:sz w:val="20"/>
                <w:szCs w:val="20"/>
                <w:color w:val="auto"/>
              </w:rPr>
            </w:pPr>
            <w:r>
              <w:rPr>
                <w:rFonts w:ascii="Courier New" w:cs="Courier New" w:eastAsia="Courier New" w:hAnsi="Courier New"/>
                <w:sz w:val="15"/>
                <w:szCs w:val="15"/>
                <w:color w:val="auto"/>
              </w:rPr>
              <w:t>38</w:t>
            </w: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w w:val="98"/>
              </w:rPr>
              <w:t>Senior Vice</w:t>
            </w:r>
          </w:p>
        </w:tc>
        <w:tc>
          <w:tcPr>
            <w:tcW w:w="3140" w:type="dxa"/>
            <w:vAlign w:val="bottom"/>
          </w:tcPr>
          <w:p>
            <w:pPr>
              <w:ind w:left="60"/>
              <w:spacing w:after="0"/>
              <w:rPr>
                <w:sz w:val="20"/>
                <w:szCs w:val="20"/>
                <w:color w:val="auto"/>
              </w:rPr>
            </w:pPr>
            <w:r>
              <w:rPr>
                <w:rFonts w:ascii="Courier New" w:cs="Courier New" w:eastAsia="Courier New" w:hAnsi="Courier New"/>
                <w:sz w:val="15"/>
                <w:szCs w:val="15"/>
                <w:color w:val="auto"/>
              </w:rPr>
              <w:t>President, Corporate Relations</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Michael D. Fricklas</w:t>
            </w:r>
          </w:p>
        </w:tc>
        <w:tc>
          <w:tcPr>
            <w:tcW w:w="620" w:type="dxa"/>
            <w:vAlign w:val="bottom"/>
          </w:tcPr>
          <w:p>
            <w:pPr>
              <w:ind w:left="220"/>
              <w:spacing w:after="0"/>
              <w:rPr>
                <w:sz w:val="20"/>
                <w:szCs w:val="20"/>
                <w:color w:val="auto"/>
              </w:rPr>
            </w:pPr>
            <w:r>
              <w:rPr>
                <w:rFonts w:ascii="Courier New" w:cs="Courier New" w:eastAsia="Courier New" w:hAnsi="Courier New"/>
                <w:sz w:val="15"/>
                <w:szCs w:val="15"/>
                <w:color w:val="auto"/>
              </w:rPr>
              <w:t>36</w:t>
            </w: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w w:val="98"/>
              </w:rPr>
              <w:t>Senior Vice</w:t>
            </w:r>
          </w:p>
        </w:tc>
        <w:tc>
          <w:tcPr>
            <w:tcW w:w="3140" w:type="dxa"/>
            <w:vAlign w:val="bottom"/>
          </w:tcPr>
          <w:p>
            <w:pPr>
              <w:ind w:left="60"/>
              <w:spacing w:after="0"/>
              <w:rPr>
                <w:sz w:val="20"/>
                <w:szCs w:val="20"/>
                <w:color w:val="auto"/>
              </w:rPr>
            </w:pPr>
            <w:r>
              <w:rPr>
                <w:rFonts w:ascii="Courier New" w:cs="Courier New" w:eastAsia="Courier New" w:hAnsi="Courier New"/>
                <w:sz w:val="15"/>
                <w:szCs w:val="15"/>
                <w:color w:val="auto"/>
              </w:rPr>
              <w:t>President, Deputy General</w:t>
            </w:r>
          </w:p>
        </w:tc>
      </w:tr>
      <w:tr>
        <w:trPr>
          <w:trHeight w:val="170"/>
        </w:trPr>
        <w:tc>
          <w:tcPr>
            <w:tcW w:w="1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ind w:left="320"/>
              <w:spacing w:after="0"/>
              <w:rPr>
                <w:sz w:val="20"/>
                <w:szCs w:val="20"/>
                <w:color w:val="auto"/>
              </w:rPr>
            </w:pPr>
            <w:r>
              <w:rPr>
                <w:rFonts w:ascii="Courier New" w:cs="Courier New" w:eastAsia="Courier New" w:hAnsi="Courier New"/>
                <w:sz w:val="15"/>
                <w:szCs w:val="15"/>
                <w:color w:val="auto"/>
              </w:rPr>
              <w:t>Counsel</w:t>
            </w:r>
          </w:p>
        </w:tc>
        <w:tc>
          <w:tcPr>
            <w:tcW w:w="3140" w:type="dxa"/>
            <w:vAlign w:val="bottom"/>
          </w:tcPr>
          <w:p>
            <w:pPr>
              <w:spacing w:after="0"/>
              <w:rPr>
                <w:sz w:val="14"/>
                <w:szCs w:val="14"/>
                <w:color w:val="auto"/>
              </w:rPr>
            </w:pP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Susan C. Gordon</w:t>
            </w:r>
          </w:p>
        </w:tc>
        <w:tc>
          <w:tcPr>
            <w:tcW w:w="620" w:type="dxa"/>
            <w:vAlign w:val="bottom"/>
          </w:tcPr>
          <w:p>
            <w:pPr>
              <w:ind w:left="220"/>
              <w:spacing w:after="0"/>
              <w:rPr>
                <w:sz w:val="20"/>
                <w:szCs w:val="20"/>
                <w:color w:val="auto"/>
              </w:rPr>
            </w:pPr>
            <w:r>
              <w:rPr>
                <w:rFonts w:ascii="Courier New" w:cs="Courier New" w:eastAsia="Courier New" w:hAnsi="Courier New"/>
                <w:sz w:val="15"/>
                <w:szCs w:val="15"/>
                <w:color w:val="auto"/>
              </w:rPr>
              <w:t>42</w:t>
            </w:r>
          </w:p>
        </w:tc>
        <w:tc>
          <w:tcPr>
            <w:tcW w:w="42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Vice President, Controller and Chief</w:t>
            </w:r>
          </w:p>
        </w:tc>
      </w:tr>
      <w:tr>
        <w:trPr>
          <w:trHeight w:val="170"/>
        </w:trPr>
        <w:tc>
          <w:tcPr>
            <w:tcW w:w="1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Accounting Officer</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Rudolph L. Hertlein</w:t>
            </w:r>
          </w:p>
        </w:tc>
        <w:tc>
          <w:tcPr>
            <w:tcW w:w="620" w:type="dxa"/>
            <w:vAlign w:val="bottom"/>
          </w:tcPr>
          <w:p>
            <w:pPr>
              <w:ind w:left="220"/>
              <w:spacing w:after="0"/>
              <w:rPr>
                <w:sz w:val="20"/>
                <w:szCs w:val="20"/>
                <w:color w:val="auto"/>
              </w:rPr>
            </w:pPr>
            <w:r>
              <w:rPr>
                <w:rFonts w:ascii="Courier New" w:cs="Courier New" w:eastAsia="Courier New" w:hAnsi="Courier New"/>
                <w:sz w:val="15"/>
                <w:szCs w:val="15"/>
                <w:color w:val="auto"/>
              </w:rPr>
              <w:t>55</w:t>
            </w: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w w:val="98"/>
              </w:rPr>
              <w:t>Senior Vice</w:t>
            </w:r>
          </w:p>
        </w:tc>
        <w:tc>
          <w:tcPr>
            <w:tcW w:w="3140" w:type="dxa"/>
            <w:vAlign w:val="bottom"/>
          </w:tcPr>
          <w:p>
            <w:pPr>
              <w:ind w:left="60"/>
              <w:spacing w:after="0"/>
              <w:rPr>
                <w:sz w:val="20"/>
                <w:szCs w:val="20"/>
                <w:color w:val="auto"/>
              </w:rPr>
            </w:pPr>
            <w:r>
              <w:rPr>
                <w:rFonts w:ascii="Courier New" w:cs="Courier New" w:eastAsia="Courier New" w:hAnsi="Courier New"/>
                <w:sz w:val="15"/>
                <w:szCs w:val="15"/>
                <w:color w:val="auto"/>
              </w:rPr>
              <w:t>President, Corporate Development</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Edward D. Horowitz</w:t>
            </w:r>
          </w:p>
        </w:tc>
        <w:tc>
          <w:tcPr>
            <w:tcW w:w="620" w:type="dxa"/>
            <w:vAlign w:val="bottom"/>
          </w:tcPr>
          <w:p>
            <w:pPr>
              <w:ind w:left="220"/>
              <w:spacing w:after="0"/>
              <w:rPr>
                <w:sz w:val="20"/>
                <w:szCs w:val="20"/>
                <w:color w:val="auto"/>
              </w:rPr>
            </w:pPr>
            <w:r>
              <w:rPr>
                <w:rFonts w:ascii="Courier New" w:cs="Courier New" w:eastAsia="Courier New" w:hAnsi="Courier New"/>
                <w:sz w:val="15"/>
                <w:szCs w:val="15"/>
                <w:color w:val="auto"/>
              </w:rPr>
              <w:t>48</w:t>
            </w: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w w:val="98"/>
              </w:rPr>
              <w:t>Senior Vice</w:t>
            </w:r>
          </w:p>
        </w:tc>
        <w:tc>
          <w:tcPr>
            <w:tcW w:w="3140" w:type="dxa"/>
            <w:vAlign w:val="bottom"/>
          </w:tcPr>
          <w:p>
            <w:pPr>
              <w:ind w:left="60"/>
              <w:spacing w:after="0"/>
              <w:rPr>
                <w:sz w:val="20"/>
                <w:szCs w:val="20"/>
                <w:color w:val="auto"/>
              </w:rPr>
            </w:pPr>
            <w:r>
              <w:rPr>
                <w:rFonts w:ascii="Courier New" w:cs="Courier New" w:eastAsia="Courier New" w:hAnsi="Courier New"/>
                <w:sz w:val="15"/>
                <w:szCs w:val="15"/>
                <w:color w:val="auto"/>
              </w:rPr>
              <w:t>President, Technology of the</w:t>
            </w:r>
          </w:p>
        </w:tc>
      </w:tr>
      <w:tr>
        <w:trPr>
          <w:trHeight w:val="170"/>
        </w:trPr>
        <w:tc>
          <w:tcPr>
            <w:tcW w:w="1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Company; Chairman, Chief Executive</w:t>
            </w:r>
          </w:p>
        </w:tc>
      </w:tr>
      <w:tr>
        <w:trPr>
          <w:trHeight w:val="170"/>
        </w:trPr>
        <w:tc>
          <w:tcPr>
            <w:tcW w:w="1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Officer of Viacom Interactive Media</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William A. Roskin</w:t>
            </w:r>
          </w:p>
        </w:tc>
        <w:tc>
          <w:tcPr>
            <w:tcW w:w="620" w:type="dxa"/>
            <w:vAlign w:val="bottom"/>
          </w:tcPr>
          <w:p>
            <w:pPr>
              <w:ind w:left="220"/>
              <w:spacing w:after="0"/>
              <w:rPr>
                <w:sz w:val="20"/>
                <w:szCs w:val="20"/>
                <w:color w:val="auto"/>
              </w:rPr>
            </w:pPr>
            <w:r>
              <w:rPr>
                <w:rFonts w:ascii="Courier New" w:cs="Courier New" w:eastAsia="Courier New" w:hAnsi="Courier New"/>
                <w:sz w:val="15"/>
                <w:szCs w:val="15"/>
                <w:color w:val="auto"/>
              </w:rPr>
              <w:t>53</w:t>
            </w: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w w:val="98"/>
              </w:rPr>
              <w:t>Senior Vice</w:t>
            </w:r>
          </w:p>
        </w:tc>
        <w:tc>
          <w:tcPr>
            <w:tcW w:w="3140" w:type="dxa"/>
            <w:vAlign w:val="bottom"/>
          </w:tcPr>
          <w:p>
            <w:pPr>
              <w:ind w:left="60"/>
              <w:spacing w:after="0"/>
              <w:rPr>
                <w:sz w:val="20"/>
                <w:szCs w:val="20"/>
                <w:color w:val="auto"/>
              </w:rPr>
            </w:pPr>
            <w:r>
              <w:rPr>
                <w:rFonts w:ascii="Courier New" w:cs="Courier New" w:eastAsia="Courier New" w:hAnsi="Courier New"/>
                <w:sz w:val="15"/>
                <w:szCs w:val="15"/>
                <w:color w:val="auto"/>
              </w:rPr>
              <w:t>President, Human Resources and</w:t>
            </w:r>
          </w:p>
        </w:tc>
      </w:tr>
      <w:tr>
        <w:trPr>
          <w:trHeight w:val="170"/>
        </w:trPr>
        <w:tc>
          <w:tcPr>
            <w:tcW w:w="1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8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Administration</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George S. Smith, Jr</w:t>
            </w:r>
          </w:p>
        </w:tc>
        <w:tc>
          <w:tcPr>
            <w:tcW w:w="620" w:type="dxa"/>
            <w:vAlign w:val="bottom"/>
          </w:tcPr>
          <w:p>
            <w:pPr>
              <w:ind w:left="220"/>
              <w:spacing w:after="0"/>
              <w:rPr>
                <w:sz w:val="20"/>
                <w:szCs w:val="20"/>
                <w:color w:val="auto"/>
              </w:rPr>
            </w:pPr>
            <w:r>
              <w:rPr>
                <w:rFonts w:ascii="Courier New" w:cs="Courier New" w:eastAsia="Courier New" w:hAnsi="Courier New"/>
                <w:sz w:val="15"/>
                <w:szCs w:val="15"/>
                <w:color w:val="auto"/>
              </w:rPr>
              <w:t>47</w:t>
            </w: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w w:val="98"/>
              </w:rPr>
              <w:t>Senior Vice</w:t>
            </w:r>
          </w:p>
        </w:tc>
        <w:tc>
          <w:tcPr>
            <w:tcW w:w="3140" w:type="dxa"/>
            <w:vAlign w:val="bottom"/>
          </w:tcPr>
          <w:p>
            <w:pPr>
              <w:ind w:left="60"/>
              <w:spacing w:after="0"/>
              <w:rPr>
                <w:sz w:val="20"/>
                <w:szCs w:val="20"/>
                <w:color w:val="auto"/>
              </w:rPr>
            </w:pPr>
            <w:r>
              <w:rPr>
                <w:rFonts w:ascii="Courier New" w:cs="Courier New" w:eastAsia="Courier New" w:hAnsi="Courier New"/>
                <w:sz w:val="15"/>
                <w:szCs w:val="15"/>
                <w:color w:val="auto"/>
                <w:w w:val="99"/>
              </w:rPr>
              <w:t>President, Chief Financial Officer</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Mark M. Weinstein</w:t>
            </w:r>
          </w:p>
        </w:tc>
        <w:tc>
          <w:tcPr>
            <w:tcW w:w="620" w:type="dxa"/>
            <w:vAlign w:val="bottom"/>
          </w:tcPr>
          <w:p>
            <w:pPr>
              <w:ind w:left="220"/>
              <w:spacing w:after="0"/>
              <w:rPr>
                <w:sz w:val="20"/>
                <w:szCs w:val="20"/>
                <w:color w:val="auto"/>
              </w:rPr>
            </w:pPr>
            <w:r>
              <w:rPr>
                <w:rFonts w:ascii="Courier New" w:cs="Courier New" w:eastAsia="Courier New" w:hAnsi="Courier New"/>
                <w:sz w:val="15"/>
                <w:szCs w:val="15"/>
                <w:color w:val="auto"/>
              </w:rPr>
              <w:t>53</w:t>
            </w: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w w:val="98"/>
              </w:rPr>
              <w:t>Senior Vice</w:t>
            </w:r>
          </w:p>
        </w:tc>
        <w:tc>
          <w:tcPr>
            <w:tcW w:w="3140" w:type="dxa"/>
            <w:vAlign w:val="bottom"/>
          </w:tcPr>
          <w:p>
            <w:pPr>
              <w:ind w:left="60"/>
              <w:spacing w:after="0"/>
              <w:rPr>
                <w:sz w:val="20"/>
                <w:szCs w:val="20"/>
                <w:color w:val="auto"/>
              </w:rPr>
            </w:pPr>
            <w:r>
              <w:rPr>
                <w:rFonts w:ascii="Courier New" w:cs="Courier New" w:eastAsia="Courier New" w:hAnsi="Courier New"/>
                <w:sz w:val="15"/>
                <w:szCs w:val="15"/>
                <w:color w:val="auto"/>
              </w:rPr>
              <w:t>President, Government Affairs</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40" w:type="dxa"/>
            <w:vAlign w:val="bottom"/>
          </w:tcPr>
          <w:p>
            <w:pPr>
              <w:spacing w:after="0"/>
              <w:rPr>
                <w:sz w:val="14"/>
                <w:szCs w:val="14"/>
                <w:color w:val="auto"/>
              </w:rPr>
            </w:pPr>
          </w:p>
        </w:tc>
      </w:tr>
    </w:tbl>
    <w:p>
      <w:pPr>
        <w:spacing w:after="0" w:line="344" w:lineRule="exact"/>
        <w:rPr>
          <w:sz w:val="20"/>
          <w:szCs w:val="20"/>
          <w:color w:val="auto"/>
        </w:rPr>
      </w:pPr>
    </w:p>
    <w:p>
      <w:pPr>
        <w:ind w:right="3359" w:firstLine="705"/>
        <w:spacing w:after="0" w:line="237" w:lineRule="auto"/>
        <w:rPr>
          <w:sz w:val="20"/>
          <w:szCs w:val="20"/>
          <w:color w:val="auto"/>
        </w:rPr>
      </w:pPr>
      <w:r>
        <w:rPr>
          <w:rFonts w:ascii="Courier New" w:cs="Courier New" w:eastAsia="Courier New" w:hAnsi="Courier New"/>
          <w:sz w:val="15"/>
          <w:szCs w:val="15"/>
          <w:color w:val="auto"/>
        </w:rPr>
        <w:t>None of the executive officers of the Company is related to any other executive officer or director by blood, marriage or adoption except that Brent D. Redstone and Shari Redstone, Directors of the Company, are the son and daughter, respectively, of Sumner M. Redstone.</w:t>
      </w:r>
    </w:p>
    <w:p>
      <w:pPr>
        <w:spacing w:after="0" w:line="346"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Mr. Redstone has been a Director of the Company since 1986 and Chairman of the Board since 1987, acquiring the additional title of Chief Executive Officer in January 1996. Mr. Redstone has served as President, Chief Executive Officer of NAI since 1967, and continues to serve in such capacity; he has also served as the Chairman of the Board of NAI since 1986. Mr. Redstone became a Director of Spelling in 1994. He served as the first Chairman of the Board of the National Association of Theatre Owners, and is currently a member of the Executive Committee of that organization. During the Carter Administration, Mr. Redstone was appointed a member of the Presidential Advisory Committee on the Arts for the John F. Kennedy Center for the Performing Arts and, in 1984, he was appointed a Director of the Kennedy Presidential Library Foundation. Since 1982, Mr. Redstone has been a member of the faculty of Boston University Law School, where he has lectured in entertainment law, and since 1994, he has been a</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22" w:right="1440" w:bottom="1440" w:gutter="0" w:footer="0" w:header="0"/>
        </w:sectPr>
      </w:pPr>
    </w:p>
    <w:bookmarkStart w:id="39" w:name="page40"/>
    <w:bookmarkEnd w:id="39"/>
    <w:p>
      <w:pPr>
        <w:ind w:right="3259"/>
        <w:spacing w:after="0" w:line="237" w:lineRule="auto"/>
        <w:rPr>
          <w:sz w:val="20"/>
          <w:szCs w:val="20"/>
          <w:color w:val="auto"/>
        </w:rPr>
      </w:pPr>
      <w:r>
        <w:rPr>
          <w:rFonts w:ascii="Courier New" w:cs="Courier New" w:eastAsia="Courier New" w:hAnsi="Courier New"/>
          <w:sz w:val="15"/>
          <w:szCs w:val="15"/>
          <w:color w:val="auto"/>
        </w:rPr>
        <w:t>Visiting Professor at Brandeis University. In 1944, Mr. Redstone graduated from Harvard University and, in 1947, received an LL.B. from Harvard University School of Law. Upon graduation, he served as Law Secretary with the United States Court of Appeals, and then as a Special Assistant to the United States Attorney General.</w:t>
      </w:r>
    </w:p>
    <w:p>
      <w:pPr>
        <w:spacing w:after="0" w:line="178"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Mr. Dauman has been a Director of the Company since 1987 and was appointed Deputy Chairman of the Company in January 1996. In March 1994, he was elected Executive Vice President, General Counsel, Chief Administrative Officer and Secretary of the Company. From February 1993 to March 1994, he served as Senior Vice President, General Counsel and Secretary of the Company. Prior to that, Mr. Dauman was a partner in the law firm of Shearman &amp; Sterling in New York, which he joined in 1978. Mr. Dauman became a Director of NAI in 1992 and a Director of Spelling in 1994.</w:t>
      </w:r>
    </w:p>
    <w:p>
      <w:pPr>
        <w:spacing w:after="0" w:line="178"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Mr. Dooley was appointed a Director and Deputy Chairman of the Company in January 1996 and has been an executive officer of the Company since January 1987. In March 1994, he was elected Executive Vice President--Finance, Corporate Development and Communications of the Company. From July 1992 to March 1994, Mr. Dooley served as Senior Vice President, Corporate Development of the Company. From August 1993 to March 1994, he also served as President, Interactive Television. Prior to that, he served as Vice President, Treasurer of the Company since 1987. In December 1990, he was named Vice President, Finance of the Company. Mr. Dooley joined Viacom International Inc. in 1980 in the corporate finance area and has held various positions in the corporate and divisional finance areas.</w:t>
      </w:r>
    </w:p>
    <w:p>
      <w:pPr>
        <w:spacing w:after="0" w:line="181" w:lineRule="exact"/>
        <w:rPr>
          <w:sz w:val="20"/>
          <w:szCs w:val="20"/>
          <w:color w:val="auto"/>
        </w:rPr>
      </w:pPr>
    </w:p>
    <w:p>
      <w:pPr>
        <w:ind w:right="3359" w:firstLine="705"/>
        <w:spacing w:after="0" w:line="237" w:lineRule="auto"/>
        <w:rPr>
          <w:sz w:val="20"/>
          <w:szCs w:val="20"/>
          <w:color w:val="auto"/>
        </w:rPr>
      </w:pPr>
      <w:r>
        <w:rPr>
          <w:rFonts w:ascii="Courier New" w:cs="Courier New" w:eastAsia="Courier New" w:hAnsi="Courier New"/>
          <w:sz w:val="15"/>
          <w:szCs w:val="15"/>
          <w:color w:val="auto"/>
        </w:rPr>
        <w:t>Mr. Clarke was elected Senior Vice President, Treasurer of the Company in July 1994, having joined the Company as Vice President, Treasurer in April 1993. Prior to that, he spent 12 years at Gannett Co., Inc., where he held various management positions, most recently as Assistant Treasurer.</w:t>
      </w:r>
    </w:p>
    <w:p>
      <w:pPr>
        <w:spacing w:after="0" w:line="176"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Mr. Folta was elected Senior Vice President, Corporate Relations of the Company in November 1994. Prior to that, he served as Vice President, Corporate Relations of the Company from April 1994 to November 1994. From 1984 until joining the Company in April 1994, Mr. Folta held various Corporate Communications positions at Paramount, serving most recently as Senior Director, Corporate Communications.</w:t>
      </w:r>
    </w:p>
    <w:p>
      <w:pPr>
        <w:spacing w:after="0" w:line="176"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Mr. Fricklas was elected Senior Vice President, Deputy General Counsel of the Company in March 1994. From June 1993 to March 1994, he served as Vice President, Deputy General Counsel of the Company. He served as Vice President, General Counsel and Secretary of Minorco (U.S.A.) Inc. from 1990 to 1993. Prior to that, Mr. Fricklas was an attorney in private practice at the law firm of Shearman &amp; Sterling.</w:t>
      </w:r>
    </w:p>
    <w:p>
      <w:pPr>
        <w:spacing w:after="0" w:line="176" w:lineRule="exact"/>
        <w:rPr>
          <w:sz w:val="20"/>
          <w:szCs w:val="20"/>
          <w:color w:val="auto"/>
        </w:rPr>
      </w:pPr>
    </w:p>
    <w:p>
      <w:pPr>
        <w:ind w:right="3359" w:firstLine="705"/>
        <w:spacing w:after="0" w:line="258" w:lineRule="auto"/>
        <w:rPr>
          <w:sz w:val="20"/>
          <w:szCs w:val="20"/>
          <w:color w:val="auto"/>
        </w:rPr>
      </w:pPr>
      <w:r>
        <w:rPr>
          <w:rFonts w:ascii="Courier New" w:cs="Courier New" w:eastAsia="Courier New" w:hAnsi="Courier New"/>
          <w:sz w:val="14"/>
          <w:szCs w:val="14"/>
          <w:color w:val="auto"/>
        </w:rPr>
        <w:t>Ms. Gordon was elected Vice President, Controller and Chief Accounting Officer in April 1995. Prior to that, she served as Vice President, Internal Audit of the Company since October 1986. From June 1985 to October 1986, Ms. Gordon served as Controller of Viacom Broadcasting. She joined the Company in 1981 and held various positions in the corporate finance area.</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27" w:right="1440" w:bottom="1440" w:gutter="0" w:footer="0" w:header="0"/>
        </w:sectPr>
      </w:pPr>
    </w:p>
    <w:bookmarkStart w:id="40" w:name="page41"/>
    <w:bookmarkEnd w:id="40"/>
    <w:p>
      <w:pPr>
        <w:ind w:right="3359" w:firstLine="705"/>
        <w:spacing w:after="0" w:line="238" w:lineRule="auto"/>
        <w:rPr>
          <w:sz w:val="20"/>
          <w:szCs w:val="20"/>
          <w:color w:val="auto"/>
        </w:rPr>
      </w:pPr>
      <w:r>
        <w:rPr>
          <w:rFonts w:ascii="Courier New" w:cs="Courier New" w:eastAsia="Courier New" w:hAnsi="Courier New"/>
          <w:sz w:val="15"/>
          <w:szCs w:val="15"/>
          <w:color w:val="auto"/>
        </w:rPr>
        <w:t>Mr. Hertlein was elected Senior Vice President of the Company in July 1994. Prior to that, he served as Senior Vice President and Controller of Paramount from September 1993 to July 1994 and as Senior Vice President, Internal Audit and Special Projects of Paramount from September 1992 to September 1993 and, before that, as Vice President, Internal Audit and Special Projects of Paramount.</w:t>
      </w:r>
    </w:p>
    <w:p>
      <w:pPr>
        <w:spacing w:after="0" w:line="176"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Mr. Horowitz has been an executive officer of the Company since April 1989. In March 1994, he was elected Senior Vice President, Technology of the Company and Chairman, Chief Executive Officer of Viacom Interactive Media. Prior to that, he served as Senior Vice President of the Company from April 1989 and as Chairman, Chief Executive Officer of Viacom Broadcasting from July 1992 to March 1994. From 1974 to April 1989, Mr. Horowitz held various positions with HBO, most recently as Senior Vice President, Technology and Operations. Mr. Horowitz held several other management positions with HBO, including Senior Vice President, Network Operations and New Business Development and Vice President, Affiliate Sales.</w:t>
      </w:r>
    </w:p>
    <w:p>
      <w:pPr>
        <w:spacing w:after="0" w:line="180"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Mr. Roskin has been an executive officer of the Company since April 1988 when he became Vice President, Human Resources and Administration. In July 1992, Mr. Roskin was elected Senior Vice President, Human Resources and Administration of the Company. From May 1986 to April 1988, he was Senior Vice President, Human Resources at Coleco Industries, Inc. From 1976 to 1986, he held various executive positions at Warner Communications, Inc., serving most recently as Vice President, Industrial and Labor Relations.</w:t>
      </w:r>
    </w:p>
    <w:p>
      <w:pPr>
        <w:spacing w:after="0" w:line="177" w:lineRule="exact"/>
        <w:rPr>
          <w:sz w:val="20"/>
          <w:szCs w:val="20"/>
          <w:color w:val="auto"/>
        </w:rPr>
      </w:pPr>
    </w:p>
    <w:p>
      <w:pPr>
        <w:ind w:right="3259" w:firstLine="705"/>
        <w:spacing w:after="0" w:line="257" w:lineRule="auto"/>
        <w:rPr>
          <w:sz w:val="20"/>
          <w:szCs w:val="20"/>
          <w:color w:val="auto"/>
        </w:rPr>
      </w:pPr>
      <w:r>
        <w:rPr>
          <w:rFonts w:ascii="Courier New" w:cs="Courier New" w:eastAsia="Courier New" w:hAnsi="Courier New"/>
          <w:sz w:val="14"/>
          <w:szCs w:val="14"/>
          <w:color w:val="auto"/>
        </w:rPr>
        <w:t>Mr. Smith has been an executive officer of the Company since May 1985. In November 1987, he was elected Senior Vice President, Chief Financial Officer of the Company and he continues to serve in such capacities. In May 1985, Mr. Smith was elected Vice President, Controller and, in October 1987, he was elected Vice President, Chief Financial Officer of the Company. From 1983 until May 1985, he served as Vice President, Finance and Administration of the Viacom Broadcasting and from 1981 until 1983, he served as Controller of Viacom Radio. Mr. Smith joined the Company in 1977 in the Corporate Treasurer's office and until 1981 served in various financial planning capacities.</w:t>
      </w:r>
    </w:p>
    <w:p>
      <w:pPr>
        <w:spacing w:after="0" w:line="167"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Mr. Weinstein has been an executive officer of the Company since January 1986. In February 1993, he was elected Senior Vice President, Government Affairs of the Company. Prior to that, Mr. Weinstein served as Senior Vice President, General Counsel and Secretary of the Company since the fall of 1987. In January 1986, Mr. Weinstein was appointed Vice President, General Counsel of the Company. From 1976 through 1985, he was Deputy General Counsel of Warner Communications Inc. and in 1980 became Vice President. Previously, Mr. Weinstein was an attorney in private practice at the law firm of Paul, Weiss, Rifkind, Wharton &amp; Garrison.</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27"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PART II</w:t>
      </w:r>
    </w:p>
    <w:p>
      <w:pPr>
        <w:spacing w:after="0" w:line="175" w:lineRule="exact"/>
        <w:rPr>
          <w:sz w:val="20"/>
          <w:szCs w:val="20"/>
          <w:color w:val="auto"/>
        </w:rPr>
      </w:pPr>
    </w:p>
    <w:p>
      <w:pPr>
        <w:jc w:val="both"/>
        <w:ind w:left="700" w:right="3699" w:hanging="704"/>
        <w:spacing w:after="0" w:line="235" w:lineRule="auto"/>
        <w:rPr>
          <w:sz w:val="20"/>
          <w:szCs w:val="20"/>
          <w:color w:val="auto"/>
        </w:rPr>
      </w:pPr>
      <w:r>
        <w:rPr>
          <w:rFonts w:ascii="Courier New" w:cs="Courier New" w:eastAsia="Courier New" w:hAnsi="Courier New"/>
          <w:sz w:val="15"/>
          <w:szCs w:val="15"/>
          <w:color w:val="auto"/>
        </w:rPr>
        <w:t>ITEM 5. MARKET FOR VIACOM INC.'S COMMON EQUITY AND RELATED SECURITY HOLDER MATTERS.</w:t>
      </w:r>
    </w:p>
    <w:p>
      <w:pPr>
        <w:spacing w:after="0" w:line="176" w:lineRule="exact"/>
        <w:rPr>
          <w:sz w:val="20"/>
          <w:szCs w:val="20"/>
          <w:color w:val="auto"/>
        </w:rPr>
      </w:pPr>
    </w:p>
    <w:p>
      <w:pPr>
        <w:jc w:val="both"/>
        <w:ind w:right="3699"/>
        <w:spacing w:after="0" w:line="237" w:lineRule="auto"/>
        <w:rPr>
          <w:sz w:val="20"/>
          <w:szCs w:val="20"/>
          <w:color w:val="auto"/>
        </w:rPr>
      </w:pPr>
      <w:r>
        <w:rPr>
          <w:rFonts w:ascii="Courier New" w:cs="Courier New" w:eastAsia="Courier New" w:hAnsi="Courier New"/>
          <w:sz w:val="15"/>
          <w:szCs w:val="15"/>
          <w:color w:val="auto"/>
        </w:rPr>
        <w:t>Viacom Inc. voting Class A Common Stock and Viacom Inc. non-voting Class B Common Stock are listed and traded on the American Stock Exchange ("AMEX") under the symbols "VIA" and "VIA B", respectively.</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following table sets forth, for the calendar period indicated, the per share range of high and low sales prices for Viacom Inc.'s Class A Common Stock and Class B Common Stock, as reported on the AMEX Composite Tape.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w w:val="96"/>
              </w:rPr>
              <w:t>VIACOM CLASS A</w:t>
            </w:r>
          </w:p>
        </w:tc>
        <w:tc>
          <w:tcPr>
            <w:tcW w:w="480" w:type="dxa"/>
            <w:vAlign w:val="bottom"/>
          </w:tcPr>
          <w:p>
            <w:pPr>
              <w:spacing w:after="0"/>
              <w:rPr>
                <w:sz w:val="14"/>
                <w:szCs w:val="14"/>
                <w:color w:val="auto"/>
              </w:rPr>
            </w:pPr>
          </w:p>
        </w:tc>
        <w:tc>
          <w:tcPr>
            <w:tcW w:w="1540" w:type="dxa"/>
            <w:vAlign w:val="bottom"/>
            <w:gridSpan w:val="3"/>
          </w:tcPr>
          <w:p>
            <w:pPr>
              <w:ind w:left="300"/>
              <w:spacing w:after="0"/>
              <w:rPr>
                <w:sz w:val="20"/>
                <w:szCs w:val="20"/>
                <w:color w:val="auto"/>
              </w:rPr>
            </w:pPr>
            <w:r>
              <w:rPr>
                <w:rFonts w:ascii="Courier New" w:cs="Courier New" w:eastAsia="Courier New" w:hAnsi="Courier New"/>
                <w:sz w:val="15"/>
                <w:szCs w:val="15"/>
                <w:color w:val="auto"/>
                <w:w w:val="96"/>
              </w:rPr>
              <w:t>VIACOM CLASS B</w:t>
            </w:r>
          </w:p>
        </w:tc>
        <w:tc>
          <w:tcPr>
            <w:tcW w:w="26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COMMON STOCK</w:t>
            </w:r>
          </w:p>
        </w:tc>
        <w:tc>
          <w:tcPr>
            <w:tcW w:w="480" w:type="dxa"/>
            <w:vAlign w:val="bottom"/>
          </w:tcPr>
          <w:p>
            <w:pPr>
              <w:spacing w:after="0"/>
              <w:rPr>
                <w:sz w:val="14"/>
                <w:szCs w:val="14"/>
                <w:color w:val="auto"/>
              </w:rPr>
            </w:pPr>
          </w:p>
        </w:tc>
        <w:tc>
          <w:tcPr>
            <w:tcW w:w="1540" w:type="dxa"/>
            <w:vAlign w:val="bottom"/>
            <w:gridSpan w:val="3"/>
          </w:tcPr>
          <w:p>
            <w:pPr>
              <w:ind w:left="400"/>
              <w:spacing w:after="0"/>
              <w:rPr>
                <w:sz w:val="20"/>
                <w:szCs w:val="20"/>
                <w:color w:val="auto"/>
              </w:rPr>
            </w:pPr>
            <w:r>
              <w:rPr>
                <w:rFonts w:ascii="Courier New" w:cs="Courier New" w:eastAsia="Courier New" w:hAnsi="Courier New"/>
                <w:sz w:val="15"/>
                <w:szCs w:val="15"/>
                <w:color w:val="auto"/>
              </w:rPr>
              <w:t>COMMON STOCK</w:t>
            </w:r>
          </w:p>
        </w:tc>
        <w:tc>
          <w:tcPr>
            <w:tcW w:w="26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60" w:type="dxa"/>
            <w:vAlign w:val="bottom"/>
            <w:gridSpan w:val="6"/>
          </w:tcPr>
          <w:p>
            <w:pPr>
              <w:spacing w:after="0"/>
              <w:rPr>
                <w:sz w:val="20"/>
                <w:szCs w:val="20"/>
                <w:color w:val="auto"/>
              </w:rPr>
            </w:pPr>
            <w:r>
              <w:rPr>
                <w:rFonts w:ascii="Courier New" w:cs="Courier New" w:eastAsia="Courier New" w:hAnsi="Courier New"/>
                <w:sz w:val="15"/>
                <w:szCs w:val="15"/>
                <w:color w:val="auto"/>
                <w:w w:val="97"/>
              </w:rPr>
              <w:t>-------------------------------------</w:t>
            </w:r>
          </w:p>
        </w:tc>
        <w:tc>
          <w:tcPr>
            <w:tcW w:w="26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HIGH</w:t>
            </w:r>
          </w:p>
        </w:tc>
        <w:tc>
          <w:tcPr>
            <w:tcW w:w="620" w:type="dxa"/>
            <w:vAlign w:val="bottom"/>
          </w:tcPr>
          <w:p>
            <w:pPr>
              <w:ind w:left="340"/>
              <w:spacing w:after="0"/>
              <w:rPr>
                <w:sz w:val="20"/>
                <w:szCs w:val="20"/>
                <w:color w:val="auto"/>
              </w:rPr>
            </w:pPr>
            <w:r>
              <w:rPr>
                <w:rFonts w:ascii="Courier New" w:cs="Courier New" w:eastAsia="Courier New" w:hAnsi="Courier New"/>
                <w:sz w:val="15"/>
                <w:szCs w:val="15"/>
                <w:color w:val="auto"/>
                <w:w w:val="96"/>
              </w:rPr>
              <w:t>LOW</w:t>
            </w:r>
          </w:p>
        </w:tc>
        <w:tc>
          <w:tcPr>
            <w:tcW w:w="480" w:type="dxa"/>
            <w:vAlign w:val="bottom"/>
          </w:tcPr>
          <w:p>
            <w:pPr>
              <w:spacing w:after="0"/>
              <w:rPr>
                <w:sz w:val="14"/>
                <w:szCs w:val="14"/>
                <w:color w:val="auto"/>
              </w:rPr>
            </w:pPr>
          </w:p>
        </w:tc>
        <w:tc>
          <w:tcPr>
            <w:tcW w:w="10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HIGH</w:t>
            </w:r>
          </w:p>
        </w:tc>
        <w:tc>
          <w:tcPr>
            <w:tcW w:w="520" w:type="dxa"/>
            <w:vAlign w:val="bottom"/>
          </w:tcPr>
          <w:p>
            <w:pPr>
              <w:ind w:left="260"/>
              <w:spacing w:after="0"/>
              <w:rPr>
                <w:sz w:val="20"/>
                <w:szCs w:val="20"/>
                <w:color w:val="auto"/>
              </w:rPr>
            </w:pPr>
            <w:r>
              <w:rPr>
                <w:rFonts w:ascii="Courier New" w:cs="Courier New" w:eastAsia="Courier New" w:hAnsi="Courier New"/>
                <w:sz w:val="15"/>
                <w:szCs w:val="15"/>
                <w:color w:val="auto"/>
                <w:w w:val="88"/>
              </w:rPr>
              <w:t>LOW</w:t>
            </w:r>
          </w:p>
        </w:tc>
        <w:tc>
          <w:tcPr>
            <w:tcW w:w="26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w:t>
            </w:r>
          </w:p>
        </w:tc>
        <w:tc>
          <w:tcPr>
            <w:tcW w:w="620" w:type="dxa"/>
            <w:vAlign w:val="bottom"/>
          </w:tcPr>
          <w:p>
            <w:pPr>
              <w:ind w:left="340"/>
              <w:spacing w:after="0"/>
              <w:rPr>
                <w:sz w:val="20"/>
                <w:szCs w:val="20"/>
                <w:color w:val="auto"/>
              </w:rPr>
            </w:pPr>
            <w:r>
              <w:rPr>
                <w:rFonts w:ascii="Courier New" w:cs="Courier New" w:eastAsia="Courier New" w:hAnsi="Courier New"/>
                <w:sz w:val="15"/>
                <w:szCs w:val="15"/>
                <w:color w:val="auto"/>
                <w:w w:val="96"/>
              </w:rPr>
              <w:t>---</w:t>
            </w:r>
          </w:p>
        </w:tc>
        <w:tc>
          <w:tcPr>
            <w:tcW w:w="480" w:type="dxa"/>
            <w:vAlign w:val="bottom"/>
          </w:tcPr>
          <w:p>
            <w:pPr>
              <w:spacing w:after="0"/>
              <w:rPr>
                <w:sz w:val="14"/>
                <w:szCs w:val="14"/>
                <w:color w:val="auto"/>
              </w:rPr>
            </w:pPr>
          </w:p>
        </w:tc>
        <w:tc>
          <w:tcPr>
            <w:tcW w:w="10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4"/>
                <w:szCs w:val="14"/>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0"/>
        </w:trPr>
        <w:tc>
          <w:tcPr>
            <w:tcW w:w="2980" w:type="dxa"/>
            <w:vAlign w:val="bottom"/>
          </w:tcPr>
          <w:p>
            <w:pPr>
              <w:ind w:left="160"/>
              <w:spacing w:after="0"/>
              <w:rPr>
                <w:sz w:val="20"/>
                <w:szCs w:val="20"/>
                <w:color w:val="auto"/>
              </w:rPr>
            </w:pPr>
            <w:r>
              <w:rPr>
                <w:rFonts w:ascii="Courier New" w:cs="Courier New" w:eastAsia="Courier New" w:hAnsi="Courier New"/>
                <w:sz w:val="15"/>
                <w:szCs w:val="15"/>
                <w:color w:val="auto"/>
              </w:rPr>
              <w:t>1st quarter....................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w:t>
            </w: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$41 1/8</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$47 3/8</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$40 1/4</w:t>
            </w:r>
          </w:p>
        </w:tc>
      </w:tr>
      <w:tr>
        <w:trPr>
          <w:trHeight w:val="170"/>
        </w:trPr>
        <w:tc>
          <w:tcPr>
            <w:tcW w:w="2980" w:type="dxa"/>
            <w:vAlign w:val="bottom"/>
          </w:tcPr>
          <w:p>
            <w:pPr>
              <w:ind w:left="160"/>
              <w:spacing w:after="0"/>
              <w:rPr>
                <w:sz w:val="20"/>
                <w:szCs w:val="20"/>
                <w:color w:val="auto"/>
              </w:rPr>
            </w:pPr>
            <w:r>
              <w:rPr>
                <w:rFonts w:ascii="Courier New" w:cs="Courier New" w:eastAsia="Courier New" w:hAnsi="Courier New"/>
                <w:sz w:val="15"/>
                <w:szCs w:val="15"/>
                <w:color w:val="auto"/>
              </w:rPr>
              <w:t>2nd quarter....................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w:t>
            </w:r>
          </w:p>
        </w:tc>
        <w:tc>
          <w:tcPr>
            <w:tcW w:w="620" w:type="dxa"/>
            <w:vAlign w:val="bottom"/>
          </w:tcPr>
          <w:p>
            <w:pPr>
              <w:ind w:left="340"/>
              <w:spacing w:after="0"/>
              <w:rPr>
                <w:sz w:val="20"/>
                <w:szCs w:val="20"/>
                <w:color w:val="auto"/>
              </w:rPr>
            </w:pPr>
            <w:r>
              <w:rPr>
                <w:rFonts w:ascii="Courier New" w:cs="Courier New" w:eastAsia="Courier New" w:hAnsi="Courier New"/>
                <w:sz w:val="15"/>
                <w:szCs w:val="15"/>
                <w:color w:val="auto"/>
              </w:rPr>
              <w:t>41</w:t>
            </w:r>
          </w:p>
        </w:tc>
        <w:tc>
          <w:tcPr>
            <w:tcW w:w="4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c>
          <w:tcPr>
            <w:tcW w:w="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w:t>
            </w:r>
          </w:p>
        </w:tc>
        <w:tc>
          <w:tcPr>
            <w:tcW w:w="520" w:type="dxa"/>
            <w:vAlign w:val="bottom"/>
          </w:tcPr>
          <w:p>
            <w:pPr>
              <w:ind w:left="260"/>
              <w:spacing w:after="0"/>
              <w:rPr>
                <w:sz w:val="20"/>
                <w:szCs w:val="20"/>
                <w:color w:val="auto"/>
              </w:rPr>
            </w:pPr>
            <w:r>
              <w:rPr>
                <w:rFonts w:ascii="Courier New" w:cs="Courier New" w:eastAsia="Courier New" w:hAnsi="Courier New"/>
                <w:sz w:val="15"/>
                <w:szCs w:val="15"/>
                <w:color w:val="auto"/>
              </w:rPr>
              <w:t>40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3/4</w:t>
            </w:r>
          </w:p>
        </w:tc>
      </w:tr>
      <w:tr>
        <w:trPr>
          <w:trHeight w:val="170"/>
        </w:trPr>
        <w:tc>
          <w:tcPr>
            <w:tcW w:w="2980" w:type="dxa"/>
            <w:vAlign w:val="bottom"/>
          </w:tcPr>
          <w:p>
            <w:pPr>
              <w:ind w:left="160"/>
              <w:spacing w:after="0"/>
              <w:rPr>
                <w:sz w:val="20"/>
                <w:szCs w:val="20"/>
                <w:color w:val="auto"/>
              </w:rPr>
            </w:pPr>
            <w:r>
              <w:rPr>
                <w:rFonts w:ascii="Courier New" w:cs="Courier New" w:eastAsia="Courier New" w:hAnsi="Courier New"/>
                <w:sz w:val="15"/>
                <w:szCs w:val="15"/>
                <w:color w:val="auto"/>
              </w:rPr>
              <w:t>3rd quarter....................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w:t>
            </w:r>
          </w:p>
        </w:tc>
        <w:tc>
          <w:tcPr>
            <w:tcW w:w="620" w:type="dxa"/>
            <w:vAlign w:val="bottom"/>
          </w:tcPr>
          <w:p>
            <w:pPr>
              <w:ind w:left="340"/>
              <w:spacing w:after="0"/>
              <w:rPr>
                <w:sz w:val="20"/>
                <w:szCs w:val="20"/>
                <w:color w:val="auto"/>
              </w:rPr>
            </w:pPr>
            <w:r>
              <w:rPr>
                <w:rFonts w:ascii="Courier New" w:cs="Courier New" w:eastAsia="Courier New" w:hAnsi="Courier New"/>
                <w:sz w:val="15"/>
                <w:szCs w:val="15"/>
                <w:color w:val="auto"/>
              </w:rPr>
              <w:t>44</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3/4</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c>
          <w:tcPr>
            <w:tcW w:w="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w:t>
            </w:r>
          </w:p>
        </w:tc>
        <w:tc>
          <w:tcPr>
            <w:tcW w:w="520" w:type="dxa"/>
            <w:vAlign w:val="bottom"/>
          </w:tcPr>
          <w:p>
            <w:pPr>
              <w:ind w:left="260"/>
              <w:spacing w:after="0"/>
              <w:rPr>
                <w:sz w:val="20"/>
                <w:szCs w:val="20"/>
                <w:color w:val="auto"/>
              </w:rPr>
            </w:pPr>
            <w:r>
              <w:rPr>
                <w:rFonts w:ascii="Courier New" w:cs="Courier New" w:eastAsia="Courier New" w:hAnsi="Courier New"/>
                <w:sz w:val="15"/>
                <w:szCs w:val="15"/>
                <w:color w:val="auto"/>
              </w:rPr>
              <w:t>44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5/8</w:t>
            </w:r>
          </w:p>
        </w:tc>
      </w:tr>
      <w:tr>
        <w:trPr>
          <w:trHeight w:val="170"/>
        </w:trPr>
        <w:tc>
          <w:tcPr>
            <w:tcW w:w="2980" w:type="dxa"/>
            <w:vAlign w:val="bottom"/>
          </w:tcPr>
          <w:p>
            <w:pPr>
              <w:ind w:left="160"/>
              <w:spacing w:after="0"/>
              <w:rPr>
                <w:sz w:val="20"/>
                <w:szCs w:val="20"/>
                <w:color w:val="auto"/>
              </w:rPr>
            </w:pPr>
            <w:r>
              <w:rPr>
                <w:rFonts w:ascii="Courier New" w:cs="Courier New" w:eastAsia="Courier New" w:hAnsi="Courier New"/>
                <w:sz w:val="15"/>
                <w:szCs w:val="15"/>
                <w:color w:val="auto"/>
              </w:rPr>
              <w:t>4th quarter....................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w:t>
            </w:r>
          </w:p>
        </w:tc>
        <w:tc>
          <w:tcPr>
            <w:tcW w:w="620" w:type="dxa"/>
            <w:vAlign w:val="bottom"/>
          </w:tcPr>
          <w:p>
            <w:pPr>
              <w:ind w:left="340"/>
              <w:spacing w:after="0"/>
              <w:rPr>
                <w:sz w:val="20"/>
                <w:szCs w:val="20"/>
                <w:color w:val="auto"/>
              </w:rPr>
            </w:pPr>
            <w:r>
              <w:rPr>
                <w:rFonts w:ascii="Courier New" w:cs="Courier New" w:eastAsia="Courier New" w:hAnsi="Courier New"/>
                <w:sz w:val="15"/>
                <w:szCs w:val="15"/>
                <w:color w:val="auto"/>
              </w:rPr>
              <w:t>44</w:t>
            </w:r>
          </w:p>
        </w:tc>
        <w:tc>
          <w:tcPr>
            <w:tcW w:w="4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w:t>
            </w:r>
          </w:p>
        </w:tc>
        <w:tc>
          <w:tcPr>
            <w:tcW w:w="520" w:type="dxa"/>
            <w:vAlign w:val="bottom"/>
          </w:tcPr>
          <w:p>
            <w:pPr>
              <w:ind w:left="260"/>
              <w:spacing w:after="0"/>
              <w:rPr>
                <w:sz w:val="20"/>
                <w:szCs w:val="20"/>
                <w:color w:val="auto"/>
              </w:rPr>
            </w:pPr>
            <w:r>
              <w:rPr>
                <w:rFonts w:ascii="Courier New" w:cs="Courier New" w:eastAsia="Courier New" w:hAnsi="Courier New"/>
                <w:sz w:val="15"/>
                <w:szCs w:val="15"/>
                <w:color w:val="auto"/>
              </w:rPr>
              <w:t>44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5/8</w:t>
            </w:r>
          </w:p>
        </w:tc>
      </w:tr>
      <w:tr>
        <w:trPr>
          <w:trHeight w:val="509"/>
        </w:trPr>
        <w:tc>
          <w:tcPr>
            <w:tcW w:w="298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70"/>
        </w:trPr>
        <w:tc>
          <w:tcPr>
            <w:tcW w:w="2980" w:type="dxa"/>
            <w:vAlign w:val="bottom"/>
          </w:tcPr>
          <w:p>
            <w:pPr>
              <w:ind w:left="160"/>
              <w:spacing w:after="0"/>
              <w:rPr>
                <w:sz w:val="20"/>
                <w:szCs w:val="20"/>
                <w:color w:val="auto"/>
              </w:rPr>
            </w:pPr>
            <w:r>
              <w:rPr>
                <w:rFonts w:ascii="Courier New" w:cs="Courier New" w:eastAsia="Courier New" w:hAnsi="Courier New"/>
                <w:sz w:val="15"/>
                <w:szCs w:val="15"/>
                <w:color w:val="auto"/>
              </w:rPr>
              <w:t>1st quarter....................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w:t>
            </w: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$28 1/2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c>
          <w:tcPr>
            <w:tcW w:w="5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$23 3/4</w:t>
            </w:r>
          </w:p>
        </w:tc>
      </w:tr>
      <w:tr>
        <w:trPr>
          <w:trHeight w:val="170"/>
        </w:trPr>
        <w:tc>
          <w:tcPr>
            <w:tcW w:w="2980" w:type="dxa"/>
            <w:vAlign w:val="bottom"/>
          </w:tcPr>
          <w:p>
            <w:pPr>
              <w:ind w:left="160"/>
              <w:spacing w:after="0"/>
              <w:rPr>
                <w:sz w:val="20"/>
                <w:szCs w:val="20"/>
                <w:color w:val="auto"/>
              </w:rPr>
            </w:pPr>
            <w:r>
              <w:rPr>
                <w:rFonts w:ascii="Courier New" w:cs="Courier New" w:eastAsia="Courier New" w:hAnsi="Courier New"/>
                <w:sz w:val="15"/>
                <w:szCs w:val="15"/>
                <w:color w:val="auto"/>
              </w:rPr>
              <w:t>2nd quarter....................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w:t>
            </w:r>
          </w:p>
        </w:tc>
        <w:tc>
          <w:tcPr>
            <w:tcW w:w="620" w:type="dxa"/>
            <w:vAlign w:val="bottom"/>
          </w:tcPr>
          <w:p>
            <w:pPr>
              <w:ind w:left="340"/>
              <w:spacing w:after="0"/>
              <w:rPr>
                <w:sz w:val="20"/>
                <w:szCs w:val="20"/>
                <w:color w:val="auto"/>
              </w:rPr>
            </w:pPr>
            <w:r>
              <w:rPr>
                <w:rFonts w:ascii="Courier New" w:cs="Courier New" w:eastAsia="Courier New" w:hAnsi="Courier New"/>
                <w:sz w:val="15"/>
                <w:szCs w:val="15"/>
                <w:color w:val="auto"/>
              </w:rPr>
              <w:t>24</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1/2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w:t>
            </w:r>
          </w:p>
        </w:tc>
        <w:tc>
          <w:tcPr>
            <w:tcW w:w="520" w:type="dxa"/>
            <w:vAlign w:val="bottom"/>
          </w:tcPr>
          <w:p>
            <w:pPr>
              <w:ind w:left="260"/>
              <w:spacing w:after="0"/>
              <w:rPr>
                <w:sz w:val="20"/>
                <w:szCs w:val="20"/>
                <w:color w:val="auto"/>
              </w:rPr>
            </w:pPr>
            <w:r>
              <w:rPr>
                <w:rFonts w:ascii="Courier New" w:cs="Courier New" w:eastAsia="Courier New" w:hAnsi="Courier New"/>
                <w:sz w:val="15"/>
                <w:szCs w:val="15"/>
                <w:color w:val="auto"/>
              </w:rPr>
              <w:t>21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3/4</w:t>
            </w:r>
          </w:p>
        </w:tc>
      </w:tr>
      <w:tr>
        <w:trPr>
          <w:trHeight w:val="170"/>
        </w:trPr>
        <w:tc>
          <w:tcPr>
            <w:tcW w:w="2980" w:type="dxa"/>
            <w:vAlign w:val="bottom"/>
          </w:tcPr>
          <w:p>
            <w:pPr>
              <w:ind w:left="160"/>
              <w:spacing w:after="0"/>
              <w:rPr>
                <w:sz w:val="20"/>
                <w:szCs w:val="20"/>
                <w:color w:val="auto"/>
              </w:rPr>
            </w:pPr>
            <w:r>
              <w:rPr>
                <w:rFonts w:ascii="Courier New" w:cs="Courier New" w:eastAsia="Courier New" w:hAnsi="Courier New"/>
                <w:sz w:val="15"/>
                <w:szCs w:val="15"/>
                <w:color w:val="auto"/>
              </w:rPr>
              <w:t>3rd quarter....................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w:t>
            </w:r>
          </w:p>
        </w:tc>
        <w:tc>
          <w:tcPr>
            <w:tcW w:w="620" w:type="dxa"/>
            <w:vAlign w:val="bottom"/>
          </w:tcPr>
          <w:p>
            <w:pPr>
              <w:ind w:left="340"/>
              <w:spacing w:after="0"/>
              <w:rPr>
                <w:sz w:val="20"/>
                <w:szCs w:val="20"/>
                <w:color w:val="auto"/>
              </w:rPr>
            </w:pPr>
            <w:r>
              <w:rPr>
                <w:rFonts w:ascii="Courier New" w:cs="Courier New" w:eastAsia="Courier New" w:hAnsi="Courier New"/>
                <w:sz w:val="15"/>
                <w:szCs w:val="15"/>
                <w:color w:val="auto"/>
              </w:rPr>
              <w:t>33</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7/8</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w:t>
            </w:r>
          </w:p>
        </w:tc>
        <w:tc>
          <w:tcPr>
            <w:tcW w:w="520" w:type="dxa"/>
            <w:vAlign w:val="bottom"/>
          </w:tcPr>
          <w:p>
            <w:pPr>
              <w:ind w:left="260"/>
              <w:spacing w:after="0"/>
              <w:rPr>
                <w:sz w:val="20"/>
                <w:szCs w:val="20"/>
                <w:color w:val="auto"/>
              </w:rPr>
            </w:pPr>
            <w:r>
              <w:rPr>
                <w:rFonts w:ascii="Courier New" w:cs="Courier New" w:eastAsia="Courier New" w:hAnsi="Courier New"/>
                <w:sz w:val="15"/>
                <w:szCs w:val="15"/>
                <w:color w:val="auto"/>
              </w:rPr>
              <w:t>30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1/4</w:t>
            </w:r>
          </w:p>
        </w:tc>
      </w:tr>
      <w:tr>
        <w:trPr>
          <w:trHeight w:val="170"/>
        </w:trPr>
        <w:tc>
          <w:tcPr>
            <w:tcW w:w="2980" w:type="dxa"/>
            <w:vAlign w:val="bottom"/>
          </w:tcPr>
          <w:p>
            <w:pPr>
              <w:ind w:left="160"/>
              <w:spacing w:after="0"/>
              <w:rPr>
                <w:sz w:val="20"/>
                <w:szCs w:val="20"/>
                <w:color w:val="auto"/>
              </w:rPr>
            </w:pPr>
            <w:r>
              <w:rPr>
                <w:rFonts w:ascii="Courier New" w:cs="Courier New" w:eastAsia="Courier New" w:hAnsi="Courier New"/>
                <w:sz w:val="15"/>
                <w:szCs w:val="15"/>
                <w:color w:val="auto"/>
              </w:rPr>
              <w:t>4th quarter....................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w:t>
            </w:r>
          </w:p>
        </w:tc>
        <w:tc>
          <w:tcPr>
            <w:tcW w:w="620" w:type="dxa"/>
            <w:vAlign w:val="bottom"/>
          </w:tcPr>
          <w:p>
            <w:pPr>
              <w:ind w:left="340"/>
              <w:spacing w:after="0"/>
              <w:rPr>
                <w:sz w:val="20"/>
                <w:szCs w:val="20"/>
                <w:color w:val="auto"/>
              </w:rPr>
            </w:pPr>
            <w:r>
              <w:rPr>
                <w:rFonts w:ascii="Courier New" w:cs="Courier New" w:eastAsia="Courier New" w:hAnsi="Courier New"/>
                <w:sz w:val="15"/>
                <w:szCs w:val="15"/>
                <w:color w:val="auto"/>
              </w:rPr>
              <w:t>38</w:t>
            </w:r>
          </w:p>
        </w:tc>
        <w:tc>
          <w:tcPr>
            <w:tcW w:w="4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c>
          <w:tcPr>
            <w:tcW w:w="500" w:type="dxa"/>
            <w:vAlign w:val="bottom"/>
          </w:tcPr>
          <w:p>
            <w:pPr>
              <w:spacing w:after="0"/>
              <w:rPr>
                <w:sz w:val="14"/>
                <w:szCs w:val="14"/>
                <w:color w:val="auto"/>
              </w:rPr>
            </w:pPr>
          </w:p>
        </w:tc>
        <w:tc>
          <w:tcPr>
            <w:tcW w:w="520" w:type="dxa"/>
            <w:vAlign w:val="bottom"/>
          </w:tcPr>
          <w:p>
            <w:pPr>
              <w:ind w:left="260"/>
              <w:spacing w:after="0"/>
              <w:rPr>
                <w:sz w:val="20"/>
                <w:szCs w:val="20"/>
                <w:color w:val="auto"/>
              </w:rPr>
            </w:pPr>
            <w:r>
              <w:rPr>
                <w:rFonts w:ascii="Courier New" w:cs="Courier New" w:eastAsia="Courier New" w:hAnsi="Courier New"/>
                <w:sz w:val="15"/>
                <w:szCs w:val="15"/>
                <w:color w:val="auto"/>
              </w:rPr>
              <w:t>37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1/8</w:t>
            </w:r>
          </w:p>
        </w:tc>
      </w:tr>
    </w:tbl>
    <w:p>
      <w:pPr>
        <w:spacing w:after="0" w:line="175"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Viacom Inc. has not declared cash dividends on its common stock and has no present intention of so doing.</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March 22, 1996 there were approximately 13,307 holders of Viacom Inc.</w:t>
      </w:r>
    </w:p>
    <w:p>
      <w:pPr>
        <w:spacing w:after="0"/>
        <w:rPr>
          <w:sz w:val="20"/>
          <w:szCs w:val="20"/>
          <w:color w:val="auto"/>
        </w:rPr>
      </w:pPr>
      <w:r>
        <w:rPr>
          <w:rFonts w:ascii="Courier New" w:cs="Courier New" w:eastAsia="Courier New" w:hAnsi="Courier New"/>
          <w:sz w:val="15"/>
          <w:szCs w:val="15"/>
          <w:color w:val="auto"/>
        </w:rPr>
        <w:t>Class A Common Stock, and 24,622 holders of Viacom Inc. Class B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961" w:right="1440" w:bottom="1440" w:gutter="0" w:footer="0" w:header="0"/>
        </w:sectPr>
      </w:pPr>
    </w:p>
    <w:bookmarkStart w:id="42" w:name="page43"/>
    <w:bookmarkEnd w:id="42"/>
    <w:tbl>
      <w:tblPr>
        <w:tblLayout w:type="fixed"/>
        <w:tblInd w:w="10" w:type="dxa"/>
        <w:tblCellMar>
          <w:top w:w="0" w:type="dxa"/>
          <w:left w:w="0" w:type="dxa"/>
          <w:bottom w:w="0" w:type="dxa"/>
          <w:right w:w="0" w:type="dxa"/>
        </w:tblCellMar>
      </w:tblP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ITEM 6. SELECTED FINANCIAL DATA.</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509"/>
        </w:trPr>
        <w:tc>
          <w:tcPr>
            <w:tcW w:w="3080" w:type="dxa"/>
            <w:vAlign w:val="bottom"/>
          </w:tcPr>
          <w:p>
            <w:pPr>
              <w:spacing w:after="0"/>
              <w:rPr>
                <w:sz w:val="20"/>
                <w:szCs w:val="20"/>
                <w:color w:val="auto"/>
              </w:rPr>
            </w:pPr>
            <w:r>
              <w:rPr>
                <w:rFonts w:ascii="Courier New" w:cs="Courier New" w:eastAsia="Courier New" w:hAnsi="Courier New"/>
                <w:sz w:val="15"/>
                <w:szCs w:val="15"/>
                <w:color w:val="auto"/>
              </w:rPr>
              <w:t>VIACOM INC. AND SUBSIDIARIES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4180" w:type="dxa"/>
            <w:vAlign w:val="bottom"/>
            <w:gridSpan w:val="3"/>
          </w:tcPr>
          <w:p>
            <w:pPr>
              <w:spacing w:after="0"/>
              <w:rPr>
                <w:sz w:val="20"/>
                <w:szCs w:val="20"/>
                <w:color w:val="auto"/>
              </w:rPr>
            </w:pPr>
            <w:r>
              <w:rPr>
                <w:rFonts w:ascii="Courier New" w:cs="Courier New" w:eastAsia="Courier New" w:hAnsi="Courier New"/>
                <w:sz w:val="15"/>
                <w:szCs w:val="15"/>
                <w:color w:val="auto"/>
                <w:w w:val="98"/>
              </w:rPr>
              <w:t>(Millions of dollars, except per share amounts)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78"/>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0" w:type="dxa"/>
            <w:vAlign w:val="bottom"/>
            <w:gridSpan w:val="9"/>
          </w:tcPr>
          <w:p>
            <w:pPr>
              <w:jc w:val="right"/>
              <w:ind w:right="10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4"/>
                <w:szCs w:val="14"/>
                <w:color w:val="auto"/>
              </w:rPr>
            </w:pP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1994</w:t>
            </w:r>
          </w:p>
        </w:tc>
        <w:tc>
          <w:tcPr>
            <w:tcW w:w="30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1993</w:t>
            </w:r>
          </w:p>
        </w:tc>
        <w:tc>
          <w:tcPr>
            <w:tcW w:w="40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1992</w:t>
            </w:r>
          </w:p>
        </w:tc>
        <w:tc>
          <w:tcPr>
            <w:tcW w:w="36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1991</w:t>
            </w:r>
          </w:p>
        </w:tc>
      </w:tr>
      <w:tr>
        <w:trPr>
          <w:trHeight w:val="170"/>
        </w:trPr>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509"/>
        </w:trPr>
        <w:tc>
          <w:tcPr>
            <w:tcW w:w="30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11,688.7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7,363.2</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2,004.9</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1,864.7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1,711.6</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Operating income (a)</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before depreciation and</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2,313.7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1,074.0</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538.1</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492.7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445.1</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820.4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465.7</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153.1</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144.8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132.9</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Operating income (a).............</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1,493.3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608.3</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385.0</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347.9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312.2</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Earnings (loss) before</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extraordinary loss and</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cumulative effect of change</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in accounting principle........</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222.5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110.0</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169.5</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66.1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(46.6)</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Net earnings (loss)..............</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222.5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89.6</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171.0</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(49.7)</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Net earnings (loss) attributable</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to common stock.................</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162.5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14.6</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158.2</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(49.7)</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Primary and fully diluted net</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w w:val="97"/>
              </w:rPr>
              <w:t>earnings (loss) per common share:</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Earnings (loss) from continuing</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operations before extraordinary</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loss and cumulative effect of</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w w:val="97"/>
              </w:rPr>
              <w:t>change in accounting principle...</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1.30</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Net earnings (loss)...........</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.07</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1.31</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At year end: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Total assets..................</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29,026.0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28,273.7</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6,416.9</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4,317.1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4,188.4</w:t>
            </w:r>
          </w:p>
        </w:tc>
      </w:tr>
      <w:tr>
        <w:trPr>
          <w:trHeight w:val="170"/>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Long-term debt, net of current</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ind w:left="440"/>
              <w:spacing w:after="0"/>
              <w:rPr>
                <w:sz w:val="20"/>
                <w:szCs w:val="20"/>
                <w:color w:val="auto"/>
              </w:rPr>
            </w:pPr>
            <w:r>
              <w:rPr>
                <w:rFonts w:ascii="Courier New" w:cs="Courier New" w:eastAsia="Courier New" w:hAnsi="Courier New"/>
                <w:sz w:val="15"/>
                <w:szCs w:val="15"/>
                <w:color w:val="auto"/>
              </w:rPr>
              <w:t>portion....................</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10,712.1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10,402.4</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2,440.0</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2,397.0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2,320.9</w:t>
            </w:r>
          </w:p>
        </w:tc>
      </w:tr>
      <w:tr>
        <w:trPr>
          <w:trHeight w:val="170"/>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Shareholders' equity..........</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12,093.8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11,791.6</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2,718.1</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756.5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699.5</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0" w:right="3359" w:hanging="10"/>
        <w:spacing w:after="0" w:line="259" w:lineRule="auto"/>
        <w:tabs>
          <w:tab w:leader="none" w:pos="362"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 is defined as net earnings before cumulative effect of change in accounting principle, extraordinary losses, discontinued operations, minority interest, equity in earnings (loss) of affiliated companies (net of tax), income taxes, other items (net), and interest expense.</w:t>
      </w:r>
    </w:p>
    <w:p>
      <w:pPr>
        <w:spacing w:after="0" w:line="163"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See Notes to Consolidated Financial Statements for information on transactions and accounting classifications which have affected the comparability of the periods presented above. Viacom Inc. has not declared cash dividends on its common stock for any of the periods presented above.</w:t>
      </w:r>
    </w:p>
    <w:p>
      <w:pPr>
        <w:spacing w:after="0" w:line="171"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29"/>
          </w:cols>
          <w:pgMar w:left="230" w:top="622" w:right="1440" w:bottom="1440" w:gutter="0" w:footer="0" w:header="0"/>
        </w:sectPr>
      </w:pPr>
    </w:p>
    <w:bookmarkStart w:id="43" w:name="page44"/>
    <w:bookmarkEnd w:id="43"/>
    <w:p>
      <w:pPr>
        <w:ind w:left="700" w:right="3799" w:hanging="704"/>
        <w:spacing w:after="0" w:line="235" w:lineRule="auto"/>
        <w:rPr>
          <w:sz w:val="20"/>
          <w:szCs w:val="20"/>
          <w:color w:val="auto"/>
        </w:rPr>
      </w:pPr>
      <w:r>
        <w:rPr>
          <w:rFonts w:ascii="Courier New" w:cs="Courier New" w:eastAsia="Courier New" w:hAnsi="Courier New"/>
          <w:sz w:val="15"/>
          <w:szCs w:val="15"/>
          <w:color w:val="auto"/>
        </w:rPr>
        <w:t>ITEM 7. MANAGEMENT'S DISCUSSION AND ANALYSIS OF RESULTS OF OPERATIONS AND FINANCIAL CONDITION.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Management's discussion and analysis of the combined results of operations and financial condition of Viacom Inc. (the "Company") should be read in conjunction with the Consolidated Financial Statements and related Notes. Descriptions of all documents incorporated by reference herein or included as exhibits hereto are qualified in their entirety by reference to the full text of such documents so incorporated or included.</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During 1994, the Company made two significant acquisitions of large and diversified businesses. Where appropriate the Company has merged the operations of previously existing and acquired businesses. Comparisons of results of operations have been significantly affected by such acquisitions and merging of operations. On March 11, 1994, the Company acquired a majority of the outstanding shares of Paramount Communications Inc. ("Paramount Communications") by tender offer; on July 7, 1994, Paramount Communications became a wholly owned subsidiary of the Company (the "Paramount Merger"); and on January 3, 1995, Paramount Communications was merged into Viacom International. On September 29, 1994, Blockbuster Entertainment Corporation ("Blockbuster") merged with and into the Company (the "Blockbuster Merger"). Paramount Communications' and Blockbuster's results of operations are included commencing March 1, 1994 and October 1, 1994, respectively.</w:t>
      </w:r>
    </w:p>
    <w:p>
      <w:pPr>
        <w:spacing w:after="0" w:line="183"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The Company's consolidated statements of operations reflect five operating segments:</w:t>
      </w:r>
    </w:p>
    <w:p>
      <w:pPr>
        <w:spacing w:after="0" w:line="176" w:lineRule="exact"/>
        <w:rPr>
          <w:sz w:val="20"/>
          <w:szCs w:val="20"/>
          <w:color w:val="auto"/>
        </w:rPr>
      </w:pPr>
    </w:p>
    <w:p>
      <w:pPr>
        <w:ind w:left="2460" w:right="3539" w:hanging="2467"/>
        <w:spacing w:after="0" w:line="265" w:lineRule="auto"/>
        <w:rPr>
          <w:sz w:val="20"/>
          <w:szCs w:val="20"/>
          <w:color w:val="auto"/>
        </w:rPr>
      </w:pPr>
      <w:r>
        <w:rPr>
          <w:rFonts w:ascii="Courier New" w:cs="Courier New" w:eastAsia="Courier New" w:hAnsi="Courier New"/>
          <w:sz w:val="14"/>
          <w:szCs w:val="14"/>
          <w:color w:val="auto"/>
        </w:rPr>
        <w:t>NETWORKS AND BROADCASTING - Basic Cable and Premium Subscription Television Program Services, Television and Radio Stations.</w:t>
      </w:r>
    </w:p>
    <w:p>
      <w:pPr>
        <w:spacing w:after="0" w:line="158" w:lineRule="exact"/>
        <w:rPr>
          <w:sz w:val="20"/>
          <w:szCs w:val="20"/>
          <w:color w:val="auto"/>
        </w:rPr>
      </w:pPr>
    </w:p>
    <w:p>
      <w:pPr>
        <w:jc w:val="both"/>
        <w:ind w:left="1400" w:right="3359" w:hanging="1409"/>
        <w:spacing w:after="0" w:line="237" w:lineRule="auto"/>
        <w:rPr>
          <w:sz w:val="20"/>
          <w:szCs w:val="20"/>
          <w:color w:val="auto"/>
        </w:rPr>
      </w:pPr>
      <w:r>
        <w:rPr>
          <w:rFonts w:ascii="Courier New" w:cs="Courier New" w:eastAsia="Courier New" w:hAnsi="Courier New"/>
          <w:sz w:val="15"/>
          <w:szCs w:val="15"/>
          <w:color w:val="auto"/>
        </w:rPr>
        <w:t>ENTERTAINMENT - Production and Distribution of Motion Pictures and Television Programming as well as Movie Theater Operations, and New Media and Interactive Services.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VIDEO AND MUSIC/THEME PARKS - Home Video and Music Retailing, and Theme Parks.</w:t>
      </w:r>
    </w:p>
    <w:p>
      <w:pPr>
        <w:spacing w:after="0" w:line="175" w:lineRule="exact"/>
        <w:rPr>
          <w:sz w:val="20"/>
          <w:szCs w:val="20"/>
          <w:color w:val="auto"/>
        </w:rPr>
      </w:pPr>
    </w:p>
    <w:p>
      <w:pPr>
        <w:ind w:left="1140" w:right="3619" w:hanging="1145"/>
        <w:spacing w:after="0" w:line="235" w:lineRule="auto"/>
        <w:rPr>
          <w:sz w:val="20"/>
          <w:szCs w:val="20"/>
          <w:color w:val="auto"/>
        </w:rPr>
      </w:pPr>
      <w:r>
        <w:rPr>
          <w:rFonts w:ascii="Courier New" w:cs="Courier New" w:eastAsia="Courier New" w:hAnsi="Courier New"/>
          <w:sz w:val="15"/>
          <w:szCs w:val="15"/>
          <w:color w:val="auto"/>
        </w:rPr>
        <w:t>PUBLISHING - Education; Consumer; Business and Professional; Reference; and International Groups.</w:t>
      </w:r>
    </w:p>
    <w:p>
      <w:pPr>
        <w:spacing w:after="0" w:line="176" w:lineRule="exact"/>
        <w:rPr>
          <w:sz w:val="20"/>
          <w:szCs w:val="20"/>
          <w:color w:val="auto"/>
        </w:rPr>
      </w:pPr>
    </w:p>
    <w:p>
      <w:pPr>
        <w:ind w:left="1660" w:right="3699" w:hanging="1674"/>
        <w:spacing w:after="0" w:line="235" w:lineRule="auto"/>
        <w:rPr>
          <w:sz w:val="20"/>
          <w:szCs w:val="20"/>
          <w:color w:val="auto"/>
        </w:rPr>
      </w:pPr>
      <w:r>
        <w:rPr>
          <w:rFonts w:ascii="Courier New" w:cs="Courier New" w:eastAsia="Courier New" w:hAnsi="Courier New"/>
          <w:sz w:val="15"/>
          <w:szCs w:val="15"/>
          <w:color w:val="auto"/>
        </w:rPr>
        <w:t>CABLE TELEVISION - Cable Television</w:t>
      </w:r>
      <w:r>
        <w:rPr>
          <w:sz w:val="20"/>
          <w:szCs w:val="20"/>
          <w:color w:val="auto"/>
        </w:rPr>
        <w:t xml:space="preserve"> </w:t>
      </w:r>
      <w:r>
        <w:rPr>
          <w:rFonts w:ascii="Courier New" w:cs="Courier New" w:eastAsia="Courier New" w:hAnsi="Courier New"/>
          <w:sz w:val="15"/>
          <w:szCs w:val="15"/>
          <w:color w:val="auto"/>
        </w:rPr>
        <w:t>Distribution Systems. (See Note 3 of Notes to Consolidated Financial Statements.)</w:t>
      </w:r>
    </w:p>
    <w:p>
      <w:pPr>
        <w:spacing w:after="0" w:line="17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following tables set forth revenues, operating income and operating income before interest, taxes, depreciation and amortization ("EBITDA"), by business segment, with the year ended December 31, 1994 presented on a pro forma and historical basis. The pro forma information is provided in addition to historical information solely to assist in the comparison of results of operations and is not necessarily indicative of the combined results of operations of Viacom, Paramount Communications and Blockbuster that would have occurred if the completion of the Mergers and related transactions had occurred on January 1, 1994.</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627" w:right="1440" w:bottom="1440" w:gutter="0" w:footer="0" w:header="0"/>
        </w:sectPr>
      </w:pPr>
    </w:p>
    <w:bookmarkStart w:id="44" w:name="page45"/>
    <w:bookmarkEnd w:id="44"/>
    <w:p>
      <w:pPr>
        <w:ind w:left="2030"/>
        <w:spacing w:after="0"/>
        <w:rPr>
          <w:sz w:val="20"/>
          <w:szCs w:val="20"/>
          <w:color w:val="auto"/>
        </w:rPr>
      </w:pPr>
      <w:r>
        <w:rPr>
          <w:rFonts w:ascii="Courier New" w:cs="Courier New" w:eastAsia="Courier New" w:hAnsi="Courier New"/>
          <w:sz w:val="15"/>
          <w:szCs w:val="15"/>
          <w:color w:val="auto"/>
        </w:rPr>
        <w:t>MANAGEMENT DISCUSSION AND ANALYSIS OF</w:t>
      </w:r>
    </w:p>
    <w:p>
      <w:pPr>
        <w:ind w:left="1590"/>
        <w:spacing w:after="0"/>
        <w:rPr>
          <w:sz w:val="20"/>
          <w:szCs w:val="20"/>
          <w:color w:val="auto"/>
        </w:rPr>
      </w:pPr>
      <w:r>
        <w:rPr>
          <w:rFonts w:ascii="Courier New" w:cs="Courier New" w:eastAsia="Courier New" w:hAnsi="Courier New"/>
          <w:sz w:val="15"/>
          <w:szCs w:val="15"/>
          <w:color w:val="auto"/>
        </w:rPr>
        <w:t>RESULTS OF OPERATIONS AND FINANCIAL CONDITION</w:t>
      </w:r>
    </w:p>
    <w:p>
      <w:pPr>
        <w:spacing w:after="0" w:line="200" w:lineRule="exact"/>
        <w:rPr>
          <w:sz w:val="20"/>
          <w:szCs w:val="20"/>
          <w:color w:val="auto"/>
        </w:rPr>
      </w:pPr>
    </w:p>
    <w:p>
      <w:pPr>
        <w:spacing w:after="0" w:line="313"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Also included is a comparison of actual EBITDA to pro forma EBITDA, which does not reflect the effect of significant amounts of amortization of goodwill related to the Mergers and other business combinations accounted for under the purchase method of accounting. While many in the financial community consider EBITDA to be an important measure of comparative operating performance, it should be considered in addition to, but not as a substitute for or superior to, operating income, net earnings, cash flow and other measures of financial performance prepared in accordance with generally accepted accounting principles.</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BUSINESS SEGMENT INFORMATION</w:t>
      </w:r>
    </w:p>
    <w:p>
      <w:pPr>
        <w:ind w:left="10"/>
        <w:spacing w:after="0"/>
        <w:rPr>
          <w:sz w:val="20"/>
          <w:szCs w:val="20"/>
          <w:color w:val="auto"/>
        </w:rPr>
      </w:pPr>
      <w:r>
        <w:rPr>
          <w:rFonts w:ascii="Courier New" w:cs="Courier New" w:eastAsia="Courier New" w:hAnsi="Courier New"/>
          <w:sz w:val="15"/>
          <w:szCs w:val="15"/>
          <w:color w:val="auto"/>
        </w:rPr>
        <w:t>(Millions of dollars)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jc w:val="right"/>
              <w:ind w:right="587"/>
              <w:spacing w:after="0"/>
              <w:rPr>
                <w:sz w:val="20"/>
                <w:szCs w:val="20"/>
                <w:color w:val="auto"/>
              </w:rPr>
            </w:pPr>
            <w:r>
              <w:rPr>
                <w:rFonts w:ascii="Courier New" w:cs="Courier New" w:eastAsia="Courier New" w:hAnsi="Courier New"/>
                <w:sz w:val="15"/>
                <w:szCs w:val="15"/>
                <w:color w:val="auto"/>
              </w:rPr>
              <w:t>YEAR ENDED</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rPr>
              <w:t>PERCENT</w:t>
            </w:r>
          </w:p>
        </w:tc>
        <w:tc>
          <w:tcPr>
            <w:tcW w:w="220" w:type="dxa"/>
            <w:vAlign w:val="bottom"/>
          </w:tcPr>
          <w:p>
            <w:pPr>
              <w:spacing w:after="0"/>
              <w:rPr>
                <w:sz w:val="14"/>
                <w:szCs w:val="14"/>
                <w:color w:val="auto"/>
              </w:rPr>
            </w:pPr>
          </w:p>
        </w:tc>
        <w:tc>
          <w:tcPr>
            <w:tcW w:w="13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YEAR ENDED</w:t>
            </w:r>
          </w:p>
        </w:tc>
        <w:tc>
          <w:tcPr>
            <w:tcW w:w="540" w:type="dxa"/>
            <w:vAlign w:val="bottom"/>
          </w:tcPr>
          <w:p>
            <w:pPr>
              <w:spacing w:after="0"/>
              <w:rPr>
                <w:sz w:val="14"/>
                <w:szCs w:val="14"/>
                <w:color w:val="auto"/>
              </w:rPr>
            </w:pPr>
          </w:p>
        </w:tc>
      </w:tr>
      <w:tr>
        <w:trPr>
          <w:trHeight w:val="170"/>
        </w:trPr>
        <w:tc>
          <w:tcPr>
            <w:tcW w:w="3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DECEMBER 31,</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rPr>
              <w:t>CHANGE</w:t>
            </w:r>
          </w:p>
        </w:tc>
        <w:tc>
          <w:tcPr>
            <w:tcW w:w="2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DECEMBER</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w w:val="88"/>
              </w:rPr>
              <w:t>31,</w:t>
            </w:r>
          </w:p>
        </w:tc>
        <w:tc>
          <w:tcPr>
            <w:tcW w:w="540" w:type="dxa"/>
            <w:vAlign w:val="bottom"/>
          </w:tcPr>
          <w:p>
            <w:pPr>
              <w:spacing w:after="0"/>
              <w:rPr>
                <w:sz w:val="14"/>
                <w:szCs w:val="14"/>
                <w:color w:val="auto"/>
              </w:rPr>
            </w:pPr>
          </w:p>
        </w:tc>
      </w:tr>
      <w:tr>
        <w:trPr>
          <w:trHeight w:val="170"/>
        </w:trPr>
        <w:tc>
          <w:tcPr>
            <w:tcW w:w="3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79"/>
              </w:rPr>
              <w:t>------------</w:t>
            </w:r>
          </w:p>
        </w:tc>
        <w:tc>
          <w:tcPr>
            <w:tcW w:w="74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32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6"/>
              </w:rPr>
              <w:t>------------</w:t>
            </w:r>
          </w:p>
        </w:tc>
        <w:tc>
          <w:tcPr>
            <w:tcW w:w="540" w:type="dxa"/>
            <w:vAlign w:val="bottom"/>
          </w:tcPr>
          <w:p>
            <w:pPr>
              <w:spacing w:after="0"/>
              <w:rPr>
                <w:sz w:val="14"/>
                <w:szCs w:val="14"/>
                <w:color w:val="auto"/>
              </w:rPr>
            </w:pPr>
          </w:p>
        </w:tc>
      </w:tr>
      <w:tr>
        <w:trPr>
          <w:trHeight w:val="170"/>
        </w:trPr>
        <w:tc>
          <w:tcPr>
            <w:tcW w:w="3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1994</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4"/>
              </w:rPr>
              <w:t>1994 (C)</w:t>
            </w:r>
          </w:p>
        </w:tc>
        <w:tc>
          <w:tcPr>
            <w:tcW w:w="8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3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4"/>
              </w:rPr>
              <w:t>--------</w:t>
            </w:r>
          </w:p>
        </w:tc>
        <w:tc>
          <w:tcPr>
            <w:tcW w:w="8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3"/>
              </w:rPr>
              <w:t>PRO FORMA</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339"/>
        </w:trPr>
        <w:tc>
          <w:tcPr>
            <w:tcW w:w="33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39"/>
        </w:trPr>
        <w:tc>
          <w:tcPr>
            <w:tcW w:w="3340" w:type="dxa"/>
            <w:vAlign w:val="bottom"/>
          </w:tcPr>
          <w:p>
            <w:pPr>
              <w:spacing w:after="0"/>
              <w:rPr>
                <w:sz w:val="20"/>
                <w:szCs w:val="20"/>
                <w:color w:val="auto"/>
              </w:rPr>
            </w:pPr>
            <w:r>
              <w:rPr>
                <w:rFonts w:ascii="Courier New" w:cs="Courier New" w:eastAsia="Courier New" w:hAnsi="Courier New"/>
                <w:sz w:val="15"/>
                <w:szCs w:val="15"/>
                <w:color w:val="auto"/>
              </w:rPr>
              <w:t>Networks and Broadcasting...........</w:t>
            </w: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$2,137.4</w:t>
            </w:r>
          </w:p>
        </w:tc>
        <w:tc>
          <w:tcPr>
            <w:tcW w:w="10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$1,886.0</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w:t>
            </w:r>
          </w:p>
        </w:tc>
        <w:tc>
          <w:tcPr>
            <w:tcW w:w="12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$1,855.1</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$1,403.0</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Entertainment.......................</w:t>
            </w:r>
          </w:p>
        </w:tc>
        <w:tc>
          <w:tcPr>
            <w:tcW w:w="36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1"/>
              </w:rPr>
              <w:t>3,650.4</w:t>
            </w:r>
          </w:p>
        </w:tc>
        <w:tc>
          <w:tcPr>
            <w:tcW w:w="26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2,938.7</w:t>
            </w:r>
          </w:p>
        </w:tc>
        <w:tc>
          <w:tcPr>
            <w:tcW w:w="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w:t>
            </w:r>
          </w:p>
        </w:tc>
        <w:tc>
          <w:tcPr>
            <w:tcW w:w="22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2,285.2</w:t>
            </w:r>
          </w:p>
        </w:tc>
        <w:tc>
          <w:tcPr>
            <w:tcW w:w="30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209.1</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Video and Music/Theme Parks.........</w:t>
            </w:r>
          </w:p>
        </w:tc>
        <w:tc>
          <w:tcPr>
            <w:tcW w:w="36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1"/>
              </w:rPr>
              <w:t>3,333.4</w:t>
            </w:r>
          </w:p>
        </w:tc>
        <w:tc>
          <w:tcPr>
            <w:tcW w:w="26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2,907.8</w:t>
            </w:r>
          </w:p>
        </w:tc>
        <w:tc>
          <w:tcPr>
            <w:tcW w:w="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w:t>
            </w:r>
          </w:p>
        </w:tc>
        <w:tc>
          <w:tcPr>
            <w:tcW w:w="22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1,070.4</w:t>
            </w:r>
          </w:p>
        </w:tc>
        <w:tc>
          <w:tcPr>
            <w:tcW w:w="30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Publishing..........................</w:t>
            </w:r>
          </w:p>
        </w:tc>
        <w:tc>
          <w:tcPr>
            <w:tcW w:w="36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1"/>
              </w:rPr>
              <w:t>2,171.1</w:t>
            </w:r>
          </w:p>
        </w:tc>
        <w:tc>
          <w:tcPr>
            <w:tcW w:w="26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2,027.5</w:t>
            </w:r>
          </w:p>
        </w:tc>
        <w:tc>
          <w:tcPr>
            <w:tcW w:w="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w:t>
            </w:r>
          </w:p>
        </w:tc>
        <w:tc>
          <w:tcPr>
            <w:tcW w:w="22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1,786.4</w:t>
            </w:r>
          </w:p>
        </w:tc>
        <w:tc>
          <w:tcPr>
            <w:tcW w:w="30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Cable Television....................</w:t>
            </w:r>
          </w:p>
        </w:tc>
        <w:tc>
          <w:tcPr>
            <w:tcW w:w="36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444.4</w:t>
            </w:r>
          </w:p>
        </w:tc>
        <w:tc>
          <w:tcPr>
            <w:tcW w:w="26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406.2</w:t>
            </w:r>
          </w:p>
        </w:tc>
        <w:tc>
          <w:tcPr>
            <w:tcW w:w="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w:t>
            </w:r>
          </w:p>
        </w:tc>
        <w:tc>
          <w:tcPr>
            <w:tcW w:w="22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406.2</w:t>
            </w:r>
          </w:p>
        </w:tc>
        <w:tc>
          <w:tcPr>
            <w:tcW w:w="30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416.0</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Intercompany........................</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(48.0)</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(44.6)</w:t>
            </w:r>
          </w:p>
        </w:tc>
        <w:tc>
          <w:tcPr>
            <w:tcW w:w="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w:t>
            </w:r>
          </w:p>
        </w:tc>
        <w:tc>
          <w:tcPr>
            <w:tcW w:w="22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(40.1)</w:t>
            </w:r>
          </w:p>
        </w:tc>
        <w:tc>
          <w:tcPr>
            <w:tcW w:w="3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(23.2)</w:t>
            </w:r>
          </w:p>
        </w:tc>
      </w:tr>
      <w:tr>
        <w:trPr>
          <w:trHeight w:val="170"/>
        </w:trPr>
        <w:tc>
          <w:tcPr>
            <w:tcW w:w="3340" w:type="dxa"/>
            <w:vAlign w:val="bottom"/>
          </w:tcPr>
          <w:p>
            <w:pPr>
              <w:spacing w:after="0"/>
              <w:rPr>
                <w:sz w:val="14"/>
                <w:szCs w:val="14"/>
                <w:color w:val="auto"/>
              </w:rPr>
            </w:pPr>
          </w:p>
        </w:tc>
        <w:tc>
          <w:tcPr>
            <w:tcW w:w="1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w:t>
            </w:r>
          </w:p>
        </w:tc>
        <w:tc>
          <w:tcPr>
            <w:tcW w:w="8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3340" w:type="dxa"/>
            <w:vAlign w:val="bottom"/>
          </w:tcPr>
          <w:p>
            <w:pPr>
              <w:ind w:left="340"/>
              <w:spacing w:after="0"/>
              <w:rPr>
                <w:sz w:val="20"/>
                <w:szCs w:val="20"/>
                <w:color w:val="auto"/>
              </w:rPr>
            </w:pPr>
            <w:r>
              <w:rPr>
                <w:rFonts w:ascii="Courier New" w:cs="Courier New" w:eastAsia="Courier New" w:hAnsi="Courier New"/>
                <w:sz w:val="15"/>
                <w:szCs w:val="15"/>
                <w:color w:val="auto"/>
              </w:rPr>
              <w:t>Total revenues..................</w:t>
            </w: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$11,688.7</w:t>
            </w:r>
          </w:p>
        </w:tc>
        <w:tc>
          <w:tcPr>
            <w:tcW w:w="10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$10,121.6</w:t>
            </w:r>
          </w:p>
        </w:tc>
        <w:tc>
          <w:tcPr>
            <w:tcW w:w="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w:t>
            </w:r>
          </w:p>
        </w:tc>
        <w:tc>
          <w:tcPr>
            <w:tcW w:w="12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$7,363.2</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$2,004.9</w:t>
            </w:r>
          </w:p>
        </w:tc>
      </w:tr>
      <w:tr>
        <w:trPr>
          <w:trHeight w:val="170"/>
        </w:trPr>
        <w:tc>
          <w:tcPr>
            <w:tcW w:w="3340" w:type="dxa"/>
            <w:vAlign w:val="bottom"/>
          </w:tcPr>
          <w:p>
            <w:pPr>
              <w:spacing w:after="0"/>
              <w:rPr>
                <w:sz w:val="14"/>
                <w:szCs w:val="14"/>
                <w:color w:val="auto"/>
              </w:rPr>
            </w:pPr>
          </w:p>
        </w:tc>
        <w:tc>
          <w:tcPr>
            <w:tcW w:w="1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w:t>
            </w:r>
          </w:p>
        </w:tc>
        <w:tc>
          <w:tcPr>
            <w:tcW w:w="800" w:type="dxa"/>
            <w:vAlign w:val="bottom"/>
          </w:tcPr>
          <w:p>
            <w:pPr>
              <w:spacing w:after="0"/>
              <w:rPr>
                <w:sz w:val="14"/>
                <w:szCs w:val="14"/>
                <w:color w:val="auto"/>
              </w:rPr>
            </w:pPr>
          </w:p>
        </w:tc>
        <w:tc>
          <w:tcPr>
            <w:tcW w:w="12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3340" w:type="dxa"/>
            <w:vAlign w:val="bottom"/>
          </w:tcPr>
          <w:p>
            <w:pPr>
              <w:spacing w:after="0"/>
              <w:rPr>
                <w:sz w:val="20"/>
                <w:szCs w:val="20"/>
                <w:color w:val="auto"/>
              </w:rPr>
            </w:pPr>
            <w:r>
              <w:rPr>
                <w:rFonts w:ascii="Courier New" w:cs="Courier New" w:eastAsia="Courier New" w:hAnsi="Courier New"/>
                <w:sz w:val="15"/>
                <w:szCs w:val="15"/>
                <w:color w:val="auto"/>
              </w:rPr>
              <w:t>OPERATING INCOME (a):</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Networks and Broadcasting...........</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561.3</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447.0</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357.1</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314.4</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Entertainment.......................</w:t>
            </w:r>
          </w:p>
        </w:tc>
        <w:tc>
          <w:tcPr>
            <w:tcW w:w="36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307.3</w:t>
            </w:r>
          </w:p>
        </w:tc>
        <w:tc>
          <w:tcPr>
            <w:tcW w:w="26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129.9</w:t>
            </w:r>
          </w:p>
        </w:tc>
        <w:tc>
          <w:tcPr>
            <w:tcW w:w="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137</w:t>
            </w:r>
          </w:p>
        </w:tc>
        <w:tc>
          <w:tcPr>
            <w:tcW w:w="22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(88.4)</w:t>
            </w:r>
          </w:p>
        </w:tc>
        <w:tc>
          <w:tcPr>
            <w:tcW w:w="30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32.5</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Video and Music/Theme Parks.........</w:t>
            </w:r>
          </w:p>
        </w:tc>
        <w:tc>
          <w:tcPr>
            <w:tcW w:w="36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501.5</w:t>
            </w:r>
          </w:p>
        </w:tc>
        <w:tc>
          <w:tcPr>
            <w:tcW w:w="26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388.3</w:t>
            </w:r>
          </w:p>
        </w:tc>
        <w:tc>
          <w:tcPr>
            <w:tcW w:w="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29</w:t>
            </w:r>
          </w:p>
        </w:tc>
        <w:tc>
          <w:tcPr>
            <w:tcW w:w="22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199.5</w:t>
            </w:r>
          </w:p>
        </w:tc>
        <w:tc>
          <w:tcPr>
            <w:tcW w:w="30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Publishing..........................</w:t>
            </w:r>
          </w:p>
        </w:tc>
        <w:tc>
          <w:tcPr>
            <w:tcW w:w="36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186.3</w:t>
            </w:r>
          </w:p>
        </w:tc>
        <w:tc>
          <w:tcPr>
            <w:tcW w:w="26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121.3</w:t>
            </w:r>
          </w:p>
        </w:tc>
        <w:tc>
          <w:tcPr>
            <w:tcW w:w="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54</w:t>
            </w:r>
          </w:p>
        </w:tc>
        <w:tc>
          <w:tcPr>
            <w:tcW w:w="22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193.9</w:t>
            </w:r>
          </w:p>
        </w:tc>
        <w:tc>
          <w:tcPr>
            <w:tcW w:w="30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Cable Television....................</w:t>
            </w:r>
          </w:p>
        </w:tc>
        <w:tc>
          <w:tcPr>
            <w:tcW w:w="36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101.1</w:t>
            </w:r>
          </w:p>
        </w:tc>
        <w:tc>
          <w:tcPr>
            <w:tcW w:w="26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78.8</w:t>
            </w:r>
          </w:p>
        </w:tc>
        <w:tc>
          <w:tcPr>
            <w:tcW w:w="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w:t>
            </w:r>
          </w:p>
        </w:tc>
        <w:tc>
          <w:tcPr>
            <w:tcW w:w="22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78.8</w:t>
            </w:r>
          </w:p>
        </w:tc>
        <w:tc>
          <w:tcPr>
            <w:tcW w:w="30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110.2</w:t>
            </w:r>
          </w:p>
        </w:tc>
      </w:tr>
      <w:tr>
        <w:trPr>
          <w:trHeight w:val="170"/>
        </w:trPr>
        <w:tc>
          <w:tcPr>
            <w:tcW w:w="3340" w:type="dxa"/>
            <w:vAlign w:val="bottom"/>
          </w:tcPr>
          <w:p>
            <w:pPr>
              <w:spacing w:after="0"/>
              <w:rPr>
                <w:sz w:val="14"/>
                <w:szCs w:val="14"/>
                <w:color w:val="auto"/>
              </w:rPr>
            </w:pP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2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340" w:type="dxa"/>
            <w:vAlign w:val="bottom"/>
          </w:tcPr>
          <w:p>
            <w:pPr>
              <w:ind w:left="340"/>
              <w:spacing w:after="0"/>
              <w:rPr>
                <w:sz w:val="20"/>
                <w:szCs w:val="20"/>
                <w:color w:val="auto"/>
              </w:rPr>
            </w:pPr>
            <w:r>
              <w:rPr>
                <w:rFonts w:ascii="Courier New" w:cs="Courier New" w:eastAsia="Courier New" w:hAnsi="Courier New"/>
                <w:sz w:val="15"/>
                <w:szCs w:val="15"/>
                <w:color w:val="auto"/>
              </w:rPr>
              <w:t>Segment operating income........</w:t>
            </w:r>
          </w:p>
        </w:tc>
        <w:tc>
          <w:tcPr>
            <w:tcW w:w="36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1"/>
              </w:rPr>
              <w:t>1,657.5</w:t>
            </w:r>
          </w:p>
        </w:tc>
        <w:tc>
          <w:tcPr>
            <w:tcW w:w="26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1,165.3</w:t>
            </w:r>
          </w:p>
        </w:tc>
        <w:tc>
          <w:tcPr>
            <w:tcW w:w="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42</w:t>
            </w:r>
          </w:p>
        </w:tc>
        <w:tc>
          <w:tcPr>
            <w:tcW w:w="22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740.9</w:t>
            </w:r>
          </w:p>
        </w:tc>
        <w:tc>
          <w:tcPr>
            <w:tcW w:w="30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457.1</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Corporate...........................</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(164.2)</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(125.3)</w:t>
            </w:r>
          </w:p>
        </w:tc>
        <w:tc>
          <w:tcPr>
            <w:tcW w:w="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31</w:t>
            </w:r>
          </w:p>
        </w:tc>
        <w:tc>
          <w:tcPr>
            <w:tcW w:w="22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(132.6)</w:t>
            </w:r>
          </w:p>
        </w:tc>
        <w:tc>
          <w:tcPr>
            <w:tcW w:w="3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(72.1)</w:t>
            </w:r>
          </w:p>
        </w:tc>
      </w:tr>
      <w:tr>
        <w:trPr>
          <w:trHeight w:val="170"/>
        </w:trPr>
        <w:tc>
          <w:tcPr>
            <w:tcW w:w="3340" w:type="dxa"/>
            <w:vAlign w:val="bottom"/>
          </w:tcPr>
          <w:p>
            <w:pPr>
              <w:spacing w:after="0"/>
              <w:rPr>
                <w:sz w:val="14"/>
                <w:szCs w:val="14"/>
                <w:color w:val="auto"/>
              </w:rPr>
            </w:pPr>
          </w:p>
        </w:tc>
        <w:tc>
          <w:tcPr>
            <w:tcW w:w="1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w:t>
            </w:r>
          </w:p>
        </w:tc>
        <w:tc>
          <w:tcPr>
            <w:tcW w:w="8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3340" w:type="dxa"/>
            <w:vAlign w:val="bottom"/>
          </w:tcPr>
          <w:p>
            <w:pPr>
              <w:ind w:left="340"/>
              <w:spacing w:after="0"/>
              <w:rPr>
                <w:sz w:val="20"/>
                <w:szCs w:val="20"/>
                <w:color w:val="auto"/>
              </w:rPr>
            </w:pPr>
            <w:r>
              <w:rPr>
                <w:rFonts w:ascii="Courier New" w:cs="Courier New" w:eastAsia="Courier New" w:hAnsi="Courier New"/>
                <w:sz w:val="15"/>
                <w:szCs w:val="15"/>
                <w:color w:val="auto"/>
              </w:rPr>
              <w:t>Total operating income..........</w:t>
            </w: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$1,493.3</w:t>
            </w:r>
          </w:p>
        </w:tc>
        <w:tc>
          <w:tcPr>
            <w:tcW w:w="10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$1,040.0</w:t>
            </w:r>
          </w:p>
        </w:tc>
        <w:tc>
          <w:tcPr>
            <w:tcW w:w="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608.3</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385.0</w:t>
            </w:r>
          </w:p>
        </w:tc>
      </w:tr>
      <w:tr>
        <w:trPr>
          <w:trHeight w:val="170"/>
        </w:trPr>
        <w:tc>
          <w:tcPr>
            <w:tcW w:w="3340" w:type="dxa"/>
            <w:vAlign w:val="bottom"/>
          </w:tcPr>
          <w:p>
            <w:pPr>
              <w:spacing w:after="0"/>
              <w:rPr>
                <w:sz w:val="14"/>
                <w:szCs w:val="14"/>
                <w:color w:val="auto"/>
              </w:rPr>
            </w:pP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2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3340" w:type="dxa"/>
            <w:vAlign w:val="bottom"/>
          </w:tcPr>
          <w:p>
            <w:pPr>
              <w:spacing w:after="0"/>
              <w:rPr>
                <w:sz w:val="20"/>
                <w:szCs w:val="20"/>
                <w:color w:val="auto"/>
              </w:rPr>
            </w:pPr>
            <w:r>
              <w:rPr>
                <w:rFonts w:ascii="Courier New" w:cs="Courier New" w:eastAsia="Courier New" w:hAnsi="Courier New"/>
                <w:sz w:val="15"/>
                <w:szCs w:val="15"/>
                <w:color w:val="auto"/>
              </w:rPr>
              <w:t>EBITDA (b):</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Networks and Broadcasting...........</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678.3</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549.0</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453.3</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382.6</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Entertainment.......................</w:t>
            </w:r>
          </w:p>
        </w:tc>
        <w:tc>
          <w:tcPr>
            <w:tcW w:w="36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445.9</w:t>
            </w:r>
          </w:p>
        </w:tc>
        <w:tc>
          <w:tcPr>
            <w:tcW w:w="26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265.5</w:t>
            </w:r>
          </w:p>
        </w:tc>
        <w:tc>
          <w:tcPr>
            <w:tcW w:w="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68</w:t>
            </w:r>
          </w:p>
        </w:tc>
        <w:tc>
          <w:tcPr>
            <w:tcW w:w="22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6.0</w:t>
            </w:r>
          </w:p>
        </w:tc>
        <w:tc>
          <w:tcPr>
            <w:tcW w:w="30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42.0</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Video and Music/Theme Parks.........</w:t>
            </w:r>
          </w:p>
        </w:tc>
        <w:tc>
          <w:tcPr>
            <w:tcW w:w="36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823.0</w:t>
            </w:r>
          </w:p>
        </w:tc>
        <w:tc>
          <w:tcPr>
            <w:tcW w:w="26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688.5</w:t>
            </w:r>
          </w:p>
        </w:tc>
        <w:tc>
          <w:tcPr>
            <w:tcW w:w="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w:t>
            </w:r>
          </w:p>
        </w:tc>
        <w:tc>
          <w:tcPr>
            <w:tcW w:w="22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289.9</w:t>
            </w:r>
          </w:p>
        </w:tc>
        <w:tc>
          <w:tcPr>
            <w:tcW w:w="30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Publishing..........................</w:t>
            </w:r>
          </w:p>
        </w:tc>
        <w:tc>
          <w:tcPr>
            <w:tcW w:w="36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340.2</w:t>
            </w:r>
          </w:p>
        </w:tc>
        <w:tc>
          <w:tcPr>
            <w:tcW w:w="26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254.9</w:t>
            </w:r>
          </w:p>
        </w:tc>
        <w:tc>
          <w:tcPr>
            <w:tcW w:w="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33</w:t>
            </w:r>
          </w:p>
        </w:tc>
        <w:tc>
          <w:tcPr>
            <w:tcW w:w="22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296.9</w:t>
            </w:r>
          </w:p>
        </w:tc>
        <w:tc>
          <w:tcPr>
            <w:tcW w:w="30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Cable Television....................</w:t>
            </w:r>
          </w:p>
        </w:tc>
        <w:tc>
          <w:tcPr>
            <w:tcW w:w="36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182.9</w:t>
            </w:r>
          </w:p>
        </w:tc>
        <w:tc>
          <w:tcPr>
            <w:tcW w:w="26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155.2</w:t>
            </w:r>
          </w:p>
        </w:tc>
        <w:tc>
          <w:tcPr>
            <w:tcW w:w="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w:t>
            </w:r>
          </w:p>
        </w:tc>
        <w:tc>
          <w:tcPr>
            <w:tcW w:w="22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155.2</w:t>
            </w:r>
          </w:p>
        </w:tc>
        <w:tc>
          <w:tcPr>
            <w:tcW w:w="30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181.7</w:t>
            </w:r>
          </w:p>
        </w:tc>
      </w:tr>
      <w:tr>
        <w:trPr>
          <w:trHeight w:val="170"/>
        </w:trPr>
        <w:tc>
          <w:tcPr>
            <w:tcW w:w="3340" w:type="dxa"/>
            <w:vAlign w:val="bottom"/>
          </w:tcPr>
          <w:p>
            <w:pPr>
              <w:spacing w:after="0"/>
              <w:rPr>
                <w:sz w:val="14"/>
                <w:szCs w:val="14"/>
                <w:color w:val="auto"/>
              </w:rPr>
            </w:pP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2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340" w:type="dxa"/>
            <w:vAlign w:val="bottom"/>
          </w:tcPr>
          <w:p>
            <w:pPr>
              <w:ind w:left="340"/>
              <w:spacing w:after="0"/>
              <w:rPr>
                <w:sz w:val="20"/>
                <w:szCs w:val="20"/>
                <w:color w:val="auto"/>
              </w:rPr>
            </w:pPr>
            <w:r>
              <w:rPr>
                <w:rFonts w:ascii="Courier New" w:cs="Courier New" w:eastAsia="Courier New" w:hAnsi="Courier New"/>
                <w:sz w:val="15"/>
                <w:szCs w:val="15"/>
                <w:color w:val="auto"/>
              </w:rPr>
              <w:t>Segment EBITDA..................</w:t>
            </w:r>
          </w:p>
        </w:tc>
        <w:tc>
          <w:tcPr>
            <w:tcW w:w="36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1"/>
              </w:rPr>
              <w:t>2,470.3</w:t>
            </w:r>
          </w:p>
        </w:tc>
        <w:tc>
          <w:tcPr>
            <w:tcW w:w="26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1,913.1</w:t>
            </w:r>
          </w:p>
        </w:tc>
        <w:tc>
          <w:tcPr>
            <w:tcW w:w="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29</w:t>
            </w:r>
          </w:p>
        </w:tc>
        <w:tc>
          <w:tcPr>
            <w:tcW w:w="22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1,201.3</w:t>
            </w:r>
          </w:p>
        </w:tc>
        <w:tc>
          <w:tcPr>
            <w:tcW w:w="30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606.3</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Corporate...........................</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(156.6)</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(119.7)</w:t>
            </w:r>
          </w:p>
        </w:tc>
        <w:tc>
          <w:tcPr>
            <w:tcW w:w="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31</w:t>
            </w:r>
          </w:p>
        </w:tc>
        <w:tc>
          <w:tcPr>
            <w:tcW w:w="22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(127.3)</w:t>
            </w:r>
          </w:p>
        </w:tc>
        <w:tc>
          <w:tcPr>
            <w:tcW w:w="3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(68.2)</w:t>
            </w:r>
          </w:p>
        </w:tc>
      </w:tr>
      <w:tr>
        <w:trPr>
          <w:trHeight w:val="170"/>
        </w:trPr>
        <w:tc>
          <w:tcPr>
            <w:tcW w:w="3340" w:type="dxa"/>
            <w:vAlign w:val="bottom"/>
          </w:tcPr>
          <w:p>
            <w:pPr>
              <w:spacing w:after="0"/>
              <w:rPr>
                <w:sz w:val="14"/>
                <w:szCs w:val="14"/>
                <w:color w:val="auto"/>
              </w:rPr>
            </w:pPr>
          </w:p>
        </w:tc>
        <w:tc>
          <w:tcPr>
            <w:tcW w:w="1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w:t>
            </w:r>
          </w:p>
        </w:tc>
        <w:tc>
          <w:tcPr>
            <w:tcW w:w="8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3340" w:type="dxa"/>
            <w:vAlign w:val="bottom"/>
          </w:tcPr>
          <w:p>
            <w:pPr>
              <w:ind w:left="340"/>
              <w:spacing w:after="0"/>
              <w:rPr>
                <w:sz w:val="20"/>
                <w:szCs w:val="20"/>
                <w:color w:val="auto"/>
              </w:rPr>
            </w:pPr>
            <w:r>
              <w:rPr>
                <w:rFonts w:ascii="Courier New" w:cs="Courier New" w:eastAsia="Courier New" w:hAnsi="Courier New"/>
                <w:sz w:val="15"/>
                <w:szCs w:val="15"/>
                <w:color w:val="auto"/>
              </w:rPr>
              <w:t>Total EBITDA....................</w:t>
            </w: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$2,313.7</w:t>
            </w:r>
          </w:p>
        </w:tc>
        <w:tc>
          <w:tcPr>
            <w:tcW w:w="10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$1,793.4</w:t>
            </w:r>
          </w:p>
        </w:tc>
        <w:tc>
          <w:tcPr>
            <w:tcW w:w="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29</w:t>
            </w:r>
          </w:p>
        </w:tc>
        <w:tc>
          <w:tcPr>
            <w:tcW w:w="12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$1,074.0</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538.1</w:t>
            </w:r>
          </w:p>
        </w:tc>
      </w:tr>
      <w:tr>
        <w:trPr>
          <w:trHeight w:val="170"/>
        </w:trPr>
        <w:tc>
          <w:tcPr>
            <w:tcW w:w="3340" w:type="dxa"/>
            <w:vAlign w:val="bottom"/>
          </w:tcPr>
          <w:p>
            <w:pPr>
              <w:spacing w:after="0"/>
              <w:rPr>
                <w:sz w:val="14"/>
                <w:szCs w:val="14"/>
                <w:color w:val="auto"/>
              </w:rPr>
            </w:pP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2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r>
    </w:tbl>
    <w:p>
      <w:pPr>
        <w:spacing w:after="0" w:line="344" w:lineRule="exact"/>
        <w:rPr>
          <w:sz w:val="20"/>
          <w:szCs w:val="20"/>
          <w:color w:val="auto"/>
        </w:rPr>
      </w:pPr>
    </w:p>
    <w:p>
      <w:pPr>
        <w:ind w:left="10" w:right="3359" w:hanging="10"/>
        <w:spacing w:after="0" w:line="259" w:lineRule="auto"/>
        <w:tabs>
          <w:tab w:leader="none" w:pos="362"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 is defined as net earnings before cumulative effect of change in accounting principle, extraordinary losses, discontinued operations, minority interest, equity in earnings (loss) of affiliated companies (net of tax), income taxes, other items (net), and interest expense.</w:t>
      </w:r>
    </w:p>
    <w:p>
      <w:pPr>
        <w:spacing w:after="0" w:line="157" w:lineRule="exact"/>
        <w:rPr>
          <w:rFonts w:ascii="Courier New" w:cs="Courier New" w:eastAsia="Courier New" w:hAnsi="Courier New"/>
          <w:sz w:val="14"/>
          <w:szCs w:val="14"/>
          <w:color w:val="auto"/>
        </w:rPr>
      </w:pPr>
    </w:p>
    <w:p>
      <w:pPr>
        <w:ind w:left="350" w:hanging="350"/>
        <w:spacing w:after="0"/>
        <w:tabs>
          <w:tab w:leader="none" w:pos="3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is defined as operating income before depreciation and amortization.</w:t>
      </w:r>
    </w:p>
    <w:p>
      <w:pPr>
        <w:spacing w:after="0" w:line="174" w:lineRule="exact"/>
        <w:rPr>
          <w:rFonts w:ascii="Courier New" w:cs="Courier New" w:eastAsia="Courier New" w:hAnsi="Courier New"/>
          <w:sz w:val="15"/>
          <w:szCs w:val="15"/>
          <w:color w:val="auto"/>
        </w:rPr>
      </w:pPr>
    </w:p>
    <w:p>
      <w:pPr>
        <w:ind w:left="10" w:right="3799" w:hanging="10"/>
        <w:spacing w:after="0" w:line="265" w:lineRule="auto"/>
        <w:tabs>
          <w:tab w:leader="none" w:pos="362"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Paramount Communications' and Blockbuster's results of operations are included commencing March 1, 1994 and October 1, 1994, respectively.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29"/>
          </w:cols>
          <w:pgMar w:left="230" w:top="961" w:right="1440" w:bottom="1440" w:gutter="0" w:footer="0" w:header="0"/>
        </w:sectPr>
      </w:pPr>
    </w:p>
    <w:bookmarkStart w:id="45" w:name="page46"/>
    <w:bookmarkEnd w:id="45"/>
    <w:p>
      <w:pPr>
        <w:ind w:left="2020"/>
        <w:spacing w:after="0"/>
        <w:rPr>
          <w:sz w:val="20"/>
          <w:szCs w:val="20"/>
          <w:color w:val="auto"/>
        </w:rPr>
      </w:pPr>
      <w:r>
        <w:rPr>
          <w:rFonts w:ascii="Courier New" w:cs="Courier New" w:eastAsia="Courier New" w:hAnsi="Courier New"/>
          <w:sz w:val="15"/>
          <w:szCs w:val="15"/>
          <w:color w:val="auto"/>
        </w:rPr>
        <w:t>MANAGEMENT DISCUSSION AND ANALYSIS OF</w:t>
      </w:r>
    </w:p>
    <w:p>
      <w:pPr>
        <w:ind w:left="1580"/>
        <w:spacing w:after="0"/>
        <w:rPr>
          <w:sz w:val="20"/>
          <w:szCs w:val="20"/>
          <w:color w:val="auto"/>
        </w:rPr>
      </w:pPr>
      <w:r>
        <w:rPr>
          <w:rFonts w:ascii="Courier New" w:cs="Courier New" w:eastAsia="Courier New" w:hAnsi="Courier New"/>
          <w:sz w:val="15"/>
          <w:szCs w:val="15"/>
          <w:color w:val="auto"/>
        </w:rPr>
        <w:t>RESULTS OF OPERATIONS AND FINANCIAL CONDITION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1995 VERSUS 1994</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jc w:val="both"/>
        <w:ind w:right="3259"/>
        <w:spacing w:after="0" w:line="260" w:lineRule="auto"/>
        <w:rPr>
          <w:sz w:val="20"/>
          <w:szCs w:val="20"/>
          <w:color w:val="auto"/>
        </w:rPr>
      </w:pPr>
      <w:r>
        <w:rPr>
          <w:rFonts w:ascii="Courier New" w:cs="Courier New" w:eastAsia="Courier New" w:hAnsi="Courier New"/>
          <w:sz w:val="14"/>
          <w:szCs w:val="14"/>
          <w:color w:val="auto"/>
        </w:rPr>
        <w:t>Revenues increased to $11.7 billion for 1995 from $7.4 billion for 1994. EBITDA increased to $2.3 billion for 1995 from $1.1 billion for 1994. Operating income increased to $1.5 billion for 1995 from $608.3 million for 1994.</w:t>
      </w:r>
    </w:p>
    <w:p>
      <w:pPr>
        <w:spacing w:after="0" w:line="163"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comparability of results of operations for 1995 and 1994 has been affected by the Mergers and the non-recurring merger-related charges (see Note 2 of Notes to Consolidated Financial Statements). The following discussion of segment results of operations includes the 1994 results of operations presented on a pro forma basis, as if the Mergers occurred on January 1, 1994, and are adjusted to exclude non-recurring merger-related charges.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 increased 15% to $11.7 billion for 1995 from pro forma revenues of</w:t>
      </w:r>
    </w:p>
    <w:p>
      <w:pPr>
        <w:spacing w:after="0" w:line="5" w:lineRule="exact"/>
        <w:rPr>
          <w:sz w:val="20"/>
          <w:szCs w:val="20"/>
          <w:color w:val="auto"/>
        </w:rPr>
      </w:pPr>
    </w:p>
    <w:p>
      <w:pPr>
        <w:jc w:val="both"/>
        <w:ind w:right="3359"/>
        <w:spacing w:after="0" w:line="260" w:lineRule="auto"/>
        <w:rPr>
          <w:sz w:val="20"/>
          <w:szCs w:val="20"/>
          <w:color w:val="auto"/>
        </w:rPr>
      </w:pPr>
      <w:r>
        <w:rPr>
          <w:rFonts w:ascii="Courier New" w:cs="Courier New" w:eastAsia="Courier New" w:hAnsi="Courier New"/>
          <w:sz w:val="14"/>
          <w:szCs w:val="14"/>
          <w:color w:val="auto"/>
        </w:rPr>
        <w:t>$10.1 billion for 1994. EBITDA increased 29% to $2.3 billion for 1995 from pro forma EBITDA of $1.8 billion for 1994. Operating income increased 44% to $1.5 billion for 1995 from pro forma operating income of $1.0 billion for 1994.</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RESULTS OF OPERATIONS - 1995 VERSUS PRO FORMA 1994</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NETWORKS AND BROADCASTING (Basic Cable and Premium Subscription Television Program Services, Television and Radio Stations)</w:t>
      </w:r>
    </w:p>
    <w:p>
      <w:pPr>
        <w:spacing w:after="0" w:line="176" w:lineRule="exact"/>
        <w:rPr>
          <w:sz w:val="20"/>
          <w:szCs w:val="20"/>
          <w:color w:val="auto"/>
        </w:rPr>
      </w:pPr>
    </w:p>
    <w:p>
      <w:pPr>
        <w:ind w:right="3179"/>
        <w:spacing w:after="0" w:line="239" w:lineRule="auto"/>
        <w:rPr>
          <w:sz w:val="20"/>
          <w:szCs w:val="20"/>
          <w:color w:val="auto"/>
        </w:rPr>
      </w:pPr>
      <w:r>
        <w:rPr>
          <w:rFonts w:ascii="Courier New" w:cs="Courier New" w:eastAsia="Courier New" w:hAnsi="Courier New"/>
          <w:sz w:val="15"/>
          <w:szCs w:val="15"/>
          <w:color w:val="auto"/>
        </w:rPr>
        <w:t>The Networks and Broadcasting segment is comprised of MTV Networks ("MTVN"), Showtime Networks Inc. ("SNI"), television stations and radio stations. Revenues increased 13% to $2.1 billion for 1995 from $1.9 billion for 1994. EBITDA increased 24% to $678.3 million for 1995 from $549.0 million for 1994. Operating income increased 26% to $561.3 million for 1995 from $447.0 million for 1994. MTVN revenues of $1.0 billion, EBITDA of $410.9 million and operating income of $355.8 million increased 20%, 26% and 25%, respectively. The increase in MTVN's revenues was principally attributable to higher advertising revenues due to rate increases and to a lesser extent increased affiliate revenues. MTVN's EBITDA and operating income gains were driven by the increased revenues partially offset by higher operating costs, primarily representing increased programming costs. SNI's revenues, EBITDA and operating income increased 6%, 44% and 51%, respectively, reflecting an increase of 1.3 million subscribers from December 31, 1994, partially offset by the absence in 1995 of royalty revenues resulting from the settlement of a contractual claim with a third party during 1994 and increased programming costs. The television and radio stations revenues increased 10%, EBITDA increased 12% and operating income increased 16% primarily reflecting increased advertising revenues and the Company's acquisition of television stations in large markets, offset by the disposition of television stations in smaller markets.</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19"/>
          </w:cols>
          <w:pgMar w:left="240" w:top="622" w:right="1440" w:bottom="1440" w:gutter="0" w:footer="0" w:header="0"/>
        </w:sectPr>
      </w:pPr>
    </w:p>
    <w:bookmarkStart w:id="46" w:name="page47"/>
    <w:bookmarkEnd w:id="46"/>
    <w:p>
      <w:pPr>
        <w:ind w:left="2020"/>
        <w:spacing w:after="0"/>
        <w:rPr>
          <w:sz w:val="20"/>
          <w:szCs w:val="20"/>
          <w:color w:val="auto"/>
        </w:rPr>
      </w:pPr>
      <w:r>
        <w:rPr>
          <w:rFonts w:ascii="Courier New" w:cs="Courier New" w:eastAsia="Courier New" w:hAnsi="Courier New"/>
          <w:sz w:val="15"/>
          <w:szCs w:val="15"/>
          <w:color w:val="auto"/>
        </w:rPr>
        <w:t>MANAGEMENT DISCUSSION AND ANALYSIS OF</w:t>
      </w:r>
    </w:p>
    <w:p>
      <w:pPr>
        <w:ind w:left="1580"/>
        <w:spacing w:after="0"/>
        <w:rPr>
          <w:sz w:val="20"/>
          <w:szCs w:val="20"/>
          <w:color w:val="auto"/>
        </w:rPr>
      </w:pPr>
      <w:r>
        <w:rPr>
          <w:rFonts w:ascii="Courier New" w:cs="Courier New" w:eastAsia="Courier New" w:hAnsi="Courier New"/>
          <w:sz w:val="15"/>
          <w:szCs w:val="15"/>
          <w:color w:val="auto"/>
        </w:rPr>
        <w:t>RESULTS OF OPERATIONS AND FINANCIAL CONDITION</w:t>
      </w:r>
    </w:p>
    <w:p>
      <w:pPr>
        <w:spacing w:after="0" w:line="344"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ENTERTAINMENT (Motion Pictures and Television Programming, Movie Theaters, and New Media and Interactive Services)</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Entertainment segment is principally comprised of Paramount Pictures, Paramount Television, Spelling Entertainment Group Inc. ("Spelling"), and the former Viacom Entertainment. Revenues increased 24% to $3.7 billion for 1995 from $2.9 billion for 1994. EBITDA increased 68% to $445.9 million for 1995 from $265.5 million for 1994. Operating income increased 137% to $307.3 million for 1995 from $129.9 million for 1994. The increase in results of operations is attributable to a number of factors, notably during 1995 the strong home video performance of Paramount Pictures' Forrest Gump, Clear and Present Danger, Congo and Star Trek: Generations and the sale of certain syndication rights to Carsey Werner, as compared to the 1994 domestic and foreign theatrical success of Forrest Gump and Clear and Present Danger. The Company also recognized approximately $250.0 million of revenues and $68.0 million of EBITDA and operating income during 1995 resulting from the conforming of accounting policies pertaining to the television programming libraries of Viacom Entertainment, Spelling and Paramount.</w:t>
      </w:r>
    </w:p>
    <w:p>
      <w:pPr>
        <w:spacing w:after="0" w:line="18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License fees for the television exhibition of motion pictures and for syndication and basic cable exhibition of television programming are recorded as revenue in the year that the products are available for such exhibition, which, among other reasons, may cause substantial fluctuation in operating results. As of December 31, 1995, the unrecognized revenues attributable to such licensing agreements were approximately $1.1 billion.</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 is currently exploring the sale of Spelling Entertainment Group Inc. ("Spelling") and the related purchase of Spelling's interest in Virgin Interactive Entertainment Limited ("Virgin"). An independent committee of Spelling's Board of Directors has been formed to negotiate the terms of the Virgin transaction. The Company acquired its approximately 75% interest in the common equity of Spelling as a part of the Blockbuster Merger.</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VIDEO AND MUSIC/THEME PARKS (Home Video and Music Retailing/Theme Parks)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Video and Music/Theme Parks segment is comprised of Blockbuster Video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Music, and Paramount Parks. Revenues increased 15% to $3.3 billion for 1995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$2.9 billion for 1994. EBITDA increased 20% to $823.0 million for 1995 from</w:t>
      </w:r>
    </w:p>
    <w:p>
      <w:pPr>
        <w:spacing w:after="0"/>
        <w:rPr>
          <w:sz w:val="20"/>
          <w:szCs w:val="20"/>
          <w:color w:val="auto"/>
        </w:rPr>
      </w:pPr>
      <w:r>
        <w:rPr>
          <w:rFonts w:ascii="Courier New" w:cs="Courier New" w:eastAsia="Courier New" w:hAnsi="Courier New"/>
          <w:sz w:val="15"/>
          <w:szCs w:val="15"/>
          <w:color w:val="auto"/>
        </w:rPr>
        <w:t>$688.5 million for 1994. Operating income increased 29% to $501.5 million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1995 from $388.3 million for 1994. The gains in results of operations primarily</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reflect the increased number of domestic Company-owned video stores in operation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1995 as compared to 1994 and an increase of greater than 3% in same-store</w:t>
      </w:r>
    </w:p>
    <w:p>
      <w:pPr>
        <w:spacing w:after="0"/>
        <w:rPr>
          <w:sz w:val="20"/>
          <w:szCs w:val="20"/>
          <w:color w:val="auto"/>
        </w:rPr>
      </w:pPr>
      <w:r>
        <w:rPr>
          <w:rFonts w:ascii="Courier New" w:cs="Courier New" w:eastAsia="Courier New" w:hAnsi="Courier New"/>
          <w:sz w:val="15"/>
          <w:szCs w:val="15"/>
          <w:color w:val="auto"/>
        </w:rPr>
        <w:t>sales, partially offset by increased overall operating and overhead expenses.</w:t>
      </w:r>
    </w:p>
    <w:p>
      <w:pPr>
        <w:spacing w:after="0"/>
        <w:rPr>
          <w:sz w:val="20"/>
          <w:szCs w:val="20"/>
          <w:color w:val="auto"/>
        </w:rPr>
      </w:pPr>
      <w:r>
        <w:rPr>
          <w:rFonts w:ascii="Courier New" w:cs="Courier New" w:eastAsia="Courier New" w:hAnsi="Courier New"/>
          <w:sz w:val="15"/>
          <w:szCs w:val="15"/>
          <w:color w:val="auto"/>
        </w:rPr>
        <w:t>Music stores revenues increased $26.4 million, EBITDA and operating income</w:t>
      </w:r>
    </w:p>
    <w:p>
      <w:pPr>
        <w:spacing w:after="0" w:line="238" w:lineRule="auto"/>
        <w:rPr>
          <w:sz w:val="20"/>
          <w:szCs w:val="20"/>
          <w:color w:val="auto"/>
        </w:rPr>
      </w:pPr>
      <w:r>
        <w:rPr>
          <w:rFonts w:ascii="Courier New" w:cs="Courier New" w:eastAsia="Courier New" w:hAnsi="Courier New"/>
          <w:sz w:val="15"/>
          <w:szCs w:val="15"/>
          <w:color w:val="auto"/>
        </w:rPr>
        <w:t>decreased $13.4 million and $20.2 million, respectively, reflecting the highly</w:t>
      </w:r>
    </w:p>
    <w:p>
      <w:pPr>
        <w:spacing w:after="0"/>
        <w:rPr>
          <w:sz w:val="20"/>
          <w:szCs w:val="20"/>
          <w:color w:val="auto"/>
        </w:rPr>
      </w:pPr>
      <w:r>
        <w:rPr>
          <w:rFonts w:ascii="Courier New" w:cs="Courier New" w:eastAsia="Courier New" w:hAnsi="Courier New"/>
          <w:sz w:val="15"/>
          <w:szCs w:val="15"/>
          <w:color w:val="auto"/>
        </w:rPr>
        <w:t>competitive music retail environment. Theme Parks revenues increased $10.3</w:t>
      </w:r>
    </w:p>
    <w:p>
      <w:pPr>
        <w:spacing w:after="0"/>
        <w:rPr>
          <w:sz w:val="20"/>
          <w:szCs w:val="20"/>
          <w:color w:val="auto"/>
        </w:rPr>
      </w:pPr>
      <w:r>
        <w:rPr>
          <w:rFonts w:ascii="Courier New" w:cs="Courier New" w:eastAsia="Courier New" w:hAnsi="Courier New"/>
          <w:sz w:val="15"/>
          <w:szCs w:val="15"/>
          <w:color w:val="auto"/>
        </w:rPr>
        <w:t>million, EBITDA increased $7.3 million and operating income increased $6.9</w:t>
      </w:r>
    </w:p>
    <w:p>
      <w:pPr>
        <w:spacing w:after="0" w:line="238" w:lineRule="auto"/>
        <w:rPr>
          <w:sz w:val="20"/>
          <w:szCs w:val="20"/>
          <w:color w:val="auto"/>
        </w:rPr>
      </w:pPr>
      <w:r>
        <w:rPr>
          <w:rFonts w:ascii="Courier New" w:cs="Courier New" w:eastAsia="Courier New" w:hAnsi="Courier New"/>
          <w:sz w:val="15"/>
          <w:szCs w:val="15"/>
          <w:color w:val="auto"/>
        </w:rPr>
        <w:t>million primarily reflecting increased attendance, and the acquisition of a</w:t>
      </w:r>
    </w:p>
    <w:p>
      <w:pPr>
        <w:spacing w:after="0"/>
        <w:rPr>
          <w:sz w:val="20"/>
          <w:szCs w:val="20"/>
          <w:color w:val="auto"/>
        </w:rPr>
      </w:pPr>
      <w:r>
        <w:rPr>
          <w:rFonts w:ascii="Courier New" w:cs="Courier New" w:eastAsia="Courier New" w:hAnsi="Courier New"/>
          <w:sz w:val="15"/>
          <w:szCs w:val="15"/>
          <w:color w:val="auto"/>
        </w:rPr>
        <w:t>water park partially offset by increased operating expenses and in the case of</w:t>
      </w:r>
    </w:p>
    <w:p>
      <w:pPr>
        <w:spacing w:after="0"/>
        <w:rPr>
          <w:sz w:val="20"/>
          <w:szCs w:val="20"/>
          <w:color w:val="auto"/>
        </w:rPr>
      </w:pPr>
      <w:r>
        <w:rPr>
          <w:rFonts w:ascii="Courier New" w:cs="Courier New" w:eastAsia="Courier New" w:hAnsi="Courier New"/>
          <w:sz w:val="15"/>
          <w:szCs w:val="15"/>
          <w:color w:val="auto"/>
        </w:rPr>
        <w:t>operating income, higher depreciation expenses.</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19"/>
          </w:cols>
          <w:pgMar w:left="240" w:top="452" w:right="1440" w:bottom="1440" w:gutter="0" w:footer="0" w:header="0"/>
        </w:sectPr>
      </w:pPr>
    </w:p>
    <w:bookmarkStart w:id="47" w:name="page48"/>
    <w:bookmarkEnd w:id="47"/>
    <w:p>
      <w:pPr>
        <w:ind w:left="2020"/>
        <w:spacing w:after="0"/>
        <w:rPr>
          <w:sz w:val="20"/>
          <w:szCs w:val="20"/>
          <w:color w:val="auto"/>
        </w:rPr>
      </w:pPr>
      <w:r>
        <w:rPr>
          <w:rFonts w:ascii="Courier New" w:cs="Courier New" w:eastAsia="Courier New" w:hAnsi="Courier New"/>
          <w:sz w:val="15"/>
          <w:szCs w:val="15"/>
          <w:color w:val="auto"/>
        </w:rPr>
        <w:t>MANAGEMENT DISCUSSION AND ANALYSIS OF</w:t>
      </w:r>
    </w:p>
    <w:p>
      <w:pPr>
        <w:ind w:left="1580"/>
        <w:spacing w:after="0"/>
        <w:rPr>
          <w:sz w:val="20"/>
          <w:szCs w:val="20"/>
          <w:color w:val="auto"/>
        </w:rPr>
      </w:pPr>
      <w:r>
        <w:rPr>
          <w:rFonts w:ascii="Courier New" w:cs="Courier New" w:eastAsia="Courier New" w:hAnsi="Courier New"/>
          <w:sz w:val="15"/>
          <w:szCs w:val="15"/>
          <w:color w:val="auto"/>
        </w:rPr>
        <w:t>RESULTS OF OPERATIONS AND FINANCIAL CONDITION</w:t>
      </w:r>
    </w:p>
    <w:p>
      <w:pPr>
        <w:spacing w:after="0" w:line="344"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PUBLISHING (Education; Consumer; Business and Professional; Reference; and International Groups)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Publishing is comprised of Simon &amp; Schuster which includes imprints such as</w:t>
      </w:r>
    </w:p>
    <w:p>
      <w:pPr>
        <w:spacing w:after="0"/>
        <w:rPr>
          <w:sz w:val="20"/>
          <w:szCs w:val="20"/>
          <w:color w:val="auto"/>
        </w:rPr>
      </w:pPr>
      <w:r>
        <w:rPr>
          <w:rFonts w:ascii="Courier New" w:cs="Courier New" w:eastAsia="Courier New" w:hAnsi="Courier New"/>
          <w:sz w:val="15"/>
          <w:szCs w:val="15"/>
          <w:color w:val="auto"/>
        </w:rPr>
        <w:t>Simon &amp; Schuster, Pocket Books, Prentice Hall and Macmillian Computer</w:t>
      </w:r>
    </w:p>
    <w:p>
      <w:pPr>
        <w:spacing w:after="0"/>
        <w:rPr>
          <w:sz w:val="20"/>
          <w:szCs w:val="20"/>
          <w:color w:val="auto"/>
        </w:rPr>
      </w:pPr>
      <w:r>
        <w:rPr>
          <w:rFonts w:ascii="Courier New" w:cs="Courier New" w:eastAsia="Courier New" w:hAnsi="Courier New"/>
          <w:sz w:val="15"/>
          <w:szCs w:val="15"/>
          <w:color w:val="auto"/>
        </w:rPr>
        <w:t>Publishing. Revenues increased 7% to $2.2 billion for 1995 from $2.0 billion</w:t>
      </w:r>
    </w:p>
    <w:p>
      <w:pPr>
        <w:spacing w:after="0" w:line="238" w:lineRule="auto"/>
        <w:rPr>
          <w:sz w:val="20"/>
          <w:szCs w:val="20"/>
          <w:color w:val="auto"/>
        </w:rPr>
      </w:pPr>
      <w:r>
        <w:rPr>
          <w:rFonts w:ascii="Courier New" w:cs="Courier New" w:eastAsia="Courier New" w:hAnsi="Courier New"/>
          <w:sz w:val="15"/>
          <w:szCs w:val="15"/>
          <w:color w:val="auto"/>
        </w:rPr>
        <w:t>for 1994. EBITDA increased 33% to $340.2 million for 1995 from $254.9 million</w:t>
      </w:r>
    </w:p>
    <w:p>
      <w:pPr>
        <w:spacing w:after="0"/>
        <w:rPr>
          <w:sz w:val="20"/>
          <w:szCs w:val="20"/>
          <w:color w:val="auto"/>
        </w:rPr>
      </w:pPr>
      <w:r>
        <w:rPr>
          <w:rFonts w:ascii="Courier New" w:cs="Courier New" w:eastAsia="Courier New" w:hAnsi="Courier New"/>
          <w:sz w:val="15"/>
          <w:szCs w:val="15"/>
          <w:color w:val="auto"/>
        </w:rPr>
        <w:t>for 1994. Operating income increased 54% to $186.3 million for 1995 from</w:t>
      </w:r>
    </w:p>
    <w:p>
      <w:pPr>
        <w:spacing w:after="0"/>
        <w:rPr>
          <w:sz w:val="20"/>
          <w:szCs w:val="20"/>
          <w:color w:val="auto"/>
        </w:rPr>
      </w:pPr>
      <w:r>
        <w:rPr>
          <w:rFonts w:ascii="Courier New" w:cs="Courier New" w:eastAsia="Courier New" w:hAnsi="Courier New"/>
          <w:sz w:val="15"/>
          <w:szCs w:val="15"/>
          <w:color w:val="auto"/>
        </w:rPr>
        <w:t>$121.3 million for 1994. Results of operations primarily reflect increased</w:t>
      </w:r>
    </w:p>
    <w:p>
      <w:pPr>
        <w:spacing w:after="0" w:line="238" w:lineRule="auto"/>
        <w:rPr>
          <w:sz w:val="20"/>
          <w:szCs w:val="20"/>
          <w:color w:val="auto"/>
        </w:rPr>
      </w:pPr>
      <w:r>
        <w:rPr>
          <w:rFonts w:ascii="Courier New" w:cs="Courier New" w:eastAsia="Courier New" w:hAnsi="Courier New"/>
          <w:sz w:val="15"/>
          <w:szCs w:val="15"/>
          <w:color w:val="auto"/>
        </w:rPr>
        <w:t>Education Group sales resulting from strong Higher Education frontlist sales</w:t>
      </w:r>
    </w:p>
    <w:p>
      <w:pPr>
        <w:spacing w:after="0"/>
        <w:rPr>
          <w:sz w:val="20"/>
          <w:szCs w:val="20"/>
          <w:color w:val="auto"/>
        </w:rPr>
      </w:pPr>
      <w:r>
        <w:rPr>
          <w:rFonts w:ascii="Courier New" w:cs="Courier New" w:eastAsia="Courier New" w:hAnsi="Courier New"/>
          <w:sz w:val="15"/>
          <w:szCs w:val="15"/>
          <w:color w:val="auto"/>
        </w:rPr>
        <w:t>and increased Elementary and Secondary Group state adoptions and contributions</w:t>
      </w:r>
    </w:p>
    <w:p>
      <w:pPr>
        <w:spacing w:after="0"/>
        <w:rPr>
          <w:sz w:val="20"/>
          <w:szCs w:val="20"/>
          <w:color w:val="auto"/>
        </w:rPr>
      </w:pPr>
      <w:r>
        <w:rPr>
          <w:rFonts w:ascii="Courier New" w:cs="Courier New" w:eastAsia="Courier New" w:hAnsi="Courier New"/>
          <w:sz w:val="15"/>
          <w:szCs w:val="15"/>
          <w:color w:val="auto"/>
        </w:rPr>
        <w:t>from Consumer Group frontlist titles at Pocket Books. EBITDA and operating</w:t>
      </w:r>
    </w:p>
    <w:p>
      <w:pPr>
        <w:spacing w:after="0"/>
        <w:rPr>
          <w:sz w:val="20"/>
          <w:szCs w:val="20"/>
          <w:color w:val="auto"/>
        </w:rPr>
      </w:pPr>
      <w:r>
        <w:rPr>
          <w:rFonts w:ascii="Courier New" w:cs="Courier New" w:eastAsia="Courier New" w:hAnsi="Courier New"/>
          <w:sz w:val="15"/>
          <w:szCs w:val="15"/>
          <w:color w:val="auto"/>
        </w:rPr>
        <w:t>income for 1994 reflect an aggregate charge of $32.8 million attributable to</w:t>
      </w:r>
    </w:p>
    <w:p>
      <w:pPr>
        <w:spacing w:after="0" w:line="238" w:lineRule="auto"/>
        <w:rPr>
          <w:sz w:val="20"/>
          <w:szCs w:val="20"/>
          <w:color w:val="auto"/>
        </w:rPr>
      </w:pPr>
      <w:r>
        <w:rPr>
          <w:rFonts w:ascii="Courier New" w:cs="Courier New" w:eastAsia="Courier New" w:hAnsi="Courier New"/>
          <w:sz w:val="15"/>
          <w:szCs w:val="15"/>
          <w:color w:val="auto"/>
        </w:rPr>
        <w:t>certain non-recurring transition costs and the pro forma results of operations</w:t>
      </w:r>
    </w:p>
    <w:p>
      <w:pPr>
        <w:spacing w:after="0"/>
        <w:rPr>
          <w:sz w:val="20"/>
          <w:szCs w:val="20"/>
          <w:color w:val="auto"/>
        </w:rPr>
      </w:pPr>
      <w:r>
        <w:rPr>
          <w:rFonts w:ascii="Courier New" w:cs="Courier New" w:eastAsia="Courier New" w:hAnsi="Courier New"/>
          <w:sz w:val="15"/>
          <w:szCs w:val="15"/>
          <w:color w:val="auto"/>
        </w:rPr>
        <w:t>of Macmillan for the two months prior to acquisition.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CABLE TELEVISION (Cable Television Distribution Systems)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Cable Television revenues increased 9% to $444.4 million for 1995 from $406.2</w:t>
      </w:r>
    </w:p>
    <w:p>
      <w:pPr>
        <w:spacing w:after="0"/>
        <w:rPr>
          <w:sz w:val="20"/>
          <w:szCs w:val="20"/>
          <w:color w:val="auto"/>
        </w:rPr>
      </w:pPr>
      <w:r>
        <w:rPr>
          <w:rFonts w:ascii="Courier New" w:cs="Courier New" w:eastAsia="Courier New" w:hAnsi="Courier New"/>
          <w:sz w:val="15"/>
          <w:szCs w:val="15"/>
          <w:color w:val="auto"/>
        </w:rPr>
        <w:t>million for 1994, primarily attributable to increased primary, premium and</w:t>
      </w:r>
    </w:p>
    <w:p>
      <w:pPr>
        <w:spacing w:after="0"/>
        <w:rPr>
          <w:sz w:val="20"/>
          <w:szCs w:val="20"/>
          <w:color w:val="auto"/>
        </w:rPr>
      </w:pPr>
      <w:r>
        <w:rPr>
          <w:rFonts w:ascii="Courier New" w:cs="Courier New" w:eastAsia="Courier New" w:hAnsi="Courier New"/>
          <w:sz w:val="15"/>
          <w:szCs w:val="15"/>
          <w:color w:val="auto"/>
        </w:rPr>
        <w:t>pay-per-view revenues. EBITDA increased 18% to $182.9 million for 1995 from</w:t>
      </w:r>
    </w:p>
    <w:p>
      <w:pPr>
        <w:spacing w:after="0" w:line="238" w:lineRule="auto"/>
        <w:rPr>
          <w:sz w:val="20"/>
          <w:szCs w:val="20"/>
          <w:color w:val="auto"/>
        </w:rPr>
      </w:pPr>
      <w:r>
        <w:rPr>
          <w:rFonts w:ascii="Courier New" w:cs="Courier New" w:eastAsia="Courier New" w:hAnsi="Courier New"/>
          <w:sz w:val="15"/>
          <w:szCs w:val="15"/>
          <w:color w:val="auto"/>
        </w:rPr>
        <w:t>$155.2 million for 1994. Operating income increased 28% to $101.1 million for</w:t>
      </w:r>
    </w:p>
    <w:p>
      <w:pPr>
        <w:spacing w:after="0"/>
        <w:rPr>
          <w:sz w:val="20"/>
          <w:szCs w:val="20"/>
          <w:color w:val="auto"/>
        </w:rPr>
      </w:pPr>
      <w:r>
        <w:rPr>
          <w:rFonts w:ascii="Courier New" w:cs="Courier New" w:eastAsia="Courier New" w:hAnsi="Courier New"/>
          <w:sz w:val="15"/>
          <w:szCs w:val="15"/>
          <w:color w:val="auto"/>
        </w:rPr>
        <w:t>1995 from $78.8 million for 1994. The increased results of operations reflect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 and 4% increases in average premium and primary customers, a 5% increase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primary rates, partially offset by a 7% decrease for the average premium rate.</w:t>
      </w:r>
    </w:p>
    <w:p>
      <w:pPr>
        <w:spacing w:after="0"/>
        <w:rPr>
          <w:sz w:val="20"/>
          <w:szCs w:val="20"/>
          <w:color w:val="auto"/>
        </w:rPr>
      </w:pPr>
      <w:r>
        <w:rPr>
          <w:rFonts w:ascii="Courier New" w:cs="Courier New" w:eastAsia="Courier New" w:hAnsi="Courier New"/>
          <w:sz w:val="15"/>
          <w:szCs w:val="15"/>
          <w:color w:val="auto"/>
        </w:rPr>
        <w:t>Total revenues per primary customer per month increased 5% to $31.90 for 1995</w:t>
      </w:r>
    </w:p>
    <w:p>
      <w:pPr>
        <w:spacing w:after="0"/>
        <w:rPr>
          <w:sz w:val="20"/>
          <w:szCs w:val="20"/>
          <w:color w:val="auto"/>
        </w:rPr>
      </w:pPr>
      <w:r>
        <w:rPr>
          <w:rFonts w:ascii="Courier New" w:cs="Courier New" w:eastAsia="Courier New" w:hAnsi="Courier New"/>
          <w:sz w:val="15"/>
          <w:szCs w:val="15"/>
          <w:color w:val="auto"/>
        </w:rPr>
        <w:t>from $30.30 for 1994.</w:t>
      </w:r>
    </w:p>
    <w:p>
      <w:pPr>
        <w:spacing w:after="0" w:line="174" w:lineRule="exact"/>
        <w:rPr>
          <w:sz w:val="20"/>
          <w:szCs w:val="20"/>
          <w:color w:val="auto"/>
        </w:rPr>
      </w:pPr>
    </w:p>
    <w:p>
      <w:pPr>
        <w:ind w:right="3439"/>
        <w:spacing w:after="0" w:line="260" w:lineRule="auto"/>
        <w:rPr>
          <w:sz w:val="20"/>
          <w:szCs w:val="20"/>
          <w:color w:val="auto"/>
        </w:rPr>
      </w:pPr>
      <w:r>
        <w:rPr>
          <w:rFonts w:ascii="Courier New" w:cs="Courier New" w:eastAsia="Courier New" w:hAnsi="Courier New"/>
          <w:sz w:val="14"/>
          <w:szCs w:val="14"/>
          <w:color w:val="auto"/>
        </w:rPr>
        <w:t>As of December 31, 1995, Viacom Cable served approximately 1,180,000 primary customers subscribing to approximately 921,000 premium units, representing an increase of 4% and 5%, respectively, since December 31, 1994.</w:t>
      </w:r>
    </w:p>
    <w:p>
      <w:pPr>
        <w:spacing w:after="0" w:line="163"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On July 24, 1995, Viacom announced a multi-step transaction which, if completed, would result in the split-off of its cable operations (see Note 3 of Notes to Consolidated Financial Statements).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 AND EXPENSE INFORMATION</w:t>
      </w:r>
    </w:p>
    <w:p>
      <w:pPr>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expenses</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Corporate expenses, including depreciation, increased 24% to $164.2 million for 1995 from $132.6 million for 1994. The increase in Corporate expenses reflects the recognition of higher systems, facility and incentive compensation obligations that occurred in 1995.</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w:t>
      </w:r>
    </w:p>
    <w:p>
      <w:pPr>
        <w:spacing w:after="0"/>
        <w:rPr>
          <w:sz w:val="20"/>
          <w:szCs w:val="20"/>
          <w:color w:val="auto"/>
        </w:rPr>
      </w:pPr>
      <w:r>
        <w:rPr>
          <w:rFonts w:ascii="Courier New" w:cs="Courier New" w:eastAsia="Courier New" w:hAnsi="Courier New"/>
          <w:sz w:val="15"/>
          <w:szCs w:val="15"/>
          <w:color w:val="auto"/>
        </w:rPr>
        <w:t>Net interest expense of $821.4 million for 1995 compared to</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$494.1 million for 1994 reflects the effects of the full year impact of the issuance of 8% exchangeable subordinated debentures and debt incurred and acquired as part of the Mergers and the issuance of notes during 1995, offset by decreased bank borrowings. The notes issued during 1995, pursuant to the shelf registration statement described in Liquidity and Capital Resources, were $350 million of 6.75% Senior Notes, $200 million of 7.625% of Senior Debentures and $1 billion of 7.75% Senior Notes. The Company had approximately $10.8 billion and $10.4 billion principal amount of debt outstanding as of</w:t>
      </w:r>
    </w:p>
    <w:p>
      <w:pPr>
        <w:spacing w:after="0" w:line="34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19"/>
          </w:cols>
          <w:pgMar w:left="240" w:top="452" w:right="1440" w:bottom="1440" w:gutter="0" w:footer="0" w:header="0"/>
        </w:sectPr>
      </w:pPr>
    </w:p>
    <w:bookmarkStart w:id="48" w:name="page49"/>
    <w:bookmarkEnd w:id="48"/>
    <w:p>
      <w:pPr>
        <w:ind w:left="2020"/>
        <w:spacing w:after="0"/>
        <w:rPr>
          <w:sz w:val="20"/>
          <w:szCs w:val="20"/>
          <w:color w:val="auto"/>
        </w:rPr>
      </w:pPr>
      <w:r>
        <w:rPr>
          <w:rFonts w:ascii="Courier New" w:cs="Courier New" w:eastAsia="Courier New" w:hAnsi="Courier New"/>
          <w:sz w:val="15"/>
          <w:szCs w:val="15"/>
          <w:color w:val="auto"/>
        </w:rPr>
        <w:t>MANAGEMENT DISCUSSION AND ANALYSIS OF</w:t>
      </w:r>
    </w:p>
    <w:p>
      <w:pPr>
        <w:ind w:left="1580"/>
        <w:spacing w:after="0"/>
        <w:rPr>
          <w:sz w:val="20"/>
          <w:szCs w:val="20"/>
          <w:color w:val="auto"/>
        </w:rPr>
      </w:pPr>
      <w:r>
        <w:rPr>
          <w:rFonts w:ascii="Courier New" w:cs="Courier New" w:eastAsia="Courier New" w:hAnsi="Courier New"/>
          <w:sz w:val="15"/>
          <w:szCs w:val="15"/>
          <w:color w:val="auto"/>
        </w:rPr>
        <w:t>RESULTS OF OPERATIONS AND FINANCIAL CONDITION</w:t>
      </w:r>
    </w:p>
    <w:p>
      <w:pPr>
        <w:spacing w:after="0" w:line="17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December 31, 1995 and December 31, 1994, respectively, at a weighted average interest rate of 7.4% and 7.5%. (See Note 7 of Notes to Consolidated Financial Statements.)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Items, Net</w:t>
      </w:r>
    </w:p>
    <w:p>
      <w:pPr>
        <w:spacing w:after="0" w:line="5" w:lineRule="exact"/>
        <w:rPr>
          <w:sz w:val="20"/>
          <w:szCs w:val="20"/>
          <w:color w:val="auto"/>
        </w:rPr>
      </w:pPr>
    </w:p>
    <w:p>
      <w:pPr>
        <w:ind w:right="4139"/>
        <w:spacing w:after="0" w:line="235" w:lineRule="auto"/>
        <w:rPr>
          <w:sz w:val="20"/>
          <w:szCs w:val="20"/>
          <w:color w:val="auto"/>
        </w:rPr>
      </w:pPr>
      <w:r>
        <w:rPr>
          <w:rFonts w:ascii="Courier New" w:cs="Courier New" w:eastAsia="Courier New" w:hAnsi="Courier New"/>
          <w:sz w:val="15"/>
          <w:szCs w:val="15"/>
          <w:color w:val="auto"/>
        </w:rPr>
        <w:t>For 1995, "Other items, net" primarily reflects a gain on the sale of marketable securities.</w:t>
      </w:r>
    </w:p>
    <w:p>
      <w:pPr>
        <w:spacing w:after="0" w:line="176"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For 1994, "Other items, net" primarily reflects the pre-tax gain of $267.4 million, which resulted from the sale of the Company's one-third partnership interest in Lifetime for $317.6 million in April 1994. Proceeds from the sale were used to reduce outstanding debt.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 for Income Taxes</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provision for income taxes represents federal, state and foreign income taxes on earnings before income taxes. The annual effective tax rates of 61% for 1995 and 74% for 1994 were both adversely affected by amortization of intangibles resulting from the Mergers which are not deductible for tax purposes.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Equity in Earnings (Loss) of Affiliates</w:t>
      </w:r>
    </w:p>
    <w:p>
      <w:pPr>
        <w:spacing w:after="0" w:line="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"Equity in loss of affiliated companies, net of tax" was $53.9 million for 1995 as compared to earnings of $18.6 million for 1994, primarily reflecting, in 1995, an equity loss, net of tax, of $49.4 million related to the Company's approximately 49% interest in Discovery Zone and net losses of equity investments in international start-up ventures, partially offset by improved operating results of USA Networks.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Minority Interest</w:t>
      </w:r>
    </w:p>
    <w:p>
      <w:pPr>
        <w:spacing w:after="0" w:line="5"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4"/>
          <w:szCs w:val="14"/>
          <w:color w:val="auto"/>
        </w:rPr>
        <w:t>Minority interest primarily represents the minority ownership of Spelling's common stock for 1995 and fourth quarter 1994 and minority ownership of Paramount Communications' common stock, for the period March through June 1994.</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Discontinued Operations</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Discontinued operations reflect the results of operations of Madison Square Garden Corporation ("MSG"), which was sold March 10, 1995. The Company acquired MSG during March 1994 as a part of the Paramount Merger. (See Note 4 of Notes to Consolidated Financial Statements.)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Extraordinary Losses</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During 1994, the Company refinanced its existing credit facilities and therefore recognized an after-tax extraordinary loss from the extinguishment of debt of $20.4 million, net of tax benefit of $11.9 million.</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1994 VERSUS 1993</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Revenues increased 267% to $7.4 billion for 1994 from $2.0 billion for 1993. EBITDA increased 100% to $1.1 billion for 1994 from $538.1 million for 1993. Operating income increased 58% to $608.3 million for 1994 from $385.0 million for 1993. The foregoing increases in results of</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II-8</w:t>
      </w:r>
    </w:p>
    <w:p>
      <w:pPr>
        <w:sectPr>
          <w:pgSz w:w="11900" w:h="16838" w:orient="portrait"/>
          <w:cols w:equalWidth="0" w:num="1">
            <w:col w:w="10219"/>
          </w:cols>
          <w:pgMar w:left="240" w:top="622" w:right="1440" w:bottom="1440" w:gutter="0" w:footer="0" w:header="0"/>
        </w:sectPr>
      </w:pPr>
    </w:p>
    <w:bookmarkStart w:id="49" w:name="page50"/>
    <w:bookmarkEnd w:id="49"/>
    <w:p>
      <w:pPr>
        <w:ind w:left="2030"/>
        <w:spacing w:after="0"/>
        <w:rPr>
          <w:sz w:val="20"/>
          <w:szCs w:val="20"/>
          <w:color w:val="auto"/>
        </w:rPr>
      </w:pPr>
      <w:r>
        <w:rPr>
          <w:rFonts w:ascii="Courier New" w:cs="Courier New" w:eastAsia="Courier New" w:hAnsi="Courier New"/>
          <w:sz w:val="15"/>
          <w:szCs w:val="15"/>
          <w:color w:val="auto"/>
        </w:rPr>
        <w:t>MANAGEMENT DISCUSSION AND ANALYSIS OF</w:t>
      </w:r>
    </w:p>
    <w:p>
      <w:pPr>
        <w:ind w:left="1590"/>
        <w:spacing w:after="0"/>
        <w:rPr>
          <w:sz w:val="20"/>
          <w:szCs w:val="20"/>
          <w:color w:val="auto"/>
        </w:rPr>
      </w:pPr>
      <w:r>
        <w:rPr>
          <w:rFonts w:ascii="Courier New" w:cs="Courier New" w:eastAsia="Courier New" w:hAnsi="Courier New"/>
          <w:sz w:val="15"/>
          <w:szCs w:val="15"/>
          <w:color w:val="auto"/>
        </w:rPr>
        <w:t>RESULTS OF OPERATIONS AND FINANCIAL CONDITION</w:t>
      </w:r>
    </w:p>
    <w:p>
      <w:pPr>
        <w:spacing w:after="0" w:line="174"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operations are principally attributable to the acquisitions of Paramount Communications and Blockbuster, partially offset by the merger-related charges described below.</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Operating income for 1994 includes merger-related charges, reflecting the integration of the Company's pre-merger businesses with similar Paramount units, and related management and strategic changes. Such amounts relate principally to adjustments of programming assets based upon new management strategies and additional programming sources resulting from the Paramount Merger and, with respect to Corporate, the combination of the employees of the Company and Paramount Communications.</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6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6"/>
              </w:rPr>
              <w:t>OPERATING</w:t>
            </w:r>
          </w:p>
        </w:tc>
      </w:tr>
      <w:tr>
        <w:trPr>
          <w:trHeight w:val="170"/>
        </w:trPr>
        <w:tc>
          <w:tcPr>
            <w:tcW w:w="2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6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INCOME PRIOR TO</w:t>
            </w:r>
          </w:p>
        </w:tc>
      </w:tr>
      <w:tr>
        <w:trPr>
          <w:trHeight w:val="170"/>
        </w:trPr>
        <w:tc>
          <w:tcPr>
            <w:tcW w:w="272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OPERATING</w:t>
            </w:r>
          </w:p>
        </w:tc>
        <w:tc>
          <w:tcPr>
            <w:tcW w:w="1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MERGER-RELATED</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MERGER-RELATED</w:t>
            </w:r>
          </w:p>
        </w:tc>
      </w:tr>
      <w:tr>
        <w:trPr>
          <w:trHeight w:val="170"/>
        </w:trPr>
        <w:tc>
          <w:tcPr>
            <w:tcW w:w="27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INCOME</w:t>
            </w:r>
          </w:p>
        </w:tc>
        <w:tc>
          <w:tcPr>
            <w:tcW w:w="168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8"/>
              </w:rPr>
              <w:t>CHARGES</w:t>
            </w:r>
          </w:p>
        </w:tc>
        <w:tc>
          <w:tcPr>
            <w:tcW w:w="146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8"/>
              </w:rPr>
              <w:t>CHARGES</w:t>
            </w:r>
          </w:p>
        </w:tc>
      </w:tr>
      <w:tr>
        <w:trPr>
          <w:trHeight w:val="170"/>
        </w:trPr>
        <w:tc>
          <w:tcPr>
            <w:tcW w:w="2720" w:type="dxa"/>
            <w:vAlign w:val="bottom"/>
          </w:tcPr>
          <w:p>
            <w:pPr>
              <w:spacing w:after="0"/>
              <w:rPr>
                <w:sz w:val="14"/>
                <w:szCs w:val="14"/>
                <w:color w:val="auto"/>
              </w:rPr>
            </w:pPr>
          </w:p>
        </w:tc>
        <w:tc>
          <w:tcPr>
            <w:tcW w:w="11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8"/>
              </w:rPr>
              <w:t>-------</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140" w:type="dxa"/>
            <w:vAlign w:val="bottom"/>
            <w:gridSpan w:val="2"/>
          </w:tcPr>
          <w:p>
            <w:pPr>
              <w:jc w:val="center"/>
              <w:ind w:right="1127"/>
              <w:spacing w:after="0"/>
              <w:rPr>
                <w:sz w:val="20"/>
                <w:szCs w:val="20"/>
                <w:color w:val="auto"/>
              </w:rPr>
            </w:pPr>
            <w:r>
              <w:rPr>
                <w:rFonts w:ascii="Courier New" w:cs="Courier New" w:eastAsia="Courier New" w:hAnsi="Courier New"/>
                <w:sz w:val="15"/>
                <w:szCs w:val="15"/>
                <w:color w:val="auto"/>
                <w:w w:val="98"/>
              </w:rPr>
              <w:t>(MILLIONS OF DOLLARS)</w:t>
            </w:r>
          </w:p>
        </w:tc>
      </w:tr>
      <w:tr>
        <w:trPr>
          <w:trHeight w:val="339"/>
        </w:trPr>
        <w:tc>
          <w:tcPr>
            <w:tcW w:w="2720" w:type="dxa"/>
            <w:vAlign w:val="bottom"/>
          </w:tcPr>
          <w:p>
            <w:pPr>
              <w:spacing w:after="0"/>
              <w:rPr>
                <w:sz w:val="20"/>
                <w:szCs w:val="20"/>
                <w:color w:val="auto"/>
              </w:rPr>
            </w:pPr>
            <w:r>
              <w:rPr>
                <w:rFonts w:ascii="Courier New" w:cs="Courier New" w:eastAsia="Courier New" w:hAnsi="Courier New"/>
                <w:sz w:val="15"/>
                <w:szCs w:val="15"/>
                <w:color w:val="auto"/>
              </w:rPr>
              <w:t>Networks and Broadcasting....</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$ 357.1</w:t>
            </w:r>
          </w:p>
        </w:tc>
        <w:tc>
          <w:tcPr>
            <w:tcW w:w="16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  90.7</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$ 447.8</w:t>
            </w: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Entertainment................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(88.4)</w:t>
            </w:r>
          </w:p>
        </w:tc>
        <w:tc>
          <w:tcPr>
            <w:tcW w:w="16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224.0</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135.6</w:t>
            </w: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Video and Music/Theme Parks..</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199.5</w:t>
            </w:r>
          </w:p>
        </w:tc>
        <w:tc>
          <w:tcPr>
            <w:tcW w:w="16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Publishing...................</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193.9</w:t>
            </w:r>
          </w:p>
        </w:tc>
        <w:tc>
          <w:tcPr>
            <w:tcW w:w="16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193.9</w:t>
            </w: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Cable Television.............</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78.8</w:t>
            </w:r>
          </w:p>
        </w:tc>
        <w:tc>
          <w:tcPr>
            <w:tcW w:w="16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78.8</w:t>
            </w: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Corporate....................</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(132.6)</w:t>
            </w:r>
          </w:p>
        </w:tc>
        <w:tc>
          <w:tcPr>
            <w:tcW w:w="16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17.4</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(115.2)</w:t>
            </w:r>
          </w:p>
        </w:tc>
      </w:tr>
      <w:tr>
        <w:trPr>
          <w:trHeight w:val="170"/>
        </w:trPr>
        <w:tc>
          <w:tcPr>
            <w:tcW w:w="2720" w:type="dxa"/>
            <w:vAlign w:val="bottom"/>
          </w:tcPr>
          <w:p>
            <w:pPr>
              <w:spacing w:after="0"/>
              <w:rPr>
                <w:sz w:val="14"/>
                <w:szCs w:val="14"/>
                <w:color w:val="auto"/>
              </w:rPr>
            </w:pPr>
          </w:p>
        </w:tc>
        <w:tc>
          <w:tcPr>
            <w:tcW w:w="1100" w:type="dxa"/>
            <w:vAlign w:val="bottom"/>
          </w:tcPr>
          <w:p>
            <w:pPr>
              <w:ind w:left="360"/>
              <w:spacing w:after="0"/>
              <w:rPr>
                <w:sz w:val="20"/>
                <w:szCs w:val="20"/>
                <w:color w:val="auto"/>
              </w:rPr>
            </w:pPr>
            <w:r>
              <w:rPr>
                <w:rFonts w:ascii="Courier New" w:cs="Courier New" w:eastAsia="Courier New" w:hAnsi="Courier New"/>
                <w:sz w:val="15"/>
                <w:szCs w:val="15"/>
                <w:color w:val="auto"/>
                <w:w w:val="99"/>
              </w:rPr>
              <w:t>--------</w:t>
            </w:r>
          </w:p>
        </w:tc>
        <w:tc>
          <w:tcPr>
            <w:tcW w:w="16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$ 608.3</w:t>
            </w:r>
          </w:p>
        </w:tc>
        <w:tc>
          <w:tcPr>
            <w:tcW w:w="16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$332.1</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$ 940.4</w:t>
            </w:r>
          </w:p>
        </w:tc>
      </w:tr>
      <w:tr>
        <w:trPr>
          <w:trHeight w:val="170"/>
        </w:trPr>
        <w:tc>
          <w:tcPr>
            <w:tcW w:w="272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ind w:left="10" w:right="3359"/>
        <w:spacing w:after="0" w:line="259" w:lineRule="auto"/>
        <w:rPr>
          <w:sz w:val="20"/>
          <w:szCs w:val="20"/>
          <w:color w:val="auto"/>
        </w:rPr>
      </w:pPr>
      <w:r>
        <w:rPr>
          <w:rFonts w:ascii="Courier New" w:cs="Courier New" w:eastAsia="Courier New" w:hAnsi="Courier New"/>
          <w:sz w:val="14"/>
          <w:szCs w:val="14"/>
          <w:color w:val="auto"/>
        </w:rPr>
        <w:t>The comparability of results of operations for 1994 and 1993 has been affected by (i) the Paramount Merger, (ii) the Blockbuster Merger, and (iii) the merger-related charges all of which are non-recurring charges. The following discussion of results of operations is exclusive of merger-related charges.</w:t>
      </w:r>
    </w:p>
    <w:p>
      <w:pPr>
        <w:spacing w:after="0" w:line="15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SEGMENT RESULTS OF OPERATIONS - 1994 VERSUS 1993</w:t>
      </w:r>
    </w:p>
    <w:p>
      <w:pPr>
        <w:ind w:left="170" w:hanging="170"/>
        <w:spacing w:after="0"/>
        <w:tabs>
          <w:tab w:leader="none" w:pos="17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8"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NETWORKS AND BROADCASTING</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Revenues increased 32% to $1.9 billion for 1994 from $1.4 billion for 1993. EBITDA increased 42% to $544.0 million for 1994 from $382.6 million for 1993. Operating income increased 42% to $447.8 million for 1994 from $314.4 million for 1993. The increase in revenues, EBITDA and operating income resulted from increased advertising revenues of MTVN, modest increases in operating results of SNI and the Company's previously existing television and radio stations, and the acquisition of the Paramount television stations. MTVN revenues of $852.2 million, EBITDA of $326.8 million and operating income of $284.5 million increased 26%, 20% and 19%, respectively. The increase in MTVN's revenues was principally attributable to increased advertising revenues due to rate increases. The increase in MTVN's EBITDA was driven by increased advertising revenues partially offset by increased operating costs, as well as aggregate losses of $15.0 million associated with the development of MTV Latino, Nickelodeon Magazine and VH-1 U.K. The Paramount television stations reported revenues of $210.4 million, EBITDA of $83.1 million and operating income of $65.8 million for the period subsequent to their acquisition.</w:t>
      </w:r>
    </w:p>
    <w:p>
      <w:pPr>
        <w:spacing w:after="0" w:line="35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II-9</w:t>
      </w:r>
    </w:p>
    <w:p>
      <w:pPr>
        <w:sectPr>
          <w:pgSz w:w="11900" w:h="16838" w:orient="portrait"/>
          <w:cols w:equalWidth="0" w:num="1">
            <w:col w:w="10229"/>
          </w:cols>
          <w:pgMar w:left="230" w:top="452" w:right="1440" w:bottom="1440" w:gutter="0" w:footer="0" w:header="0"/>
        </w:sectPr>
      </w:pPr>
    </w:p>
    <w:bookmarkStart w:id="50" w:name="page51"/>
    <w:bookmarkEnd w:id="50"/>
    <w:p>
      <w:pPr>
        <w:ind w:left="2020"/>
        <w:spacing w:after="0"/>
        <w:rPr>
          <w:sz w:val="20"/>
          <w:szCs w:val="20"/>
          <w:color w:val="auto"/>
        </w:rPr>
      </w:pPr>
      <w:r>
        <w:rPr>
          <w:rFonts w:ascii="Courier New" w:cs="Courier New" w:eastAsia="Courier New" w:hAnsi="Courier New"/>
          <w:sz w:val="15"/>
          <w:szCs w:val="15"/>
          <w:color w:val="auto"/>
        </w:rPr>
        <w:t>MANAGEMENT DISCUSSION AND ANALYSIS OF</w:t>
      </w:r>
    </w:p>
    <w:p>
      <w:pPr>
        <w:ind w:left="1580"/>
        <w:spacing w:after="0"/>
        <w:rPr>
          <w:sz w:val="20"/>
          <w:szCs w:val="20"/>
          <w:color w:val="auto"/>
        </w:rPr>
      </w:pPr>
      <w:r>
        <w:rPr>
          <w:rFonts w:ascii="Courier New" w:cs="Courier New" w:eastAsia="Courier New" w:hAnsi="Courier New"/>
          <w:sz w:val="15"/>
          <w:szCs w:val="15"/>
          <w:color w:val="auto"/>
        </w:rPr>
        <w:t>RESULTS OF OPERATIONS AND FINANCIAL CONDITION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ENTERTAINMENT</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Revenues increased to $2.3 billion for 1994 from $209.1 million for 1993. EBITDA increased to $230.0 million for 1994 from $42.0 million for 1993. Operating income increased to $135.6 million for 1994 from $32.5 million for 1993. The increase in revenues, EBITDA and operating income resulted primarily from the acquisitions of Paramount Pictures and Spelling. Theatrical feature film and television programming results reflect revenues of $1.9 billion, EBITDA of $227.8 million and operating income of $157.7 million. The Entertainment segment's operating income was partially offset by Viacom Interactive Media's loss from operations of $28.6 million, including start-up costs associated with the development of new businesses. Results of operations primarily reflect theatrical feature film revenues, including the domestic and foreign box office success of Forrest Gump and Clear and Present Danger, as well as television programming revenues including network and syndication sales. Operating income benefited from a lower cost base and efficiencies associated with the Paramount Merger.</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VIDEO AND MUSIC/THEME PARKS</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Revenues, EBITDA and operating income were $1.1 billion, $289.9 million and $199.5 million, respectively. Video and Music revenues, EBITDA and operating income were $735.7 million, $220.3 million and $167.8 million, respectively, reflecting results of operations beginning October 1, 1994 and the continued expansion of video and music stores. Theme Parks revenues, EBITDA and operating income were $334.7 million, $69.6 million and $31.7 million, respectively, reflecting the full 1994 operating season (May through September) of the theme parks.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PUBLISHING</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Publishing revenues, EBITDA and operating income were $1.8 billion, $296.9 million and $193.9 million, respectively, subsequent to its acquisition in March 1994. Results of operations reflect Simon &amp; Schuster's Higher Education, Consumer and International groups, and the U.S. publishing assets of Macmillan,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CABLE TELEVISION</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Cable Television revenues decreased 2% to $406.2 million for 1994 from $416.0 million for 1993, primarily attributable to a decrease in basic revenues. EBITDA decreased 15% to $155.2 million for 1994 from $181.7 million for 1993. Operating income decreased 28% to $78.8 million for 1994 from $110.2 million for 1993. The results reflect a 10% decrease in average rates for primary services, partially offset by a 3% increase in average primary customers. Total revenue per primary customer per month decreased 5% to $30.30 for 1994 from $32.03 for 1993. The revenue variances reflect the effect of the FCC rate regulations pursuant to the 1992 Cable Act governing rates in effect as of September 1, 1993 and as of May 15, 1994. The decrease in EBITDA and operating income principally reflect the decreased revenues attributable to the above rate regulations and increased operating, general and administrative expenses.</w:t>
      </w:r>
    </w:p>
    <w:p>
      <w:pPr>
        <w:spacing w:after="0" w:line="34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II-10</w:t>
      </w:r>
    </w:p>
    <w:p>
      <w:pPr>
        <w:sectPr>
          <w:pgSz w:w="11900" w:h="16838" w:orient="portrait"/>
          <w:cols w:equalWidth="0" w:num="1">
            <w:col w:w="10219"/>
          </w:cols>
          <w:pgMar w:left="240" w:top="452" w:right="1440" w:bottom="1440" w:gutter="0" w:footer="0" w:header="0"/>
        </w:sectPr>
      </w:pPr>
    </w:p>
    <w:bookmarkStart w:id="51" w:name="page52"/>
    <w:bookmarkEnd w:id="51"/>
    <w:p>
      <w:pPr>
        <w:ind w:left="2020"/>
        <w:spacing w:after="0"/>
        <w:rPr>
          <w:sz w:val="20"/>
          <w:szCs w:val="20"/>
          <w:color w:val="auto"/>
        </w:rPr>
      </w:pPr>
      <w:r>
        <w:rPr>
          <w:rFonts w:ascii="Courier New" w:cs="Courier New" w:eastAsia="Courier New" w:hAnsi="Courier New"/>
          <w:sz w:val="15"/>
          <w:szCs w:val="15"/>
          <w:color w:val="auto"/>
        </w:rPr>
        <w:t>MANAGEMENT DISCUSSION AND ANALYSIS OF</w:t>
      </w:r>
    </w:p>
    <w:p>
      <w:pPr>
        <w:ind w:left="1580"/>
        <w:spacing w:after="0"/>
        <w:rPr>
          <w:sz w:val="20"/>
          <w:szCs w:val="20"/>
          <w:color w:val="auto"/>
        </w:rPr>
      </w:pPr>
      <w:r>
        <w:rPr>
          <w:rFonts w:ascii="Courier New" w:cs="Courier New" w:eastAsia="Courier New" w:hAnsi="Courier New"/>
          <w:sz w:val="15"/>
          <w:szCs w:val="15"/>
          <w:color w:val="auto"/>
        </w:rPr>
        <w:t>RESULTS OF OPERATIONS AND FINANCIAL CONDITION</w:t>
      </w:r>
    </w:p>
    <w:p>
      <w:pPr>
        <w:spacing w:after="0" w:line="344" w:lineRule="exact"/>
        <w:rPr>
          <w:sz w:val="20"/>
          <w:szCs w:val="20"/>
          <w:color w:val="auto"/>
        </w:rPr>
      </w:pPr>
    </w:p>
    <w:p>
      <w:pPr>
        <w:ind w:right="3439"/>
        <w:spacing w:after="0" w:line="260" w:lineRule="auto"/>
        <w:rPr>
          <w:sz w:val="20"/>
          <w:szCs w:val="20"/>
          <w:color w:val="auto"/>
        </w:rPr>
      </w:pPr>
      <w:r>
        <w:rPr>
          <w:rFonts w:ascii="Courier New" w:cs="Courier New" w:eastAsia="Courier New" w:hAnsi="Courier New"/>
          <w:sz w:val="14"/>
          <w:szCs w:val="14"/>
          <w:color w:val="auto"/>
        </w:rPr>
        <w:t>As of December 31, 1994, Viacom Cable served approximately 1,139,000 primary customers subscribing to approximately 875,000 premium units, representing an increase of 4% and 22%, respectively, since December 31, 1993.</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 AND EXPENSE INFORMATION</w:t>
      </w:r>
    </w:p>
    <w:p>
      <w:pPr>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Expenses</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Corporate expenses including depreciation increased 60% to $115.2 million in 1994 from $72.1 million in 1993 reflecting overall increased expenses primarily attributable to the mergers.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w:t>
      </w:r>
    </w:p>
    <w:p>
      <w:pPr>
        <w:spacing w:after="0" w:line="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Net interest expense of $494.1 million for 1994 compared to $145.0 million for 1993 reflects increased bank borrowing, the issuance of the 8% exchangeable subordinated debentures and debt acquired as part of the Mergers. The Company had approximately $10.4 billion and $2.5 billion principal amounts of debt outstanding as of December 31, 1994 and December 31, 1993 at weighted average interest rates of 7.5% and 5.3%, respectively.</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Items, Net</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For 1993, "Other items, net" reflects the pre-tax gain of approximately $55.0 million from the sale of the stock of the Wisconsin cable system, a pre-tax gain of $17.4 million in the aggregate from sales of a portion of an investment held at cost, partially offset by an increase of $9.1 million to previously established non-operating litigation reserves and other items.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 for Income Taxes</w:t>
      </w:r>
    </w:p>
    <w:p>
      <w:pPr>
        <w:spacing w:after="0" w:line="5" w:lineRule="exact"/>
        <w:rPr>
          <w:sz w:val="20"/>
          <w:szCs w:val="20"/>
          <w:color w:val="auto"/>
        </w:rPr>
      </w:pPr>
    </w:p>
    <w:p>
      <w:pPr>
        <w:ind w:right="3259"/>
        <w:spacing w:after="0" w:line="258" w:lineRule="auto"/>
        <w:rPr>
          <w:sz w:val="20"/>
          <w:szCs w:val="20"/>
          <w:color w:val="auto"/>
        </w:rPr>
      </w:pPr>
      <w:r>
        <w:rPr>
          <w:rFonts w:ascii="Courier New" w:cs="Courier New" w:eastAsia="Courier New" w:hAnsi="Courier New"/>
          <w:sz w:val="14"/>
          <w:szCs w:val="14"/>
          <w:color w:val="auto"/>
        </w:rPr>
        <w:t>The annual effective tax rates of 74% for 1994 and 43% for 1993 were both adversely affected by amortization of goodwill which are not deductible for tax purposes. The 1993 effective tax rate was favorably affected as a result of reductions of certain prior year tax reserves of $22.0 million. The reductions were based on the favorable outcome of federal, state and local audits.</w:t>
      </w:r>
    </w:p>
    <w:p>
      <w:pPr>
        <w:spacing w:after="0" w:line="165" w:lineRule="exact"/>
        <w:rPr>
          <w:sz w:val="20"/>
          <w:szCs w:val="20"/>
          <w:color w:val="auto"/>
        </w:rPr>
      </w:pPr>
    </w:p>
    <w:p>
      <w:pPr>
        <w:jc w:val="both"/>
        <w:ind w:right="3539"/>
        <w:spacing w:after="0" w:line="237" w:lineRule="auto"/>
        <w:rPr>
          <w:sz w:val="20"/>
          <w:szCs w:val="20"/>
          <w:color w:val="auto"/>
        </w:rPr>
      </w:pPr>
      <w:r>
        <w:rPr>
          <w:rFonts w:ascii="Courier New" w:cs="Courier New" w:eastAsia="Courier New" w:hAnsi="Courier New"/>
          <w:sz w:val="15"/>
          <w:szCs w:val="15"/>
          <w:color w:val="auto"/>
        </w:rPr>
        <w:t>During the first quarter of 1993, the Company adopted Statement of Financial Accounting Standards No. 109, "Accounting for Income Taxes" on a prospective basis and recognized an increase in earnings of $10.4 million in 1993 as the cumulative effect of a change in accounting principle.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Equity in Earnings (Loss) of Affiliates</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"Equity in earnings of affiliated companies, net of tax" was $18.6 million for 1994 as compared to a loss of $2.5 million for 1993, primarily reflecting the inclusion of the net earnings of affiliated companies that were acquired as part of the Mergers, improved operating results of Comedy Central, partially offset by the absence of Lifetime's earnings due to the sale of the Company's one-third partnership interest.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Extraordinary Losses</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On July 15, 1993, Viacom International redeemed all of the $298 million principal amount outstanding of the 11.80% Senior Subordinated Notes at a redemption price equal to 103.37% of the principal amount plus accrued interest to July 15, 1993. Viacom International recognized an after-tax</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II-11</w:t>
      </w:r>
    </w:p>
    <w:p>
      <w:pPr>
        <w:sectPr>
          <w:pgSz w:w="11900" w:h="16838" w:orient="portrait"/>
          <w:cols w:equalWidth="0" w:num="1">
            <w:col w:w="10219"/>
          </w:cols>
          <w:pgMar w:left="240" w:top="452" w:right="1440" w:bottom="1440" w:gutter="0" w:footer="0" w:header="0"/>
        </w:sectPr>
      </w:pPr>
    </w:p>
    <w:bookmarkStart w:id="52" w:name="page53"/>
    <w:bookmarkEnd w:id="52"/>
    <w:p>
      <w:pPr>
        <w:ind w:left="2020"/>
        <w:spacing w:after="0"/>
        <w:rPr>
          <w:sz w:val="20"/>
          <w:szCs w:val="20"/>
          <w:color w:val="auto"/>
        </w:rPr>
      </w:pPr>
      <w:r>
        <w:rPr>
          <w:rFonts w:ascii="Courier New" w:cs="Courier New" w:eastAsia="Courier New" w:hAnsi="Courier New"/>
          <w:sz w:val="15"/>
          <w:szCs w:val="15"/>
          <w:color w:val="auto"/>
        </w:rPr>
        <w:t>MANAGEMENT DISCUSSION AND ANALYSIS OF</w:t>
      </w:r>
    </w:p>
    <w:p>
      <w:pPr>
        <w:ind w:left="1580"/>
        <w:spacing w:after="0"/>
        <w:rPr>
          <w:sz w:val="20"/>
          <w:szCs w:val="20"/>
          <w:color w:val="auto"/>
        </w:rPr>
      </w:pPr>
      <w:r>
        <w:rPr>
          <w:rFonts w:ascii="Courier New" w:cs="Courier New" w:eastAsia="Courier New" w:hAnsi="Courier New"/>
          <w:sz w:val="15"/>
          <w:szCs w:val="15"/>
          <w:color w:val="auto"/>
        </w:rPr>
        <w:t>RESULTS OF OPERATIONS AND FINANCIAL CONDITION</w:t>
      </w:r>
    </w:p>
    <w:p>
      <w:pPr>
        <w:spacing w:after="0" w:line="174"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extraordinary loss of $8.9 million, net of a tax benefit of $6.1 million. Viacom International borrowed the funds necessary for the redemption under bank credit agreements existing at the time.</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On March 11, 1994, the Company acquired a majority of the shares of Paramount Communications' common stock outstanding at a price of $107 per share in cash. On July 7, 1994, Paramount Communications became a wholly owned subsidiary of the Company. The total cost to acquire Paramount Communications of $9.9 billion was financed through $3.7 billion of borrowing from banks, $3.1 billion of cash and $3.1 billion of securities. (See Note 2 of Notes to Consolidated Financial Statements). Such cash was obtained through the issuance of $1.8 billion of Preferred Stock (of which $600 million and $1.2 billion were issued to Blockbuster and NYNEX Corporation, respectively) and $1.25 billion of Viacom Class B Common Stock was issued to Blockbuster. The securities issued to Blockbuster were canceled upon consummation of the Blockbuster Merger.</w:t>
      </w:r>
    </w:p>
    <w:p>
      <w:pPr>
        <w:spacing w:after="0" w:line="16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On September 29, 1994, Blockbuster was merged with and into the Company. The total cost to acquire Blockbuster of $7.6 billion was financed through the issuance of equity securities to Blockbuster shareholders. (See Note 2 of Notes to Consolidated Financial Statements).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 expects to fund its anticipated cash requirements (including the anticipated cash requirements of its capital expenditures, joint ventures, commitments and payments of principal, interest and dividends on its outstanding indebtedness and preferred stock) with internally generated funds and from various external sources, which may include the Company's existing Credit Agreements and amendments thereto, co-financing arrangements by the Company's various divisions, additional financings and the sale of non-strategic assets as opportunities may arise.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Company's scheduled maturities of long-term debt, through December 31, 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assuming full utilization of the credit agreements are $1.6 billion (1996),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$248.9 million (1997), $1.0 billion (1998), $1.5 billion (1999) and $1.3 billion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 The Company has classified certain short-term indebtedness as long-term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 based upon its intent and ability to refinance such indebtedness on a</w:t>
      </w:r>
    </w:p>
    <w:p>
      <w:pPr>
        <w:spacing w:after="0"/>
        <w:rPr>
          <w:sz w:val="20"/>
          <w:szCs w:val="20"/>
          <w:color w:val="auto"/>
        </w:rPr>
      </w:pPr>
      <w:r>
        <w:rPr>
          <w:rFonts w:ascii="Courier New" w:cs="Courier New" w:eastAsia="Courier New" w:hAnsi="Courier New"/>
          <w:sz w:val="15"/>
          <w:szCs w:val="15"/>
          <w:color w:val="auto"/>
        </w:rPr>
        <w:t>long-term basis. (See Note 7 of Notes to Consolidated Financial Statements).</w:t>
      </w:r>
    </w:p>
    <w:p>
      <w:pPr>
        <w:spacing w:after="0"/>
        <w:rPr>
          <w:sz w:val="20"/>
          <w:szCs w:val="20"/>
          <w:color w:val="auto"/>
        </w:rPr>
      </w:pPr>
      <w:r>
        <w:rPr>
          <w:rFonts w:ascii="Courier New" w:cs="Courier New" w:eastAsia="Courier New" w:hAnsi="Courier New"/>
          <w:sz w:val="15"/>
          <w:szCs w:val="15"/>
          <w:color w:val="auto"/>
        </w:rPr>
        <w:t>The Company's Preferred Stock dividend requirement is $60 million per year.</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joint ventures are expected to require estimated net cash</w:t>
      </w:r>
    </w:p>
    <w:p>
      <w:pPr>
        <w:spacing w:after="0"/>
        <w:rPr>
          <w:sz w:val="20"/>
          <w:szCs w:val="20"/>
          <w:color w:val="auto"/>
        </w:rPr>
      </w:pPr>
      <w:r>
        <w:rPr>
          <w:rFonts w:ascii="Courier New" w:cs="Courier New" w:eastAsia="Courier New" w:hAnsi="Courier New"/>
          <w:sz w:val="15"/>
          <w:szCs w:val="15"/>
          <w:color w:val="auto"/>
        </w:rPr>
        <w:t>contributions of approximately $100 million to $150 million in 1996. Planned</w:t>
      </w:r>
    </w:p>
    <w:p>
      <w:pPr>
        <w:spacing w:after="0"/>
        <w:rPr>
          <w:sz w:val="20"/>
          <w:szCs w:val="20"/>
          <w:color w:val="auto"/>
        </w:rPr>
      </w:pPr>
      <w:r>
        <w:rPr>
          <w:rFonts w:ascii="Courier New" w:cs="Courier New" w:eastAsia="Courier New" w:hAnsi="Courier New"/>
          <w:sz w:val="15"/>
          <w:szCs w:val="15"/>
          <w:color w:val="auto"/>
        </w:rPr>
        <w:t>capital expenditures, including information systems costs, are approximately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$800 million to $900 million in 1996. Capital expenditures are primarily related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capital additions for new and existing video stores and theme park</w:t>
      </w:r>
    </w:p>
    <w:p>
      <w:pPr>
        <w:spacing w:after="0"/>
        <w:rPr>
          <w:sz w:val="20"/>
          <w:szCs w:val="20"/>
          <w:color w:val="auto"/>
        </w:rPr>
      </w:pPr>
      <w:r>
        <w:rPr>
          <w:rFonts w:ascii="Courier New" w:cs="Courier New" w:eastAsia="Courier New" w:hAnsi="Courier New"/>
          <w:sz w:val="15"/>
          <w:szCs w:val="15"/>
          <w:color w:val="auto"/>
        </w:rPr>
        <w:t>attractions, and approximately $150 million for additional construction and</w:t>
      </w:r>
    </w:p>
    <w:p>
      <w:pPr>
        <w:spacing w:after="0"/>
        <w:rPr>
          <w:sz w:val="20"/>
          <w:szCs w:val="20"/>
          <w:color w:val="auto"/>
        </w:rPr>
      </w:pPr>
      <w:r>
        <w:rPr>
          <w:rFonts w:ascii="Courier New" w:cs="Courier New" w:eastAsia="Courier New" w:hAnsi="Courier New"/>
          <w:sz w:val="15"/>
          <w:szCs w:val="15"/>
          <w:color w:val="auto"/>
        </w:rPr>
        <w:t>equipment upgrades for the Company's existing cable franchises.</w:t>
      </w:r>
    </w:p>
    <w:p>
      <w:pPr>
        <w:spacing w:after="0" w:line="174"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Company was in compliance with all debt covenants and had satisfied all financial ratios and tests as of December 31, 1995 under its Credit Agreement and the Company expects to be in compliance and satisfy all such covenant ratios as may be applicable from time to time during 1996.</w:t>
      </w:r>
    </w:p>
    <w:p>
      <w:pPr>
        <w:spacing w:after="0" w:line="34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II-12</w:t>
      </w:r>
    </w:p>
    <w:p>
      <w:pPr>
        <w:sectPr>
          <w:pgSz w:w="11900" w:h="16838" w:orient="portrait"/>
          <w:cols w:equalWidth="0" w:num="1">
            <w:col w:w="10219"/>
          </w:cols>
          <w:pgMar w:left="240" w:top="452" w:right="1440" w:bottom="1440" w:gutter="0" w:footer="0" w:header="0"/>
        </w:sectPr>
      </w:pPr>
    </w:p>
    <w:bookmarkStart w:id="53" w:name="page54"/>
    <w:bookmarkEnd w:id="53"/>
    <w:p>
      <w:pPr>
        <w:ind w:left="2020"/>
        <w:spacing w:after="0"/>
        <w:rPr>
          <w:sz w:val="20"/>
          <w:szCs w:val="20"/>
          <w:color w:val="auto"/>
        </w:rPr>
      </w:pPr>
      <w:r>
        <w:rPr>
          <w:rFonts w:ascii="Courier New" w:cs="Courier New" w:eastAsia="Courier New" w:hAnsi="Courier New"/>
          <w:sz w:val="15"/>
          <w:szCs w:val="15"/>
          <w:color w:val="auto"/>
        </w:rPr>
        <w:t>MANAGEMENT DISCUSSION AND ANALYSIS OF</w:t>
      </w:r>
    </w:p>
    <w:p>
      <w:pPr>
        <w:ind w:left="1580"/>
        <w:spacing w:after="0"/>
        <w:rPr>
          <w:sz w:val="20"/>
          <w:szCs w:val="20"/>
          <w:color w:val="auto"/>
        </w:rPr>
      </w:pPr>
      <w:r>
        <w:rPr>
          <w:rFonts w:ascii="Courier New" w:cs="Courier New" w:eastAsia="Courier New" w:hAnsi="Courier New"/>
          <w:sz w:val="15"/>
          <w:szCs w:val="15"/>
          <w:color w:val="auto"/>
        </w:rPr>
        <w:t>RESULTS OF OPERATIONS AND FINANCIAL CONDITION</w:t>
      </w:r>
    </w:p>
    <w:p>
      <w:pPr>
        <w:spacing w:after="0" w:line="344"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Debt as a percentage of total capitalization of the Company was 47% at December 31, 1995 and December 31, 1994.</w:t>
      </w:r>
    </w:p>
    <w:p>
      <w:pPr>
        <w:spacing w:after="0" w:line="176"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The Company filed a shelf registration statement with the Securities and Exchange Commission registering debt securities, preferred stock and contingent value rights of Viacom and guarantees of such debt securities by Viacom International which may be issued for aggregate gross proceeds of $3.0 billion. The registration statement was declared effective on May 10, 1995. The net proceeds from the sale of the offered securities may be used by Viacom to repay, redeem, repurchase or satisfy its obligations in respect of its outstanding indebtedness or other securities; to make loans to its subsidiaries; for general corporate purposes; or for such other purposes as may be specified in the applicable Prospectus Supplement. During 1995, the Company issued $1.6 billion of notes and debentures under this shelf registration statement.</w:t>
      </w:r>
    </w:p>
    <w:p>
      <w:pPr>
        <w:spacing w:after="0" w:line="16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See Note 12 of Notes to Consolidated Financial Statements for a description of the Company's future minimum lease commitments.</w:t>
      </w:r>
    </w:p>
    <w:p>
      <w:pPr>
        <w:spacing w:after="0" w:line="176"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The commitments of the Company for program license fees, which are not reflected in the balance sheet as of December 31, 1995 and are estimated to aggregate approximately $2.2 billion, principally reflect commitments under SNI's exclusive arrangements with several motion picture companies. This estimate is based upon a number of factors. A majority of such fees are payable over several years, as part of normal programming expenditures of SNI. These commitments are contingent upon delivery of motion pictures which are not yet available for premium television exhibition and, in many cases, have not yet been produced.</w:t>
      </w:r>
    </w:p>
    <w:p>
      <w:pPr>
        <w:spacing w:after="0" w:line="167"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There are various lawsuits and claims pending against the Company. Management believes that any ultimate liability resulting from those actions or claims will not have a material adverse effect on the Company's results of operations, financial position or cash flows.</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Certain subsidiaries and affiliates of the Company from time to time receive claims from Federal and state environmental regulatory agencies and other entities asserting that they are or may be liable for environmental cleanup costs and related damages, principally relating to discontinued operations conducted by its former mining and manufacturing businesses (acquired as part of the Mergers). The Company has recorded a liability at approximately the mid-point of its estimated range of environmental exposure. Such liability was not reduced by potential insurance recoveries and reflects management's estimate of cost sharing at multiparty sites. The estimated range of the potential liability was calculated based upon currently available facts, existing technology and presently enacted laws and regulations. On the basis of its experience and the information currently available to it, the Company believes that the claims it has received will not have a material adverse effect on its results of operations, financial position or cash flows.</w:t>
      </w:r>
    </w:p>
    <w:p>
      <w:pPr>
        <w:spacing w:after="0" w:line="18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Current assets decreased to $5.2 billion for 1995 from $5.3 billion for 1994 reflecting the disposition of the net assets of MSG offset by increased receivables and inventory. The increased receivables principally reflect the conforming of accounting policies pertaining to the television programming libraries of Viacom Entertainment, Spelling and Paramount Communications and the effects of</w:t>
      </w:r>
    </w:p>
    <w:p>
      <w:pPr>
        <w:spacing w:after="0" w:line="200" w:lineRule="exact"/>
        <w:rPr>
          <w:sz w:val="20"/>
          <w:szCs w:val="20"/>
          <w:color w:val="auto"/>
        </w:rPr>
      </w:pPr>
    </w:p>
    <w:p>
      <w:pPr>
        <w:spacing w:after="0" w:line="30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II-13</w:t>
      </w:r>
    </w:p>
    <w:p>
      <w:pPr>
        <w:sectPr>
          <w:pgSz w:w="11900" w:h="16838" w:orient="portrait"/>
          <w:cols w:equalWidth="0" w:num="1">
            <w:col w:w="10219"/>
          </w:cols>
          <w:pgMar w:left="240" w:top="452" w:right="1440" w:bottom="1440" w:gutter="0" w:footer="0" w:header="0"/>
        </w:sectPr>
      </w:pPr>
    </w:p>
    <w:bookmarkStart w:id="54" w:name="page55"/>
    <w:bookmarkEnd w:id="54"/>
    <w:p>
      <w:pPr>
        <w:ind w:left="2020"/>
        <w:spacing w:after="0"/>
        <w:rPr>
          <w:sz w:val="20"/>
          <w:szCs w:val="20"/>
          <w:color w:val="auto"/>
        </w:rPr>
      </w:pPr>
      <w:r>
        <w:rPr>
          <w:rFonts w:ascii="Courier New" w:cs="Courier New" w:eastAsia="Courier New" w:hAnsi="Courier New"/>
          <w:sz w:val="15"/>
          <w:szCs w:val="15"/>
          <w:color w:val="auto"/>
        </w:rPr>
        <w:t>MANAGEMENT DISCUSSION AND ANALYSIS OF</w:t>
      </w:r>
    </w:p>
    <w:p>
      <w:pPr>
        <w:ind w:left="1580"/>
        <w:spacing w:after="0"/>
        <w:rPr>
          <w:sz w:val="20"/>
          <w:szCs w:val="20"/>
          <w:color w:val="auto"/>
        </w:rPr>
      </w:pPr>
      <w:r>
        <w:rPr>
          <w:rFonts w:ascii="Courier New" w:cs="Courier New" w:eastAsia="Courier New" w:hAnsi="Courier New"/>
          <w:sz w:val="15"/>
          <w:szCs w:val="15"/>
          <w:color w:val="auto"/>
        </w:rPr>
        <w:t>RESULTS OF OPERATIONS AND FINANCIAL CONDITION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increased revenues. The allowance for doubtful accounts as a percentage of</w:t>
      </w:r>
    </w:p>
    <w:p>
      <w:pPr>
        <w:spacing w:after="0"/>
        <w:rPr>
          <w:sz w:val="20"/>
          <w:szCs w:val="20"/>
          <w:color w:val="auto"/>
        </w:rPr>
      </w:pPr>
      <w:r>
        <w:rPr>
          <w:rFonts w:ascii="Courier New" w:cs="Courier New" w:eastAsia="Courier New" w:hAnsi="Courier New"/>
          <w:sz w:val="15"/>
          <w:szCs w:val="15"/>
          <w:color w:val="auto"/>
        </w:rPr>
        <w:t>receivables increased to 6% for 1995 from 4% for 1994 reflecting increased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reserves on Blockbuster receivables and the potential effects of the changes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retail bookstore environment. Both current and non-current inventory</w:t>
      </w:r>
    </w:p>
    <w:p>
      <w:pPr>
        <w:spacing w:after="0"/>
        <w:rPr>
          <w:sz w:val="20"/>
          <w:szCs w:val="20"/>
          <w:color w:val="auto"/>
        </w:rPr>
      </w:pPr>
      <w:r>
        <w:rPr>
          <w:rFonts w:ascii="Courier New" w:cs="Courier New" w:eastAsia="Courier New" w:hAnsi="Courier New"/>
          <w:sz w:val="15"/>
          <w:szCs w:val="15"/>
          <w:color w:val="auto"/>
        </w:rPr>
        <w:t>increased principally reflecting the timing of the release of motion pictures</w:t>
      </w:r>
    </w:p>
    <w:p>
      <w:pPr>
        <w:spacing w:after="0"/>
        <w:rPr>
          <w:sz w:val="20"/>
          <w:szCs w:val="20"/>
          <w:color w:val="auto"/>
        </w:rPr>
      </w:pPr>
      <w:r>
        <w:rPr>
          <w:rFonts w:ascii="Courier New" w:cs="Courier New" w:eastAsia="Courier New" w:hAnsi="Courier New"/>
          <w:sz w:val="15"/>
          <w:szCs w:val="15"/>
          <w:color w:val="auto"/>
        </w:rPr>
        <w:t>at Paramount Pictures, increased production activity at Spelling and increased</w:t>
      </w:r>
    </w:p>
    <w:p>
      <w:pPr>
        <w:spacing w:after="0" w:line="238" w:lineRule="auto"/>
        <w:rPr>
          <w:sz w:val="20"/>
          <w:szCs w:val="20"/>
          <w:color w:val="auto"/>
        </w:rPr>
      </w:pPr>
      <w:r>
        <w:rPr>
          <w:rFonts w:ascii="Courier New" w:cs="Courier New" w:eastAsia="Courier New" w:hAnsi="Courier New"/>
          <w:sz w:val="15"/>
          <w:szCs w:val="15"/>
          <w:color w:val="auto"/>
        </w:rPr>
        <w:t>video and game product purchases at Blockbuster for new and existing video</w:t>
      </w:r>
    </w:p>
    <w:p>
      <w:pPr>
        <w:spacing w:after="0"/>
        <w:rPr>
          <w:sz w:val="20"/>
          <w:szCs w:val="20"/>
          <w:color w:val="auto"/>
        </w:rPr>
      </w:pPr>
      <w:r>
        <w:rPr>
          <w:rFonts w:ascii="Courier New" w:cs="Courier New" w:eastAsia="Courier New" w:hAnsi="Courier New"/>
          <w:sz w:val="15"/>
          <w:szCs w:val="15"/>
          <w:color w:val="auto"/>
        </w:rPr>
        <w:t>stores. Property and equipment increased reflecting the capital expenditures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$730.6 million and equipment acquired under capital leases of $314.5 million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primarily related to capital additions for new and existing video and music</w:t>
      </w:r>
    </w:p>
    <w:p>
      <w:pPr>
        <w:spacing w:after="0"/>
        <w:rPr>
          <w:sz w:val="20"/>
          <w:szCs w:val="20"/>
          <w:color w:val="auto"/>
        </w:rPr>
      </w:pPr>
      <w:r>
        <w:rPr>
          <w:rFonts w:ascii="Courier New" w:cs="Courier New" w:eastAsia="Courier New" w:hAnsi="Courier New"/>
          <w:sz w:val="15"/>
          <w:szCs w:val="15"/>
          <w:color w:val="auto"/>
        </w:rPr>
        <w:t>stores and additional construction and equipment upgrades for the Company's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cable franchises. Current liabilities remained constant at $4.1 billion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1995 and 1994 primarily reflecting normal operating activity. The increase</w:t>
      </w:r>
    </w:p>
    <w:p>
      <w:pPr>
        <w:spacing w:after="0"/>
        <w:rPr>
          <w:sz w:val="20"/>
          <w:szCs w:val="20"/>
          <w:color w:val="auto"/>
        </w:rPr>
      </w:pPr>
      <w:r>
        <w:rPr>
          <w:rFonts w:ascii="Courier New" w:cs="Courier New" w:eastAsia="Courier New" w:hAnsi="Courier New"/>
          <w:sz w:val="15"/>
          <w:szCs w:val="15"/>
          <w:color w:val="auto"/>
        </w:rPr>
        <w:t>in total debt is described in Note 7 of Notes to Consolidated Financial</w:t>
      </w:r>
    </w:p>
    <w:p>
      <w:pPr>
        <w:spacing w:after="0"/>
        <w:rPr>
          <w:sz w:val="20"/>
          <w:szCs w:val="20"/>
          <w:color w:val="auto"/>
        </w:rPr>
      </w:pPr>
      <w:r>
        <w:rPr>
          <w:rFonts w:ascii="Courier New" w:cs="Courier New" w:eastAsia="Courier New" w:hAnsi="Courier New"/>
          <w:sz w:val="15"/>
          <w:szCs w:val="15"/>
          <w:color w:val="auto"/>
        </w:rPr>
        <w:t>Statements.</w:t>
      </w:r>
    </w:p>
    <w:p>
      <w:pPr>
        <w:spacing w:after="0" w:line="174" w:lineRule="exact"/>
        <w:rPr>
          <w:sz w:val="20"/>
          <w:szCs w:val="20"/>
          <w:color w:val="auto"/>
        </w:rPr>
      </w:pPr>
    </w:p>
    <w:p>
      <w:pPr>
        <w:ind w:right="3179"/>
        <w:spacing w:after="0" w:line="239" w:lineRule="auto"/>
        <w:rPr>
          <w:sz w:val="20"/>
          <w:szCs w:val="20"/>
          <w:color w:val="auto"/>
        </w:rPr>
      </w:pPr>
      <w:r>
        <w:rPr>
          <w:rFonts w:ascii="Courier New" w:cs="Courier New" w:eastAsia="Courier New" w:hAnsi="Courier New"/>
          <w:sz w:val="15"/>
          <w:szCs w:val="15"/>
          <w:color w:val="auto"/>
        </w:rPr>
        <w:t>Net cash flow from operating activities decreased 85% to $55.6 million in 1995 from $376.9 million for 1994. Such amounts are not comparable due to the Mergers. The decreased operating cash flow primarily reflects payments of $1.4 billion for 1995 versus $429 million for 1994 for interest and taxes, as well as payments for significant levels of Blockbuster video product purchases made, as is typical, in the first quarter of 1995 partially offset by increased operating income. Net cash flow from operating activities increased 134% to $376.9 million in 1994 from $161.0 million for 1993 principally due to the inclusion of Paramount Communications' and Blockbuster's results of operations since the effective time of the respective mergers and increased operating earnings of Viacom's pre-merger businesses, prior to merger-related charges. Net cash expenditures from investing activities of $79.6 million for 1995, principally reflects capital expenditures and other acquisitions partially offset by proceeds from the sale of MSG and other dispositions. Net cash expenditures from investing activities of $6.3 billion for 1994 principally reflect the acquisition of the majority of the shares of Paramount Communications and capital expenditures, partially offset by proceeds from the sale of the Company's one-third partnership interest in Lifetime. Financing activities reflect borrowings and repayment of debt under the credit agreements during each period presented; proceeds from the issuance of senior notes during 1995; the issuance of Viacom Class B Common Stock to Blockbuster during 1994; and the redemption of the 11.80% senior notes and the issuance of the Preferred Stock during 1993.</w:t>
      </w:r>
    </w:p>
    <w:p>
      <w:pPr>
        <w:spacing w:after="0" w:line="171"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II-14</w:t>
      </w:r>
    </w:p>
    <w:p>
      <w:pPr>
        <w:sectPr>
          <w:pgSz w:w="11900" w:h="16838" w:orient="portrait"/>
          <w:cols w:equalWidth="0" w:num="1">
            <w:col w:w="10219"/>
          </w:cols>
          <w:pgMar w:left="240" w:top="452" w:right="1440" w:bottom="1440" w:gutter="0" w:footer="0" w:header="0"/>
        </w:sectPr>
      </w:pPr>
    </w:p>
    <w:bookmarkStart w:id="55" w:name="page56"/>
    <w:bookmarkEnd w:id="55"/>
    <w:p>
      <w:pPr>
        <w:spacing w:after="0"/>
        <w:tabs>
          <w:tab w:leader="none" w:pos="7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INDEPENDENT ACCOUNTANTS</w:t>
      </w:r>
    </w:p>
    <w:p>
      <w:pPr>
        <w:spacing w:after="0"/>
        <w:rPr>
          <w:sz w:val="20"/>
          <w:szCs w:val="20"/>
          <w:color w:val="auto"/>
        </w:rPr>
      </w:pPr>
      <w:r>
        <w:rPr>
          <w:rFonts w:ascii="Courier New" w:cs="Courier New" w:eastAsia="Courier New" w:hAnsi="Courier New"/>
          <w:sz w:val="15"/>
          <w:szCs w:val="15"/>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w:t>
      </w:r>
    </w:p>
    <w:p>
      <w:pPr>
        <w:spacing w:after="0"/>
        <w:rPr>
          <w:sz w:val="20"/>
          <w:szCs w:val="20"/>
          <w:color w:val="auto"/>
        </w:rPr>
      </w:pPr>
      <w:r>
        <w:rPr>
          <w:rFonts w:ascii="Courier New" w:cs="Courier New" w:eastAsia="Courier New" w:hAnsi="Courier New"/>
          <w:sz w:val="15"/>
          <w:szCs w:val="15"/>
          <w:color w:val="auto"/>
        </w:rPr>
        <w:t>Shareholders of Viacom Inc.</w:t>
      </w:r>
    </w:p>
    <w:p>
      <w:pPr>
        <w:spacing w:after="0" w:line="34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our opinion, the accompanying consolidated balance sheets and the related consolidated statements of operations, of cash flows and of shareholders' equity present fairly, in all material respects, the financial position of Viacom Inc. and its subsidiaries at December 31, 1995 and 1994, and the results of their operations and their cash flows for each of the three years in the period ended December 31, 1995, in conformity with generally accepted accounting principles. These financial statements are the responsibility of the management of Viacom Inc.; our responsibility is to express an opinion on these financial statements based on our audits. We conducted our audits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187"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Our audits of the consolidated financial statements of Viacom Inc. also included an audit of the Financial Statement Schedule listed in Item 14(a) of this Form 10-K. In our opinion, the Financial Statement Schedule presents fairly, in all material respects, the information set forth therein when read in conjunction with the related consolidated financial statements.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WATERHOUSE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rPr>
          <w:sz w:val="20"/>
          <w:szCs w:val="20"/>
          <w:color w:val="auto"/>
        </w:rPr>
      </w:pPr>
      <w:r>
        <w:rPr>
          <w:rFonts w:ascii="Courier New" w:cs="Courier New" w:eastAsia="Courier New" w:hAnsi="Courier New"/>
          <w:sz w:val="15"/>
          <w:szCs w:val="15"/>
          <w:color w:val="auto"/>
        </w:rPr>
        <w:t>February 14,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II-15</w:t>
      </w:r>
    </w:p>
    <w:p>
      <w:pPr>
        <w:sectPr>
          <w:pgSz w:w="11900" w:h="16838" w:orient="portrait"/>
          <w:cols w:equalWidth="0" w:num="1">
            <w:col w:w="10219"/>
          </w:cols>
          <w:pgMar w:left="240" w:top="791" w:right="1440" w:bottom="1440" w:gutter="0" w:footer="0" w:header="0"/>
        </w:sectPr>
      </w:pPr>
    </w:p>
    <w:bookmarkStart w:id="56" w:name="page57"/>
    <w:bookmarkEnd w:id="56"/>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STATEMENT OF RESPONSIBILITY FOR FINANCIAL REPORTING</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Management has prepared and is responsible for the consolidated financial statements and related notes of Viacom Inc. They have been prepared in accordance with generally accepted accounting principles and necessarily include amounts based on judgments and estimates by management. All financial information in this annual report is consistent with the consolidated financial statements.</w:t>
      </w:r>
    </w:p>
    <w:p>
      <w:pPr>
        <w:spacing w:after="0" w:line="176"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The Company maintains internal accounting control systems and related policies and procedures designed to provide reasonable assurance that assets are safeguarded, that transactions are executed in accordance with management's authorization and properly recorded, and that accounting records may be relied upon for the preparation of consolidated financial statements and other financial information. The design, monitoring, and revision of internal accounting control systems involve, among other things, management's judgment with respect to the relative cost and expected benefits of specific control measures. The Company also maintains an internal auditing function which evaluates and reports on the adequacy and effectiveness of internal accounting controls, policies and procedures.</w:t>
      </w:r>
    </w:p>
    <w:p>
      <w:pPr>
        <w:spacing w:after="0" w:line="181"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Viacom Inc.'s consolidated financial statements have been audited by Price Waterhouse LLP, independent accountants, who have expressed their opinion with respect to the presentation of these statements.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Audit Committee of the Board of Directors, which is comprised solely of directors who are not employees of the Company, meets periodically with the independent accountants, with our internal auditors, as well as with management, to review accounting, auditing, internal accounting controls and financial reporting matters. The Audit Committee is also responsible for recommending to the Board of Directors the independent accounting firm to be retained for the coming year, subject to stockholder approval. The independent accountants and the internal auditors have full and free access to the Audit Committee with and without management's presence.</w:t>
      </w:r>
    </w:p>
    <w:p>
      <w:pPr>
        <w:spacing w:after="0" w:line="3" w:lineRule="exact"/>
        <w:rPr>
          <w:sz w:val="20"/>
          <w:szCs w:val="20"/>
          <w:color w:val="auto"/>
        </w:rPr>
      </w:pPr>
    </w:p>
    <w:p>
      <w:pPr>
        <w:jc w:val="center"/>
        <w:ind w:right="459"/>
        <w:spacing w:after="0"/>
        <w:rPr>
          <w:sz w:val="20"/>
          <w:szCs w:val="20"/>
          <w:color w:val="auto"/>
        </w:rPr>
      </w:pPr>
      <w:r>
        <w:rPr>
          <w:rFonts w:ascii="Courier New" w:cs="Courier New" w:eastAsia="Courier New" w:hAnsi="Courier New"/>
          <w:sz w:val="15"/>
          <w:szCs w:val="15"/>
          <w:color w:val="auto"/>
        </w:rPr>
        <w:t>VIACOM INC.</w:t>
      </w:r>
    </w:p>
    <w:p>
      <w:pPr>
        <w:spacing w:after="0" w:line="33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By: /s/ Sumner M. Redstone</w:t>
      </w:r>
    </w:p>
    <w:p>
      <w:pPr>
        <w:ind w:left="3960"/>
        <w:spacing w:after="0"/>
        <w:rPr>
          <w:sz w:val="20"/>
          <w:szCs w:val="20"/>
          <w:color w:val="auto"/>
        </w:rPr>
      </w:pPr>
      <w:r>
        <w:rPr>
          <w:rFonts w:ascii="Courier New" w:cs="Courier New" w:eastAsia="Courier New" w:hAnsi="Courier New"/>
          <w:sz w:val="15"/>
          <w:szCs w:val="15"/>
          <w:color w:val="auto"/>
        </w:rPr>
        <w:t>--------------------------</w:t>
      </w:r>
    </w:p>
    <w:p>
      <w:pPr>
        <w:ind w:left="3960"/>
        <w:spacing w:after="0"/>
        <w:rPr>
          <w:sz w:val="20"/>
          <w:szCs w:val="20"/>
          <w:color w:val="auto"/>
        </w:rPr>
      </w:pPr>
      <w:r>
        <w:rPr>
          <w:rFonts w:ascii="Courier New" w:cs="Courier New" w:eastAsia="Courier New" w:hAnsi="Courier New"/>
          <w:sz w:val="15"/>
          <w:szCs w:val="15"/>
          <w:color w:val="auto"/>
        </w:rPr>
        <w:t>Sumner M. Redstone</w:t>
      </w:r>
    </w:p>
    <w:p>
      <w:pPr>
        <w:spacing w:after="0" w:line="4"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Chairman of the Board of Directors,</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Chief Executive Officer</w:t>
      </w:r>
    </w:p>
    <w:p>
      <w:pPr>
        <w:spacing w:after="0" w:line="339"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5"/>
          <w:szCs w:val="15"/>
          <w:color w:val="auto"/>
        </w:rPr>
        <w:t>By: /s/ George S. Smith, Jr.</w:t>
      </w:r>
    </w:p>
    <w:p>
      <w:pPr>
        <w:ind w:left="3960"/>
        <w:spacing w:after="0"/>
        <w:rPr>
          <w:sz w:val="20"/>
          <w:szCs w:val="20"/>
          <w:color w:val="auto"/>
        </w:rPr>
      </w:pPr>
      <w:r>
        <w:rPr>
          <w:rFonts w:ascii="Courier New" w:cs="Courier New" w:eastAsia="Courier New" w:hAnsi="Courier New"/>
          <w:sz w:val="15"/>
          <w:szCs w:val="15"/>
          <w:color w:val="auto"/>
        </w:rPr>
        <w:t>----------------------------</w:t>
      </w:r>
    </w:p>
    <w:p>
      <w:pPr>
        <w:ind w:left="3960"/>
        <w:spacing w:after="0"/>
        <w:rPr>
          <w:sz w:val="20"/>
          <w:szCs w:val="20"/>
          <w:color w:val="auto"/>
        </w:rPr>
      </w:pPr>
      <w:r>
        <w:rPr>
          <w:rFonts w:ascii="Courier New" w:cs="Courier New" w:eastAsia="Courier New" w:hAnsi="Courier New"/>
          <w:sz w:val="15"/>
          <w:szCs w:val="15"/>
          <w:color w:val="auto"/>
        </w:rPr>
        <w:t>George S. Smith, Jr.</w:t>
      </w:r>
    </w:p>
    <w:p>
      <w:pPr>
        <w:ind w:left="3960"/>
        <w:spacing w:after="0" w:line="238" w:lineRule="auto"/>
        <w:rPr>
          <w:sz w:val="20"/>
          <w:szCs w:val="20"/>
          <w:color w:val="auto"/>
        </w:rPr>
      </w:pPr>
      <w:r>
        <w:rPr>
          <w:rFonts w:ascii="Courier New" w:cs="Courier New" w:eastAsia="Courier New" w:hAnsi="Courier New"/>
          <w:sz w:val="15"/>
          <w:szCs w:val="15"/>
          <w:color w:val="auto"/>
        </w:rPr>
        <w:t>Senior Vice President,</w:t>
      </w:r>
    </w:p>
    <w:p>
      <w:pPr>
        <w:ind w:left="3960"/>
        <w:spacing w:after="0"/>
        <w:rPr>
          <w:sz w:val="20"/>
          <w:szCs w:val="20"/>
          <w:color w:val="auto"/>
        </w:rPr>
      </w:pPr>
      <w:r>
        <w:rPr>
          <w:rFonts w:ascii="Courier New" w:cs="Courier New" w:eastAsia="Courier New" w:hAnsi="Courier New"/>
          <w:sz w:val="15"/>
          <w:szCs w:val="15"/>
          <w:color w:val="auto"/>
        </w:rPr>
        <w:t>Chief Financial Officer</w:t>
      </w:r>
    </w:p>
    <w:p>
      <w:pPr>
        <w:spacing w:after="0" w:line="338"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By: /s/ Susan C. Gordon</w:t>
      </w:r>
    </w:p>
    <w:p>
      <w:pPr>
        <w:ind w:left="3960"/>
        <w:spacing w:after="0"/>
        <w:rPr>
          <w:sz w:val="20"/>
          <w:szCs w:val="20"/>
          <w:color w:val="auto"/>
        </w:rPr>
      </w:pPr>
      <w:r>
        <w:rPr>
          <w:rFonts w:ascii="Courier New" w:cs="Courier New" w:eastAsia="Courier New" w:hAnsi="Courier New"/>
          <w:sz w:val="15"/>
          <w:szCs w:val="15"/>
          <w:color w:val="auto"/>
        </w:rPr>
        <w:t>-----------------------</w:t>
      </w:r>
    </w:p>
    <w:p>
      <w:pPr>
        <w:ind w:left="3960"/>
        <w:spacing w:after="0"/>
        <w:rPr>
          <w:sz w:val="20"/>
          <w:szCs w:val="20"/>
          <w:color w:val="auto"/>
        </w:rPr>
      </w:pPr>
      <w:r>
        <w:rPr>
          <w:rFonts w:ascii="Courier New" w:cs="Courier New" w:eastAsia="Courier New" w:hAnsi="Courier New"/>
          <w:sz w:val="15"/>
          <w:szCs w:val="15"/>
          <w:color w:val="auto"/>
        </w:rPr>
        <w:t>Susan C. Gordon</w:t>
      </w:r>
    </w:p>
    <w:p>
      <w:pPr>
        <w:ind w:left="3960"/>
        <w:spacing w:after="0" w:line="238" w:lineRule="auto"/>
        <w:rPr>
          <w:sz w:val="20"/>
          <w:szCs w:val="20"/>
          <w:color w:val="auto"/>
        </w:rPr>
      </w:pPr>
      <w:r>
        <w:rPr>
          <w:rFonts w:ascii="Courier New" w:cs="Courier New" w:eastAsia="Courier New" w:hAnsi="Courier New"/>
          <w:sz w:val="15"/>
          <w:szCs w:val="15"/>
          <w:color w:val="auto"/>
        </w:rPr>
        <w:t>Vice President, Controller,</w:t>
      </w:r>
    </w:p>
    <w:p>
      <w:pPr>
        <w:ind w:left="3960"/>
        <w:spacing w:after="0"/>
        <w:rPr>
          <w:sz w:val="20"/>
          <w:szCs w:val="20"/>
          <w:color w:val="auto"/>
        </w:rPr>
      </w:pPr>
      <w:r>
        <w:rPr>
          <w:rFonts w:ascii="Courier New" w:cs="Courier New" w:eastAsia="Courier New" w:hAnsi="Courier New"/>
          <w:sz w:val="15"/>
          <w:szCs w:val="15"/>
          <w:color w:val="auto"/>
        </w:rPr>
        <w:t>Chief Accounting Officer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II-16</w:t>
      </w:r>
    </w:p>
    <w:p>
      <w:pPr>
        <w:sectPr>
          <w:pgSz w:w="11900" w:h="16838" w:orient="portrait"/>
          <w:cols w:equalWidth="0" w:num="1">
            <w:col w:w="10219"/>
          </w:cols>
          <w:pgMar w:left="240" w:top="1440" w:right="1440" w:bottom="1440" w:gutter="0" w:footer="0" w:header="0"/>
        </w:sectPr>
      </w:pPr>
    </w:p>
    <w:bookmarkStart w:id="57" w:name="page58"/>
    <w:bookmarkEnd w:id="57"/>
    <w:p>
      <w:pPr>
        <w:ind w:left="10"/>
        <w:spacing w:after="0"/>
        <w:rPr>
          <w:sz w:val="20"/>
          <w:szCs w:val="20"/>
          <w:color w:val="auto"/>
        </w:rPr>
      </w:pPr>
      <w:r>
        <w:rPr>
          <w:rFonts w:ascii="Courier New" w:cs="Courier New" w:eastAsia="Courier New" w:hAnsi="Courier New"/>
          <w:sz w:val="15"/>
          <w:szCs w:val="15"/>
          <w:color w:val="auto"/>
        </w:rPr>
        <w:t>VIACOM INC. AND SUBSIDIARIES</w:t>
      </w:r>
    </w:p>
    <w:p>
      <w:pPr>
        <w:ind w:left="10"/>
        <w:spacing w:after="0"/>
        <w:rPr>
          <w:sz w:val="20"/>
          <w:szCs w:val="20"/>
          <w:color w:val="auto"/>
        </w:rPr>
      </w:pPr>
      <w:r>
        <w:rPr>
          <w:rFonts w:ascii="Courier New" w:cs="Courier New" w:eastAsia="Courier New" w:hAnsi="Courier New"/>
          <w:sz w:val="15"/>
          <w:szCs w:val="15"/>
          <w:color w:val="auto"/>
        </w:rPr>
        <w:t>CONSOLIDATED STATEMENTS OF OPERATIONS</w:t>
      </w:r>
    </w:p>
    <w:p>
      <w:pPr>
        <w:ind w:left="170" w:hanging="170"/>
        <w:spacing w:after="0"/>
        <w:tabs>
          <w:tab w:leader="none" w:pos="17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80" w:type="dxa"/>
            <w:vAlign w:val="bottom"/>
            <w:gridSpan w:val="5"/>
          </w:tcPr>
          <w:p>
            <w:pPr>
              <w:jc w:val="right"/>
              <w:ind w:right="46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4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80" w:type="dxa"/>
            <w:vAlign w:val="bottom"/>
            <w:gridSpan w:val="5"/>
          </w:tcPr>
          <w:p>
            <w:pPr>
              <w:jc w:val="right"/>
              <w:ind w:right="46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1995</w:t>
            </w:r>
          </w:p>
        </w:tc>
        <w:tc>
          <w:tcPr>
            <w:tcW w:w="400" w:type="dxa"/>
            <w:vAlign w:val="bottom"/>
          </w:tcPr>
          <w:p>
            <w:pPr>
              <w:spacing w:after="0"/>
              <w:rPr>
                <w:sz w:val="14"/>
                <w:szCs w:val="14"/>
                <w:color w:val="auto"/>
              </w:rPr>
            </w:pPr>
          </w:p>
        </w:tc>
        <w:tc>
          <w:tcPr>
            <w:tcW w:w="7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1994</w:t>
            </w:r>
          </w:p>
        </w:tc>
        <w:tc>
          <w:tcPr>
            <w:tcW w:w="40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4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w:t>
            </w:r>
          </w:p>
        </w:tc>
        <w:tc>
          <w:tcPr>
            <w:tcW w:w="40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509"/>
        </w:trPr>
        <w:tc>
          <w:tcPr>
            <w:tcW w:w="4400" w:type="dxa"/>
            <w:vAlign w:val="bottom"/>
          </w:tcPr>
          <w:p>
            <w:pPr>
              <w:ind w:left="160"/>
              <w:spacing w:after="0"/>
              <w:rPr>
                <w:sz w:val="20"/>
                <w:szCs w:val="20"/>
                <w:color w:val="auto"/>
              </w:rPr>
            </w:pPr>
            <w:r>
              <w:rPr>
                <w:rFonts w:ascii="Courier New" w:cs="Courier New" w:eastAsia="Courier New" w:hAnsi="Courier New"/>
                <w:sz w:val="15"/>
                <w:szCs w:val="15"/>
                <w:color w:val="auto"/>
              </w:rPr>
              <w:t>Revenues......................................</w:t>
            </w:r>
          </w:p>
        </w:tc>
        <w:tc>
          <w:tcPr>
            <w:tcW w:w="11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$11,688.7</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$7,363.2</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$2,004.9</w:t>
            </w:r>
          </w:p>
        </w:tc>
      </w:tr>
      <w:tr>
        <w:trPr>
          <w:trHeight w:val="339"/>
        </w:trPr>
        <w:tc>
          <w:tcPr>
            <w:tcW w:w="4400" w:type="dxa"/>
            <w:vAlign w:val="bottom"/>
          </w:tcPr>
          <w:p>
            <w:pPr>
              <w:ind w:left="160"/>
              <w:spacing w:after="0"/>
              <w:rPr>
                <w:sz w:val="20"/>
                <w:szCs w:val="20"/>
                <w:color w:val="auto"/>
              </w:rPr>
            </w:pPr>
            <w:r>
              <w:rPr>
                <w:rFonts w:ascii="Courier New" w:cs="Courier New" w:eastAsia="Courier New" w:hAnsi="Courier New"/>
                <w:sz w:val="15"/>
                <w:szCs w:val="15"/>
                <w:color w:val="auto"/>
              </w:rPr>
              <w:t>Expenses: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4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Operating....................................</w:t>
            </w:r>
          </w:p>
        </w:tc>
        <w:tc>
          <w:tcPr>
            <w:tcW w:w="2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7,072.7</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4,401.0</w:t>
            </w:r>
          </w:p>
        </w:tc>
        <w:tc>
          <w:tcPr>
            <w:tcW w:w="40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877.6</w:t>
            </w:r>
          </w:p>
        </w:tc>
      </w:tr>
      <w:tr>
        <w:trPr>
          <w:trHeight w:val="170"/>
        </w:trPr>
        <w:tc>
          <w:tcPr>
            <w:tcW w:w="4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Selling, general and administrative..........</w:t>
            </w:r>
          </w:p>
        </w:tc>
        <w:tc>
          <w:tcPr>
            <w:tcW w:w="2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2,302.3</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1,888.2</w:t>
            </w:r>
          </w:p>
        </w:tc>
        <w:tc>
          <w:tcPr>
            <w:tcW w:w="40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589.2</w:t>
            </w:r>
          </w:p>
        </w:tc>
      </w:tr>
      <w:tr>
        <w:trPr>
          <w:trHeight w:val="170"/>
        </w:trPr>
        <w:tc>
          <w:tcPr>
            <w:tcW w:w="4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820.4</w:t>
            </w:r>
          </w:p>
        </w:tc>
        <w:tc>
          <w:tcPr>
            <w:tcW w:w="40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465.7</w:t>
            </w:r>
          </w:p>
        </w:tc>
        <w:tc>
          <w:tcPr>
            <w:tcW w:w="40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153.1</w:t>
            </w:r>
          </w:p>
        </w:tc>
      </w:tr>
      <w:tr>
        <w:trPr>
          <w:trHeight w:val="170"/>
        </w:trPr>
        <w:tc>
          <w:tcPr>
            <w:tcW w:w="4400" w:type="dxa"/>
            <w:vAlign w:val="bottom"/>
          </w:tcPr>
          <w:p>
            <w:pPr>
              <w:spacing w:after="0"/>
              <w:rPr>
                <w:sz w:val="14"/>
                <w:szCs w:val="14"/>
                <w:color w:val="auto"/>
              </w:rPr>
            </w:pPr>
          </w:p>
        </w:tc>
        <w:tc>
          <w:tcPr>
            <w:tcW w:w="11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 expenses............................</w:t>
            </w:r>
          </w:p>
        </w:tc>
        <w:tc>
          <w:tcPr>
            <w:tcW w:w="11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10,195.4</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6,754.9</w:t>
            </w:r>
          </w:p>
        </w:tc>
        <w:tc>
          <w:tcPr>
            <w:tcW w:w="40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1"/>
              </w:rPr>
              <w:t>1,619.9</w:t>
            </w:r>
          </w:p>
        </w:tc>
      </w:tr>
      <w:tr>
        <w:trPr>
          <w:trHeight w:val="170"/>
        </w:trPr>
        <w:tc>
          <w:tcPr>
            <w:tcW w:w="4400" w:type="dxa"/>
            <w:vAlign w:val="bottom"/>
          </w:tcPr>
          <w:p>
            <w:pPr>
              <w:spacing w:after="0"/>
              <w:rPr>
                <w:sz w:val="14"/>
                <w:szCs w:val="14"/>
                <w:color w:val="auto"/>
              </w:rPr>
            </w:pPr>
          </w:p>
        </w:tc>
        <w:tc>
          <w:tcPr>
            <w:tcW w:w="11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Operating income..............................</w:t>
            </w:r>
          </w:p>
        </w:tc>
        <w:tc>
          <w:tcPr>
            <w:tcW w:w="2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1,493.3</w:t>
            </w:r>
          </w:p>
        </w:tc>
        <w:tc>
          <w:tcPr>
            <w:tcW w:w="40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608.3</w:t>
            </w:r>
          </w:p>
        </w:tc>
        <w:tc>
          <w:tcPr>
            <w:tcW w:w="40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385.0</w:t>
            </w:r>
          </w:p>
        </w:tc>
      </w:tr>
      <w:tr>
        <w:trPr>
          <w:trHeight w:val="339"/>
        </w:trPr>
        <w:tc>
          <w:tcPr>
            <w:tcW w:w="4400" w:type="dxa"/>
            <w:vAlign w:val="bottom"/>
          </w:tcPr>
          <w:p>
            <w:pPr>
              <w:ind w:left="160"/>
              <w:spacing w:after="0"/>
              <w:rPr>
                <w:sz w:val="20"/>
                <w:szCs w:val="20"/>
                <w:color w:val="auto"/>
              </w:rPr>
            </w:pPr>
            <w:r>
              <w:rPr>
                <w:rFonts w:ascii="Courier New" w:cs="Courier New" w:eastAsia="Courier New" w:hAnsi="Courier New"/>
                <w:sz w:val="15"/>
                <w:szCs w:val="15"/>
                <w:color w:val="auto"/>
              </w:rPr>
              <w:t>Other income (expense):</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4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Interest expense, net.......................</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(821.4)</w:t>
            </w:r>
          </w:p>
        </w:tc>
        <w:tc>
          <w:tcPr>
            <w:tcW w:w="40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(494.1)</w:t>
            </w: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(145.0)</w:t>
            </w:r>
          </w:p>
        </w:tc>
      </w:tr>
      <w:tr>
        <w:trPr>
          <w:trHeight w:val="170"/>
        </w:trPr>
        <w:tc>
          <w:tcPr>
            <w:tcW w:w="4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Other items, net (See Note 16)..............</w:t>
            </w:r>
          </w:p>
        </w:tc>
        <w:tc>
          <w:tcPr>
            <w:tcW w:w="2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17.3</w:t>
            </w:r>
          </w:p>
        </w:tc>
        <w:tc>
          <w:tcPr>
            <w:tcW w:w="40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262.5</w:t>
            </w:r>
          </w:p>
        </w:tc>
        <w:tc>
          <w:tcPr>
            <w:tcW w:w="40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61.8</w:t>
            </w:r>
          </w:p>
        </w:tc>
      </w:tr>
      <w:tr>
        <w:trPr>
          <w:trHeight w:val="170"/>
        </w:trPr>
        <w:tc>
          <w:tcPr>
            <w:tcW w:w="4400" w:type="dxa"/>
            <w:vAlign w:val="bottom"/>
          </w:tcPr>
          <w:p>
            <w:pPr>
              <w:spacing w:after="0"/>
              <w:rPr>
                <w:sz w:val="14"/>
                <w:szCs w:val="14"/>
                <w:color w:val="auto"/>
              </w:rPr>
            </w:pPr>
          </w:p>
        </w:tc>
        <w:tc>
          <w:tcPr>
            <w:tcW w:w="11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ind w:left="160"/>
              <w:spacing w:after="0"/>
              <w:rPr>
                <w:sz w:val="20"/>
                <w:szCs w:val="20"/>
                <w:color w:val="auto"/>
              </w:rPr>
            </w:pPr>
            <w:r>
              <w:rPr>
                <w:rFonts w:ascii="Courier New" w:cs="Courier New" w:eastAsia="Courier New" w:hAnsi="Courier New"/>
                <w:sz w:val="15"/>
                <w:szCs w:val="15"/>
                <w:color w:val="auto"/>
              </w:rPr>
              <w:t>Earnings from continuing operations before</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4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income taxes................................</w:t>
            </w:r>
          </w:p>
        </w:tc>
        <w:tc>
          <w:tcPr>
            <w:tcW w:w="2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689.2</w:t>
            </w:r>
          </w:p>
        </w:tc>
        <w:tc>
          <w:tcPr>
            <w:tcW w:w="40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376.7</w:t>
            </w:r>
          </w:p>
        </w:tc>
        <w:tc>
          <w:tcPr>
            <w:tcW w:w="40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301.8</w:t>
            </w:r>
          </w:p>
        </w:tc>
      </w:tr>
      <w:tr>
        <w:trPr>
          <w:trHeight w:val="339"/>
        </w:trPr>
        <w:tc>
          <w:tcPr>
            <w:tcW w:w="4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Provision for income taxes..................</w:t>
            </w:r>
          </w:p>
        </w:tc>
        <w:tc>
          <w:tcPr>
            <w:tcW w:w="26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(417.0)</w:t>
            </w:r>
          </w:p>
        </w:tc>
        <w:tc>
          <w:tcPr>
            <w:tcW w:w="400" w:type="dxa"/>
            <w:vAlign w:val="bottom"/>
          </w:tcPr>
          <w:p>
            <w:pPr>
              <w:spacing w:after="0"/>
              <w:rPr>
                <w:sz w:val="24"/>
                <w:szCs w:val="2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(279.7)</w:t>
            </w: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(129.8)</w:t>
            </w:r>
          </w:p>
        </w:tc>
      </w:tr>
      <w:tr>
        <w:trPr>
          <w:trHeight w:val="170"/>
        </w:trPr>
        <w:tc>
          <w:tcPr>
            <w:tcW w:w="4400" w:type="dxa"/>
            <w:vAlign w:val="bottom"/>
          </w:tcPr>
          <w:p>
            <w:pPr>
              <w:ind w:left="340"/>
              <w:spacing w:after="0"/>
              <w:rPr>
                <w:sz w:val="20"/>
                <w:szCs w:val="20"/>
                <w:color w:val="auto"/>
              </w:rPr>
            </w:pPr>
            <w:r>
              <w:rPr>
                <w:rFonts w:ascii="Courier New" w:cs="Courier New" w:eastAsia="Courier New" w:hAnsi="Courier New"/>
                <w:sz w:val="15"/>
                <w:szCs w:val="15"/>
                <w:color w:val="auto"/>
              </w:rPr>
              <w:t>Equity in earnings (loss) of affiliated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companies, net of tax.......................</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(53.9)</w:t>
            </w:r>
          </w:p>
        </w:tc>
        <w:tc>
          <w:tcPr>
            <w:tcW w:w="40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18.6</w:t>
            </w: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0"/>
        </w:trPr>
        <w:tc>
          <w:tcPr>
            <w:tcW w:w="4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Minority interest...........................</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w:t>
            </w:r>
          </w:p>
        </w:tc>
        <w:tc>
          <w:tcPr>
            <w:tcW w:w="40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14.9</w:t>
            </w:r>
          </w:p>
        </w:tc>
        <w:tc>
          <w:tcPr>
            <w:tcW w:w="40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14"/>
                <w:szCs w:val="14"/>
                <w:color w:val="auto"/>
              </w:rPr>
            </w:pPr>
          </w:p>
        </w:tc>
        <w:tc>
          <w:tcPr>
            <w:tcW w:w="1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Net earnings from continuing operations.......</w:t>
            </w:r>
          </w:p>
        </w:tc>
        <w:tc>
          <w:tcPr>
            <w:tcW w:w="2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214.9</w:t>
            </w:r>
          </w:p>
        </w:tc>
        <w:tc>
          <w:tcPr>
            <w:tcW w:w="40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130.5</w:t>
            </w:r>
          </w:p>
        </w:tc>
        <w:tc>
          <w:tcPr>
            <w:tcW w:w="40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169.5</w:t>
            </w:r>
          </w:p>
        </w:tc>
      </w:tr>
      <w:tr>
        <w:trPr>
          <w:trHeight w:val="170"/>
        </w:trPr>
        <w:tc>
          <w:tcPr>
            <w:tcW w:w="4400" w:type="dxa"/>
            <w:vAlign w:val="bottom"/>
          </w:tcPr>
          <w:p>
            <w:pPr>
              <w:ind w:left="340"/>
              <w:spacing w:after="0"/>
              <w:rPr>
                <w:sz w:val="20"/>
                <w:szCs w:val="20"/>
                <w:color w:val="auto"/>
              </w:rPr>
            </w:pPr>
            <w:r>
              <w:rPr>
                <w:rFonts w:ascii="Courier New" w:cs="Courier New" w:eastAsia="Courier New" w:hAnsi="Courier New"/>
                <w:sz w:val="15"/>
                <w:szCs w:val="15"/>
                <w:color w:val="auto"/>
                <w:w w:val="99"/>
              </w:rPr>
              <w:t>Earnings (loss) from discontinued operations,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of tax (See Note 4).....................</w:t>
            </w:r>
          </w:p>
        </w:tc>
        <w:tc>
          <w:tcPr>
            <w:tcW w:w="2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7.6</w:t>
            </w:r>
          </w:p>
        </w:tc>
        <w:tc>
          <w:tcPr>
            <w:tcW w:w="40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(20.5)</w:t>
            </w:r>
          </w:p>
        </w:tc>
        <w:tc>
          <w:tcPr>
            <w:tcW w:w="40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14"/>
                <w:szCs w:val="14"/>
                <w:color w:val="auto"/>
              </w:rPr>
            </w:pPr>
          </w:p>
        </w:tc>
        <w:tc>
          <w:tcPr>
            <w:tcW w:w="11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ind w:left="160"/>
              <w:spacing w:after="0"/>
              <w:rPr>
                <w:sz w:val="20"/>
                <w:szCs w:val="20"/>
                <w:color w:val="auto"/>
              </w:rPr>
            </w:pPr>
            <w:r>
              <w:rPr>
                <w:rFonts w:ascii="Courier New" w:cs="Courier New" w:eastAsia="Courier New" w:hAnsi="Courier New"/>
                <w:sz w:val="15"/>
                <w:szCs w:val="15"/>
                <w:color w:val="auto"/>
              </w:rPr>
              <w:t>Earnings before extraordinary loss and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4400" w:type="dxa"/>
            <w:vAlign w:val="bottom"/>
          </w:tcPr>
          <w:p>
            <w:pPr>
              <w:ind w:left="340"/>
              <w:spacing w:after="0"/>
              <w:rPr>
                <w:sz w:val="20"/>
                <w:szCs w:val="20"/>
                <w:color w:val="auto"/>
              </w:rPr>
            </w:pPr>
            <w:r>
              <w:rPr>
                <w:rFonts w:ascii="Courier New" w:cs="Courier New" w:eastAsia="Courier New" w:hAnsi="Courier New"/>
                <w:sz w:val="15"/>
                <w:szCs w:val="15"/>
                <w:color w:val="auto"/>
              </w:rPr>
              <w:t>cumulative effect of change in accounting</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4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principle...................................</w:t>
            </w:r>
          </w:p>
        </w:tc>
        <w:tc>
          <w:tcPr>
            <w:tcW w:w="2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222.5</w:t>
            </w:r>
          </w:p>
        </w:tc>
        <w:tc>
          <w:tcPr>
            <w:tcW w:w="40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110.0</w:t>
            </w:r>
          </w:p>
        </w:tc>
        <w:tc>
          <w:tcPr>
            <w:tcW w:w="40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169.5</w:t>
            </w:r>
          </w:p>
        </w:tc>
      </w:tr>
      <w:tr>
        <w:trPr>
          <w:trHeight w:val="170"/>
        </w:trPr>
        <w:tc>
          <w:tcPr>
            <w:tcW w:w="4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Extraordinary loss, net of tax (See Note 7).</w:t>
            </w:r>
          </w:p>
        </w:tc>
        <w:tc>
          <w:tcPr>
            <w:tcW w:w="2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(20.4)</w:t>
            </w: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(8.9)</w:t>
            </w:r>
          </w:p>
        </w:tc>
      </w:tr>
      <w:tr>
        <w:trPr>
          <w:trHeight w:val="170"/>
        </w:trPr>
        <w:tc>
          <w:tcPr>
            <w:tcW w:w="4400" w:type="dxa"/>
            <w:vAlign w:val="bottom"/>
          </w:tcPr>
          <w:p>
            <w:pPr>
              <w:ind w:left="340"/>
              <w:spacing w:after="0"/>
              <w:rPr>
                <w:sz w:val="20"/>
                <w:szCs w:val="20"/>
                <w:color w:val="auto"/>
              </w:rPr>
            </w:pPr>
            <w:r>
              <w:rPr>
                <w:rFonts w:ascii="Courier New" w:cs="Courier New" w:eastAsia="Courier New" w:hAnsi="Courier New"/>
                <w:sz w:val="15"/>
                <w:szCs w:val="15"/>
                <w:color w:val="auto"/>
              </w:rPr>
              <w:t>Cumulative effect of change in accounting</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4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principle...................................</w:t>
            </w:r>
          </w:p>
        </w:tc>
        <w:tc>
          <w:tcPr>
            <w:tcW w:w="2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10.4</w:t>
            </w:r>
          </w:p>
        </w:tc>
      </w:tr>
      <w:tr>
        <w:trPr>
          <w:trHeight w:val="170"/>
        </w:trPr>
        <w:tc>
          <w:tcPr>
            <w:tcW w:w="4400" w:type="dxa"/>
            <w:vAlign w:val="bottom"/>
          </w:tcPr>
          <w:p>
            <w:pPr>
              <w:spacing w:after="0"/>
              <w:rPr>
                <w:sz w:val="14"/>
                <w:szCs w:val="14"/>
                <w:color w:val="auto"/>
              </w:rPr>
            </w:pPr>
          </w:p>
        </w:tc>
        <w:tc>
          <w:tcPr>
            <w:tcW w:w="11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Net earnings..................................</w:t>
            </w:r>
          </w:p>
        </w:tc>
        <w:tc>
          <w:tcPr>
            <w:tcW w:w="26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222.5</w:t>
            </w:r>
          </w:p>
        </w:tc>
        <w:tc>
          <w:tcPr>
            <w:tcW w:w="400" w:type="dxa"/>
            <w:vAlign w:val="bottom"/>
          </w:tcPr>
          <w:p>
            <w:pPr>
              <w:spacing w:after="0"/>
              <w:rPr>
                <w:sz w:val="24"/>
                <w:szCs w:val="2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89.6</w:t>
            </w:r>
          </w:p>
        </w:tc>
        <w:tc>
          <w:tcPr>
            <w:tcW w:w="40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171.0</w:t>
            </w:r>
          </w:p>
        </w:tc>
      </w:tr>
      <w:tr>
        <w:trPr>
          <w:trHeight w:val="339"/>
        </w:trPr>
        <w:tc>
          <w:tcPr>
            <w:tcW w:w="44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Cumulative convertible preferred stock</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4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dividend requirement.......................</w:t>
            </w:r>
          </w:p>
        </w:tc>
        <w:tc>
          <w:tcPr>
            <w:tcW w:w="2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60.0</w:t>
            </w:r>
          </w:p>
        </w:tc>
        <w:tc>
          <w:tcPr>
            <w:tcW w:w="40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75.0</w:t>
            </w:r>
          </w:p>
        </w:tc>
        <w:tc>
          <w:tcPr>
            <w:tcW w:w="40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12.8</w:t>
            </w:r>
          </w:p>
        </w:tc>
      </w:tr>
      <w:tr>
        <w:trPr>
          <w:trHeight w:val="170"/>
        </w:trPr>
        <w:tc>
          <w:tcPr>
            <w:tcW w:w="4400" w:type="dxa"/>
            <w:vAlign w:val="bottom"/>
          </w:tcPr>
          <w:p>
            <w:pPr>
              <w:spacing w:after="0"/>
              <w:rPr>
                <w:sz w:val="14"/>
                <w:szCs w:val="14"/>
                <w:color w:val="auto"/>
              </w:rPr>
            </w:pPr>
          </w:p>
        </w:tc>
        <w:tc>
          <w:tcPr>
            <w:tcW w:w="11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Net earnings attributable to common stock.....</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162.5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158.2</w:t>
            </w:r>
          </w:p>
        </w:tc>
      </w:tr>
      <w:tr>
        <w:trPr>
          <w:trHeight w:val="170"/>
        </w:trPr>
        <w:tc>
          <w:tcPr>
            <w:tcW w:w="4400" w:type="dxa"/>
            <w:vAlign w:val="bottom"/>
          </w:tcPr>
          <w:p>
            <w:pPr>
              <w:spacing w:after="0"/>
              <w:rPr>
                <w:sz w:val="14"/>
                <w:szCs w:val="14"/>
                <w:color w:val="auto"/>
              </w:rPr>
            </w:pPr>
          </w:p>
        </w:tc>
        <w:tc>
          <w:tcPr>
            <w:tcW w:w="11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5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Primary and fully diluted net earnings per common share:</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4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Net earnings from continuing operations..</w:t>
            </w:r>
          </w:p>
        </w:tc>
        <w:tc>
          <w:tcPr>
            <w:tcW w:w="2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.41</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1.30</w:t>
            </w:r>
          </w:p>
        </w:tc>
      </w:tr>
      <w:tr>
        <w:trPr>
          <w:trHeight w:val="170"/>
        </w:trPr>
        <w:tc>
          <w:tcPr>
            <w:tcW w:w="4400" w:type="dxa"/>
            <w:vAlign w:val="bottom"/>
          </w:tcPr>
          <w:p>
            <w:pPr>
              <w:ind w:left="520"/>
              <w:spacing w:after="0"/>
              <w:rPr>
                <w:sz w:val="20"/>
                <w:szCs w:val="20"/>
                <w:color w:val="auto"/>
              </w:rPr>
            </w:pPr>
            <w:r>
              <w:rPr>
                <w:rFonts w:ascii="Courier New" w:cs="Courier New" w:eastAsia="Courier New" w:hAnsi="Courier New"/>
                <w:sz w:val="15"/>
                <w:szCs w:val="15"/>
                <w:color w:val="auto"/>
              </w:rPr>
              <w:t>Earnings (loss) from discontinued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4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operations, net of tax.................</w:t>
            </w:r>
          </w:p>
        </w:tc>
        <w:tc>
          <w:tcPr>
            <w:tcW w:w="2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.02</w:t>
            </w:r>
          </w:p>
        </w:tc>
        <w:tc>
          <w:tcPr>
            <w:tcW w:w="40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(.09)</w:t>
            </w:r>
          </w:p>
        </w:tc>
        <w:tc>
          <w:tcPr>
            <w:tcW w:w="40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Extraordinary loss, net of tax...........</w:t>
            </w:r>
          </w:p>
        </w:tc>
        <w:tc>
          <w:tcPr>
            <w:tcW w:w="2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(.09)</w:t>
            </w: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r>
      <w:tr>
        <w:trPr>
          <w:trHeight w:val="170"/>
        </w:trPr>
        <w:tc>
          <w:tcPr>
            <w:tcW w:w="4400" w:type="dxa"/>
            <w:vAlign w:val="bottom"/>
          </w:tcPr>
          <w:p>
            <w:pPr>
              <w:ind w:left="520"/>
              <w:spacing w:after="0"/>
              <w:rPr>
                <w:sz w:val="20"/>
                <w:szCs w:val="20"/>
                <w:color w:val="auto"/>
              </w:rPr>
            </w:pPr>
            <w:r>
              <w:rPr>
                <w:rFonts w:ascii="Courier New" w:cs="Courier New" w:eastAsia="Courier New" w:hAnsi="Courier New"/>
                <w:sz w:val="15"/>
                <w:szCs w:val="15"/>
                <w:color w:val="auto"/>
              </w:rPr>
              <w:t>Cumulative effect of change in</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4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accounting principle...................</w:t>
            </w:r>
          </w:p>
        </w:tc>
        <w:tc>
          <w:tcPr>
            <w:tcW w:w="2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.08</w:t>
            </w:r>
          </w:p>
        </w:tc>
      </w:tr>
      <w:tr>
        <w:trPr>
          <w:trHeight w:val="170"/>
        </w:trPr>
        <w:tc>
          <w:tcPr>
            <w:tcW w:w="4400" w:type="dxa"/>
            <w:vAlign w:val="bottom"/>
          </w:tcPr>
          <w:p>
            <w:pPr>
              <w:spacing w:after="0"/>
              <w:rPr>
                <w:sz w:val="14"/>
                <w:szCs w:val="14"/>
                <w:color w:val="auto"/>
              </w:rPr>
            </w:pPr>
          </w:p>
        </w:tc>
        <w:tc>
          <w:tcPr>
            <w:tcW w:w="11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Net earnings.............................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.43</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1.31</w:t>
            </w:r>
          </w:p>
        </w:tc>
      </w:tr>
      <w:tr>
        <w:trPr>
          <w:trHeight w:val="170"/>
        </w:trPr>
        <w:tc>
          <w:tcPr>
            <w:tcW w:w="4400" w:type="dxa"/>
            <w:vAlign w:val="bottom"/>
          </w:tcPr>
          <w:p>
            <w:pPr>
              <w:spacing w:after="0"/>
              <w:rPr>
                <w:sz w:val="14"/>
                <w:szCs w:val="14"/>
                <w:color w:val="auto"/>
              </w:rPr>
            </w:pPr>
          </w:p>
        </w:tc>
        <w:tc>
          <w:tcPr>
            <w:tcW w:w="11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40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6"/>
              </w:rPr>
              <w:t>Weighted average number of common shares and</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4400" w:type="dxa"/>
            <w:vAlign w:val="bottom"/>
          </w:tcPr>
          <w:p>
            <w:pPr>
              <w:ind w:left="160"/>
              <w:spacing w:after="0"/>
              <w:rPr>
                <w:sz w:val="20"/>
                <w:szCs w:val="20"/>
                <w:color w:val="auto"/>
              </w:rPr>
            </w:pPr>
            <w:r>
              <w:rPr>
                <w:rFonts w:ascii="Courier New" w:cs="Courier New" w:eastAsia="Courier New" w:hAnsi="Courier New"/>
                <w:sz w:val="15"/>
                <w:szCs w:val="15"/>
                <w:color w:val="auto"/>
              </w:rPr>
              <w:t>common share equivalents: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4400" w:type="dxa"/>
            <w:vAlign w:val="bottom"/>
          </w:tcPr>
          <w:p>
            <w:pPr>
              <w:ind w:left="160"/>
              <w:spacing w:after="0"/>
              <w:rPr>
                <w:sz w:val="20"/>
                <w:szCs w:val="20"/>
                <w:color w:val="auto"/>
              </w:rPr>
            </w:pPr>
            <w:r>
              <w:rPr>
                <w:rFonts w:ascii="Courier New" w:cs="Courier New" w:eastAsia="Courier New" w:hAnsi="Courier New"/>
                <w:sz w:val="15"/>
                <w:szCs w:val="15"/>
                <w:color w:val="auto"/>
              </w:rPr>
              <w:t>Primary......................................</w:t>
            </w:r>
          </w:p>
        </w:tc>
        <w:tc>
          <w:tcPr>
            <w:tcW w:w="2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375.1</w:t>
            </w:r>
          </w:p>
        </w:tc>
        <w:tc>
          <w:tcPr>
            <w:tcW w:w="40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220.0</w:t>
            </w:r>
          </w:p>
        </w:tc>
        <w:tc>
          <w:tcPr>
            <w:tcW w:w="40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120.6</w:t>
            </w:r>
          </w:p>
        </w:tc>
      </w:tr>
      <w:tr>
        <w:trPr>
          <w:trHeight w:val="170"/>
        </w:trPr>
        <w:tc>
          <w:tcPr>
            <w:tcW w:w="4400" w:type="dxa"/>
            <w:vAlign w:val="bottom"/>
          </w:tcPr>
          <w:p>
            <w:pPr>
              <w:ind w:left="160"/>
              <w:spacing w:after="0"/>
              <w:rPr>
                <w:sz w:val="20"/>
                <w:szCs w:val="20"/>
                <w:color w:val="auto"/>
              </w:rPr>
            </w:pPr>
            <w:r>
              <w:rPr>
                <w:rFonts w:ascii="Courier New" w:cs="Courier New" w:eastAsia="Courier New" w:hAnsi="Courier New"/>
                <w:sz w:val="15"/>
                <w:szCs w:val="15"/>
                <w:color w:val="auto"/>
              </w:rPr>
              <w:t>Fully diluted................................</w:t>
            </w:r>
          </w:p>
        </w:tc>
        <w:tc>
          <w:tcPr>
            <w:tcW w:w="2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375.5</w:t>
            </w:r>
          </w:p>
        </w:tc>
        <w:tc>
          <w:tcPr>
            <w:tcW w:w="40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220.4</w:t>
            </w:r>
          </w:p>
        </w:tc>
        <w:tc>
          <w:tcPr>
            <w:tcW w:w="40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II-17</w:t>
      </w:r>
    </w:p>
    <w:p>
      <w:pPr>
        <w:sectPr>
          <w:pgSz w:w="11900" w:h="16838" w:orient="portrait"/>
          <w:cols w:equalWidth="0" w:num="1">
            <w:col w:w="10229"/>
          </w:cols>
          <w:pgMar w:left="230" w:top="791" w:right="1440" w:bottom="735" w:gutter="0" w:footer="0" w:header="0"/>
        </w:sectPr>
      </w:pPr>
    </w:p>
    <w:bookmarkStart w:id="58" w:name="page59"/>
    <w:bookmarkEnd w:id="58"/>
    <w:p>
      <w:pPr>
        <w:spacing w:after="0"/>
        <w:rPr>
          <w:sz w:val="20"/>
          <w:szCs w:val="20"/>
          <w:color w:val="auto"/>
        </w:rPr>
      </w:pPr>
      <w:r>
        <w:rPr>
          <w:rFonts w:ascii="Courier New" w:cs="Courier New" w:eastAsia="Courier New" w:hAnsi="Courier New"/>
          <w:sz w:val="15"/>
          <w:szCs w:val="15"/>
          <w:color w:val="auto"/>
        </w:rPr>
        <w:t>VIACOM INC. AND SUBSIDIARIES</w:t>
      </w:r>
    </w:p>
    <w:p>
      <w:pPr>
        <w:spacing w:after="0"/>
        <w:rPr>
          <w:sz w:val="20"/>
          <w:szCs w:val="20"/>
          <w:color w:val="auto"/>
        </w:rPr>
      </w:pPr>
      <w:r>
        <w:rPr>
          <w:rFonts w:ascii="Courier New" w:cs="Courier New" w:eastAsia="Courier New" w:hAnsi="Courier New"/>
          <w:sz w:val="15"/>
          <w:szCs w:val="15"/>
          <w:color w:val="auto"/>
        </w:rPr>
        <w:t>CONSOLIDATED BALANCE SHEETS</w:t>
      </w:r>
    </w:p>
    <w:p>
      <w:pPr>
        <w:spacing w:after="0"/>
        <w:rPr>
          <w:sz w:val="20"/>
          <w:szCs w:val="20"/>
          <w:color w:val="auto"/>
        </w:rPr>
      </w:pPr>
      <w:r>
        <w:rPr>
          <w:rFonts w:ascii="Courier New" w:cs="Courier New" w:eastAsia="Courier New" w:hAnsi="Courier New"/>
          <w:sz w:val="15"/>
          <w:szCs w:val="15"/>
          <w:color w:val="auto"/>
        </w:rPr>
        <w:t>- ---------------------------</w:t>
      </w:r>
    </w:p>
    <w:p>
      <w:pPr>
        <w:spacing w:after="0" w:line="238" w:lineRule="auto"/>
        <w:rPr>
          <w:sz w:val="20"/>
          <w:szCs w:val="20"/>
          <w:color w:val="auto"/>
        </w:rPr>
      </w:pPr>
      <w:r>
        <w:rPr>
          <w:rFonts w:ascii="Courier New" w:cs="Courier New" w:eastAsia="Courier New" w:hAnsi="Courier New"/>
          <w:sz w:val="15"/>
          <w:szCs w:val="15"/>
          <w:color w:val="auto"/>
        </w:rPr>
        <w:t>(in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8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8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1995</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8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9"/>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47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Cash and cash equivalents.........................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464.1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597.7</w:t>
            </w:r>
          </w:p>
        </w:tc>
      </w:tr>
      <w:tr>
        <w:trPr>
          <w:trHeight w:val="170"/>
        </w:trPr>
        <w:tc>
          <w:tcPr>
            <w:tcW w:w="47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Receivables, less allowances of $126.0 (1995) and</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$75.8</w:t>
            </w:r>
          </w:p>
        </w:tc>
        <w:tc>
          <w:tcPr>
            <w:tcW w:w="3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(1994)....................................</w:t>
            </w:r>
          </w:p>
        </w:tc>
        <w:tc>
          <w:tcPr>
            <w:tcW w:w="26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1,872.4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1,638.8</w:t>
            </w:r>
          </w:p>
        </w:tc>
      </w:tr>
      <w:tr>
        <w:trPr>
          <w:trHeight w:val="170"/>
        </w:trPr>
        <w:tc>
          <w:tcPr>
            <w:tcW w:w="47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Inventory (See Note 5)............................</w:t>
            </w:r>
          </w:p>
        </w:tc>
        <w:tc>
          <w:tcPr>
            <w:tcW w:w="26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903.1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830.9</w:t>
            </w:r>
          </w:p>
        </w:tc>
      </w:tr>
      <w:tr>
        <w:trPr>
          <w:trHeight w:val="170"/>
        </w:trPr>
        <w:tc>
          <w:tcPr>
            <w:tcW w:w="47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Theatrical and television inventory (See Note 5)..</w:t>
            </w:r>
          </w:p>
        </w:tc>
        <w:tc>
          <w:tcPr>
            <w:tcW w:w="26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1,275.0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986.9</w:t>
            </w:r>
          </w:p>
        </w:tc>
      </w:tr>
      <w:tr>
        <w:trPr>
          <w:trHeight w:val="170"/>
        </w:trPr>
        <w:tc>
          <w:tcPr>
            <w:tcW w:w="47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Other current assets..............................</w:t>
            </w:r>
          </w:p>
        </w:tc>
        <w:tc>
          <w:tcPr>
            <w:tcW w:w="26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684.4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503.5</w:t>
            </w:r>
          </w:p>
        </w:tc>
      </w:tr>
      <w:tr>
        <w:trPr>
          <w:trHeight w:val="170"/>
        </w:trPr>
        <w:tc>
          <w:tcPr>
            <w:tcW w:w="47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Net assets of discontinued operations (See Note 4)</w:t>
            </w:r>
          </w:p>
        </w:tc>
        <w:tc>
          <w:tcPr>
            <w:tcW w:w="26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697.4</w:t>
            </w:r>
          </w:p>
        </w:tc>
      </w:tr>
      <w:tr>
        <w:trPr>
          <w:trHeight w:val="170"/>
        </w:trPr>
        <w:tc>
          <w:tcPr>
            <w:tcW w:w="8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7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7"/>
              </w:rPr>
              <w:t>Total current assets................................</w:t>
            </w:r>
          </w:p>
        </w:tc>
        <w:tc>
          <w:tcPr>
            <w:tcW w:w="26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5,199.0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5,255.2</w:t>
            </w:r>
          </w:p>
        </w:tc>
      </w:tr>
      <w:tr>
        <w:trPr>
          <w:trHeight w:val="339"/>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Property and Equipment:</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47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Land..............................................</w:t>
            </w:r>
          </w:p>
        </w:tc>
        <w:tc>
          <w:tcPr>
            <w:tcW w:w="26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477.6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470.3</w:t>
            </w:r>
          </w:p>
        </w:tc>
      </w:tr>
      <w:tr>
        <w:trPr>
          <w:trHeight w:val="170"/>
        </w:trPr>
        <w:tc>
          <w:tcPr>
            <w:tcW w:w="47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Buildings.........................................</w:t>
            </w:r>
          </w:p>
        </w:tc>
        <w:tc>
          <w:tcPr>
            <w:tcW w:w="26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1,161.7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798.8</w:t>
            </w:r>
          </w:p>
        </w:tc>
      </w:tr>
      <w:tr>
        <w:trPr>
          <w:trHeight w:val="170"/>
        </w:trPr>
        <w:tc>
          <w:tcPr>
            <w:tcW w:w="47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Cable television systems..........................</w:t>
            </w:r>
          </w:p>
        </w:tc>
        <w:tc>
          <w:tcPr>
            <w:tcW w:w="26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539.8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465.4</w:t>
            </w:r>
          </w:p>
        </w:tc>
      </w:tr>
      <w:tr>
        <w:trPr>
          <w:trHeight w:val="170"/>
        </w:trPr>
        <w:tc>
          <w:tcPr>
            <w:tcW w:w="47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Equipment and other...............................</w:t>
            </w:r>
          </w:p>
        </w:tc>
        <w:tc>
          <w:tcPr>
            <w:tcW w:w="26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1,795.6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1,365.1</w:t>
            </w:r>
          </w:p>
        </w:tc>
      </w:tr>
      <w:tr>
        <w:trPr>
          <w:trHeight w:val="170"/>
        </w:trPr>
        <w:tc>
          <w:tcPr>
            <w:tcW w:w="8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8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3,974.7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3,099.6</w:t>
            </w:r>
          </w:p>
        </w:tc>
      </w:tr>
      <w:tr>
        <w:trPr>
          <w:trHeight w:val="170"/>
        </w:trPr>
        <w:tc>
          <w:tcPr>
            <w:tcW w:w="47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26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756.8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516.5</w:t>
            </w:r>
          </w:p>
        </w:tc>
      </w:tr>
      <w:tr>
        <w:trPr>
          <w:trHeight w:val="170"/>
        </w:trPr>
        <w:tc>
          <w:tcPr>
            <w:tcW w:w="8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7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Net property and equipment......................</w:t>
            </w:r>
          </w:p>
        </w:tc>
        <w:tc>
          <w:tcPr>
            <w:tcW w:w="26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3,217.9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2,583.1</w:t>
            </w:r>
          </w:p>
        </w:tc>
      </w:tr>
      <w:tr>
        <w:trPr>
          <w:trHeight w:val="170"/>
        </w:trPr>
        <w:tc>
          <w:tcPr>
            <w:tcW w:w="8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7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7"/>
              </w:rPr>
              <w:t>Inventory (See Note 5)..............................</w:t>
            </w:r>
          </w:p>
        </w:tc>
        <w:tc>
          <w:tcPr>
            <w:tcW w:w="26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2,271.5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1,944.5</w:t>
            </w:r>
          </w:p>
        </w:tc>
      </w:tr>
      <w:tr>
        <w:trPr>
          <w:trHeight w:val="339"/>
        </w:trPr>
        <w:tc>
          <w:tcPr>
            <w:tcW w:w="47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7"/>
              </w:rPr>
              <w:t>Intangibles, at amortized cost......................</w:t>
            </w:r>
          </w:p>
        </w:tc>
        <w:tc>
          <w:tcPr>
            <w:tcW w:w="26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16,153.2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16,111.7</w:t>
            </w:r>
          </w:p>
        </w:tc>
      </w:tr>
      <w:tr>
        <w:trPr>
          <w:trHeight w:val="339"/>
        </w:trPr>
        <w:tc>
          <w:tcPr>
            <w:tcW w:w="47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7"/>
              </w:rPr>
              <w:t>Other assets........................................</w:t>
            </w:r>
          </w:p>
        </w:tc>
        <w:tc>
          <w:tcPr>
            <w:tcW w:w="26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2,184.4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2,379.2</w:t>
            </w:r>
          </w:p>
        </w:tc>
      </w:tr>
      <w:tr>
        <w:trPr>
          <w:trHeight w:val="170"/>
        </w:trPr>
        <w:tc>
          <w:tcPr>
            <w:tcW w:w="8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8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29,026.0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$28,273.7</w:t>
            </w:r>
          </w:p>
        </w:tc>
      </w:tr>
      <w:tr>
        <w:trPr>
          <w:trHeight w:val="170"/>
        </w:trPr>
        <w:tc>
          <w:tcPr>
            <w:tcW w:w="8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II-18</w:t>
      </w:r>
    </w:p>
    <w:p>
      <w:pPr>
        <w:sectPr>
          <w:pgSz w:w="11900" w:h="16838" w:orient="portrait"/>
          <w:cols w:equalWidth="0" w:num="1">
            <w:col w:w="10219"/>
          </w:cols>
          <w:pgMar w:left="240" w:top="1130"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5"/>
          <w:szCs w:val="15"/>
          <w:color w:val="auto"/>
        </w:rPr>
        <w:t>VIACOM INC. AND SUBSIDIARIES</w:t>
      </w:r>
    </w:p>
    <w:p>
      <w:pPr>
        <w:spacing w:after="0"/>
        <w:rPr>
          <w:sz w:val="20"/>
          <w:szCs w:val="20"/>
          <w:color w:val="auto"/>
        </w:rPr>
      </w:pPr>
      <w:r>
        <w:rPr>
          <w:rFonts w:ascii="Courier New" w:cs="Courier New" w:eastAsia="Courier New" w:hAnsi="Courier New"/>
          <w:sz w:val="15"/>
          <w:szCs w:val="15"/>
          <w:color w:val="auto"/>
        </w:rPr>
        <w:t>CONSOLIDATED BALANCE SHEETS</w:t>
      </w:r>
    </w:p>
    <w:p>
      <w:pPr>
        <w:spacing w:after="0"/>
        <w:rPr>
          <w:sz w:val="20"/>
          <w:szCs w:val="20"/>
          <w:color w:val="auto"/>
        </w:rPr>
      </w:pPr>
      <w:r>
        <w:rPr>
          <w:rFonts w:ascii="Courier New" w:cs="Courier New" w:eastAsia="Courier New" w:hAnsi="Courier New"/>
          <w:sz w:val="15"/>
          <w:szCs w:val="15"/>
          <w:color w:val="auto"/>
        </w:rPr>
        <w:t>- ---------------------------</w:t>
      </w:r>
    </w:p>
    <w:p>
      <w:pPr>
        <w:spacing w:after="0" w:line="238" w:lineRule="auto"/>
        <w:rPr>
          <w:sz w:val="20"/>
          <w:szCs w:val="20"/>
          <w:color w:val="auto"/>
        </w:rPr>
      </w:pPr>
      <w:r>
        <w:rPr>
          <w:rFonts w:ascii="Courier New" w:cs="Courier New" w:eastAsia="Courier New" w:hAnsi="Courier New"/>
          <w:sz w:val="15"/>
          <w:szCs w:val="15"/>
          <w:color w:val="auto"/>
        </w:rPr>
        <w:t>(in millions, except per share amounts)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5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1995</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5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542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9"/>
        </w:trPr>
        <w:tc>
          <w:tcPr>
            <w:tcW w:w="54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5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Accounts payable.....................................</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788.8</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770.9</w:t>
            </w:r>
          </w:p>
        </w:tc>
      </w:tr>
      <w:tr>
        <w:trPr>
          <w:trHeight w:val="170"/>
        </w:trPr>
        <w:tc>
          <w:tcPr>
            <w:tcW w:w="5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Accrued interest.....................................</w:t>
            </w:r>
          </w:p>
        </w:tc>
        <w:tc>
          <w:tcPr>
            <w:tcW w:w="2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149.8</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234.9</w:t>
            </w:r>
          </w:p>
        </w:tc>
      </w:tr>
      <w:tr>
        <w:trPr>
          <w:trHeight w:val="170"/>
        </w:trPr>
        <w:tc>
          <w:tcPr>
            <w:tcW w:w="5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Deferred income......................................</w:t>
            </w:r>
          </w:p>
        </w:tc>
        <w:tc>
          <w:tcPr>
            <w:tcW w:w="2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243.5</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250.9</w:t>
            </w:r>
          </w:p>
        </w:tc>
      </w:tr>
      <w:tr>
        <w:trPr>
          <w:trHeight w:val="170"/>
        </w:trPr>
        <w:tc>
          <w:tcPr>
            <w:tcW w:w="5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Merger consideration payable.........................</w:t>
            </w:r>
          </w:p>
        </w:tc>
        <w:tc>
          <w:tcPr>
            <w:tcW w:w="2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167.4</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261.7</w:t>
            </w:r>
          </w:p>
        </w:tc>
      </w:tr>
      <w:tr>
        <w:trPr>
          <w:trHeight w:val="170"/>
        </w:trPr>
        <w:tc>
          <w:tcPr>
            <w:tcW w:w="5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Accrued compensation ................................</w:t>
            </w:r>
          </w:p>
        </w:tc>
        <w:tc>
          <w:tcPr>
            <w:tcW w:w="2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449.4</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340.6</w:t>
            </w:r>
          </w:p>
        </w:tc>
      </w:tr>
      <w:tr>
        <w:trPr>
          <w:trHeight w:val="170"/>
        </w:trPr>
        <w:tc>
          <w:tcPr>
            <w:tcW w:w="5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Other accrued expenses...............................</w:t>
            </w:r>
          </w:p>
        </w:tc>
        <w:tc>
          <w:tcPr>
            <w:tcW w:w="2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1,216.0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1,436.8</w:t>
            </w:r>
          </w:p>
        </w:tc>
      </w:tr>
      <w:tr>
        <w:trPr>
          <w:trHeight w:val="170"/>
        </w:trPr>
        <w:tc>
          <w:tcPr>
            <w:tcW w:w="5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Participants' share, residuals and royalties payable.</w:t>
            </w:r>
          </w:p>
        </w:tc>
        <w:tc>
          <w:tcPr>
            <w:tcW w:w="2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798.2</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630.0</w:t>
            </w:r>
          </w:p>
        </w:tc>
      </w:tr>
      <w:tr>
        <w:trPr>
          <w:trHeight w:val="170"/>
        </w:trPr>
        <w:tc>
          <w:tcPr>
            <w:tcW w:w="5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Program rights.......................................</w:t>
            </w:r>
          </w:p>
        </w:tc>
        <w:tc>
          <w:tcPr>
            <w:tcW w:w="2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240.4</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184.4</w:t>
            </w:r>
          </w:p>
        </w:tc>
      </w:tr>
      <w:tr>
        <w:trPr>
          <w:trHeight w:val="170"/>
        </w:trPr>
        <w:tc>
          <w:tcPr>
            <w:tcW w:w="5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Current portion of long-term debt....................</w:t>
            </w:r>
          </w:p>
        </w:tc>
        <w:tc>
          <w:tcPr>
            <w:tcW w:w="2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45.1</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21.0</w:t>
            </w:r>
          </w:p>
        </w:tc>
      </w:tr>
      <w:tr>
        <w:trPr>
          <w:trHeight w:val="170"/>
        </w:trPr>
        <w:tc>
          <w:tcPr>
            <w:tcW w:w="5420" w:type="dxa"/>
            <w:vAlign w:val="bottom"/>
          </w:tcPr>
          <w:p>
            <w:pPr>
              <w:spacing w:after="0"/>
              <w:rPr>
                <w:sz w:val="14"/>
                <w:szCs w:val="14"/>
                <w:color w:val="auto"/>
              </w:rPr>
            </w:pPr>
          </w:p>
        </w:tc>
        <w:tc>
          <w:tcPr>
            <w:tcW w:w="11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Total current liabilities.......................</w:t>
            </w:r>
          </w:p>
        </w:tc>
        <w:tc>
          <w:tcPr>
            <w:tcW w:w="2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4,098.6</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4,131.2</w:t>
            </w:r>
          </w:p>
        </w:tc>
      </w:tr>
      <w:tr>
        <w:trPr>
          <w:trHeight w:val="170"/>
        </w:trPr>
        <w:tc>
          <w:tcPr>
            <w:tcW w:w="5420" w:type="dxa"/>
            <w:vAlign w:val="bottom"/>
          </w:tcPr>
          <w:p>
            <w:pPr>
              <w:spacing w:after="0"/>
              <w:rPr>
                <w:sz w:val="14"/>
                <w:szCs w:val="14"/>
                <w:color w:val="auto"/>
              </w:rPr>
            </w:pPr>
          </w:p>
        </w:tc>
        <w:tc>
          <w:tcPr>
            <w:tcW w:w="11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4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7"/>
              </w:rPr>
              <w:t>Long-term debt (See Note 7)..............................</w:t>
            </w: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10,712.1</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10,402.4</w:t>
            </w:r>
          </w:p>
        </w:tc>
      </w:tr>
      <w:tr>
        <w:trPr>
          <w:trHeight w:val="170"/>
        </w:trPr>
        <w:tc>
          <w:tcPr>
            <w:tcW w:w="54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7"/>
              </w:rPr>
              <w:t>Other liabilities........................................</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2,121.5</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1,948.5</w:t>
            </w:r>
          </w:p>
        </w:tc>
      </w:tr>
      <w:tr>
        <w:trPr>
          <w:trHeight w:val="339"/>
        </w:trPr>
        <w:tc>
          <w:tcPr>
            <w:tcW w:w="542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(See Note 12)</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9"/>
        </w:trPr>
        <w:tc>
          <w:tcPr>
            <w:tcW w:w="54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5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Preferred Stock, par value $.01 per share; 200.0 shares</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420" w:type="dxa"/>
            <w:vAlign w:val="bottom"/>
          </w:tcPr>
          <w:p>
            <w:pPr>
              <w:ind w:left="340"/>
              <w:spacing w:after="0"/>
              <w:rPr>
                <w:sz w:val="20"/>
                <w:szCs w:val="20"/>
                <w:color w:val="auto"/>
              </w:rPr>
            </w:pPr>
            <w:r>
              <w:rPr>
                <w:rFonts w:ascii="Courier New" w:cs="Courier New" w:eastAsia="Courier New" w:hAnsi="Courier New"/>
                <w:sz w:val="15"/>
                <w:szCs w:val="15"/>
                <w:color w:val="auto"/>
                <w:w w:val="98"/>
              </w:rPr>
              <w:t>authorized; 24.0 (1995) and 24.0 (1994) shares issued and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outstanding .........................................</w:t>
            </w:r>
          </w:p>
        </w:tc>
        <w:tc>
          <w:tcPr>
            <w:tcW w:w="2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1,200.0</w:t>
            </w:r>
          </w:p>
        </w:tc>
      </w:tr>
      <w:tr>
        <w:trPr>
          <w:trHeight w:val="170"/>
        </w:trPr>
        <w:tc>
          <w:tcPr>
            <w:tcW w:w="54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Class A Common Stock, par value $.01 per share; 200.0</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shares authorized; 75.1 (1995) and 74.6 (1994) shares</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issued and outstanding...............................</w:t>
            </w:r>
          </w:p>
        </w:tc>
        <w:tc>
          <w:tcPr>
            <w:tcW w:w="2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0.8</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0.7</w:t>
            </w:r>
          </w:p>
        </w:tc>
      </w:tr>
      <w:tr>
        <w:trPr>
          <w:trHeight w:val="170"/>
        </w:trPr>
        <w:tc>
          <w:tcPr>
            <w:tcW w:w="5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Class B Common Stock, par value $.01 per share; 1,000.0</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420" w:type="dxa"/>
            <w:vAlign w:val="bottom"/>
          </w:tcPr>
          <w:p>
            <w:pPr>
              <w:ind w:left="340"/>
              <w:spacing w:after="0"/>
              <w:rPr>
                <w:sz w:val="20"/>
                <w:szCs w:val="20"/>
                <w:color w:val="auto"/>
              </w:rPr>
            </w:pPr>
            <w:r>
              <w:rPr>
                <w:rFonts w:ascii="Courier New" w:cs="Courier New" w:eastAsia="Courier New" w:hAnsi="Courier New"/>
                <w:sz w:val="15"/>
                <w:szCs w:val="15"/>
                <w:color w:val="auto"/>
              </w:rPr>
              <w:t>shares authorized; 294.6 (1995) and 284.1 (1994) shares</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issued and outstanding...............................</w:t>
            </w:r>
          </w:p>
        </w:tc>
        <w:tc>
          <w:tcPr>
            <w:tcW w:w="2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w:t>
            </w:r>
          </w:p>
        </w:tc>
      </w:tr>
      <w:tr>
        <w:trPr>
          <w:trHeight w:val="170"/>
        </w:trPr>
        <w:tc>
          <w:tcPr>
            <w:tcW w:w="5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Additional paid-in capital.............................</w:t>
            </w:r>
          </w:p>
        </w:tc>
        <w:tc>
          <w:tcPr>
            <w:tcW w:w="2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10,726.9</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10,579.5</w:t>
            </w:r>
          </w:p>
        </w:tc>
      </w:tr>
      <w:tr>
        <w:trPr>
          <w:trHeight w:val="170"/>
        </w:trPr>
        <w:tc>
          <w:tcPr>
            <w:tcW w:w="5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Retained earnings......................................</w:t>
            </w:r>
          </w:p>
        </w:tc>
        <w:tc>
          <w:tcPr>
            <w:tcW w:w="2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173.1</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w:t>
            </w:r>
          </w:p>
        </w:tc>
      </w:tr>
      <w:tr>
        <w:trPr>
          <w:trHeight w:val="170"/>
        </w:trPr>
        <w:tc>
          <w:tcPr>
            <w:tcW w:w="5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Cumulative translation adjustments.....................</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0"/>
        </w:trPr>
        <w:tc>
          <w:tcPr>
            <w:tcW w:w="5420" w:type="dxa"/>
            <w:vAlign w:val="bottom"/>
          </w:tcPr>
          <w:p>
            <w:pPr>
              <w:spacing w:after="0"/>
              <w:rPr>
                <w:sz w:val="14"/>
                <w:szCs w:val="14"/>
                <w:color w:val="auto"/>
              </w:rPr>
            </w:pPr>
          </w:p>
        </w:tc>
        <w:tc>
          <w:tcPr>
            <w:tcW w:w="11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Total shareholders' equity.............................</w:t>
            </w:r>
          </w:p>
        </w:tc>
        <w:tc>
          <w:tcPr>
            <w:tcW w:w="2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12,093.8</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11,791.6</w:t>
            </w:r>
          </w:p>
        </w:tc>
      </w:tr>
      <w:tr>
        <w:trPr>
          <w:trHeight w:val="170"/>
        </w:trPr>
        <w:tc>
          <w:tcPr>
            <w:tcW w:w="5420" w:type="dxa"/>
            <w:vAlign w:val="bottom"/>
          </w:tcPr>
          <w:p>
            <w:pPr>
              <w:spacing w:after="0"/>
              <w:rPr>
                <w:sz w:val="14"/>
                <w:szCs w:val="14"/>
                <w:color w:val="auto"/>
              </w:rPr>
            </w:pPr>
          </w:p>
        </w:tc>
        <w:tc>
          <w:tcPr>
            <w:tcW w:w="11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420" w:type="dxa"/>
            <w:vAlign w:val="bottom"/>
          </w:tcPr>
          <w:p>
            <w:pPr>
              <w:spacing w:after="0"/>
              <w:rPr>
                <w:sz w:val="24"/>
                <w:szCs w:val="24"/>
                <w:color w:val="auto"/>
              </w:rPr>
            </w:pP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29,026.0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28,273.7</w:t>
            </w:r>
          </w:p>
        </w:tc>
      </w:tr>
      <w:tr>
        <w:trPr>
          <w:trHeight w:val="170"/>
        </w:trPr>
        <w:tc>
          <w:tcPr>
            <w:tcW w:w="5420" w:type="dxa"/>
            <w:vAlign w:val="bottom"/>
          </w:tcPr>
          <w:p>
            <w:pPr>
              <w:spacing w:after="0"/>
              <w:rPr>
                <w:sz w:val="14"/>
                <w:szCs w:val="14"/>
                <w:color w:val="auto"/>
              </w:rPr>
            </w:pPr>
          </w:p>
        </w:tc>
        <w:tc>
          <w:tcPr>
            <w:tcW w:w="11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II-19</w:t>
      </w:r>
    </w:p>
    <w:p>
      <w:pPr>
        <w:sectPr>
          <w:pgSz w:w="11900" w:h="16838" w:orient="portrait"/>
          <w:cols w:equalWidth="0" w:num="1">
            <w:col w:w="10219"/>
          </w:cols>
          <w:pgMar w:left="240" w:top="1130"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5"/>
          <w:szCs w:val="15"/>
          <w:color w:val="auto"/>
        </w:rPr>
        <w:t>VIACOM INC. AND SUBSIDIARIES</w:t>
      </w:r>
    </w:p>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rPr>
          <w:sz w:val="20"/>
          <w:szCs w:val="20"/>
          <w:color w:val="auto"/>
        </w:rPr>
      </w:pPr>
      <w:r>
        <w:rPr>
          <w:rFonts w:ascii="Courier New" w:cs="Courier New" w:eastAsia="Courier New" w:hAnsi="Courier New"/>
          <w:sz w:val="15"/>
          <w:szCs w:val="15"/>
          <w:color w:val="auto"/>
        </w:rPr>
        <w:t>- -------------------------------------</w:t>
      </w:r>
    </w:p>
    <w:p>
      <w:pPr>
        <w:spacing w:after="0" w:line="238" w:lineRule="auto"/>
        <w:rPr>
          <w:sz w:val="20"/>
          <w:szCs w:val="20"/>
          <w:color w:val="auto"/>
        </w:rPr>
      </w:pPr>
      <w:r>
        <w:rPr>
          <w:rFonts w:ascii="Courier New" w:cs="Courier New" w:eastAsia="Courier New" w:hAnsi="Courier New"/>
          <w:sz w:val="15"/>
          <w:szCs w:val="15"/>
          <w:color w:val="auto"/>
        </w:rPr>
        <w:t>(in millions)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322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4700" w:type="dxa"/>
            <w:vAlign w:val="bottom"/>
          </w:tcPr>
          <w:p>
            <w:pPr>
              <w:spacing w:after="0"/>
              <w:rPr>
                <w:sz w:val="14"/>
                <w:szCs w:val="14"/>
                <w:color w:val="auto"/>
              </w:rPr>
            </w:pPr>
          </w:p>
        </w:tc>
        <w:tc>
          <w:tcPr>
            <w:tcW w:w="322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w:t>
            </w:r>
          </w:p>
        </w:tc>
      </w:tr>
      <w:tr>
        <w:trPr>
          <w:trHeight w:val="170"/>
        </w:trPr>
        <w:tc>
          <w:tcPr>
            <w:tcW w:w="470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1994</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470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9"/>
        </w:trPr>
        <w:tc>
          <w:tcPr>
            <w:tcW w:w="4700" w:type="dxa"/>
            <w:vAlign w:val="bottom"/>
          </w:tcPr>
          <w:p>
            <w:pPr>
              <w:ind w:left="160"/>
              <w:spacing w:after="0"/>
              <w:rPr>
                <w:sz w:val="20"/>
                <w:szCs w:val="20"/>
                <w:color w:val="auto"/>
              </w:rPr>
            </w:pPr>
            <w:r>
              <w:rPr>
                <w:rFonts w:ascii="Courier New" w:cs="Courier New" w:eastAsia="Courier New" w:hAnsi="Courier New"/>
                <w:sz w:val="15"/>
                <w:szCs w:val="15"/>
                <w:color w:val="auto"/>
              </w:rPr>
              <w:t>Net earnings.....................................</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$ 222.5</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89.6</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$171.0</w:t>
            </w:r>
          </w:p>
        </w:tc>
      </w:tr>
      <w:tr>
        <w:trPr>
          <w:trHeight w:val="170"/>
        </w:trPr>
        <w:tc>
          <w:tcPr>
            <w:tcW w:w="4700" w:type="dxa"/>
            <w:vAlign w:val="bottom"/>
          </w:tcPr>
          <w:p>
            <w:pPr>
              <w:ind w:left="160"/>
              <w:spacing w:after="0"/>
              <w:rPr>
                <w:sz w:val="20"/>
                <w:szCs w:val="20"/>
                <w:color w:val="auto"/>
              </w:rPr>
            </w:pPr>
            <w:r>
              <w:rPr>
                <w:rFonts w:ascii="Courier New" w:cs="Courier New" w:eastAsia="Courier New" w:hAnsi="Courier New"/>
                <w:sz w:val="15"/>
                <w:szCs w:val="15"/>
                <w:color w:val="auto"/>
              </w:rPr>
              <w:t>Adjustments to reconcile net earnings to net cash</w:t>
            </w: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700" w:type="dxa"/>
            <w:vAlign w:val="bottom"/>
          </w:tcPr>
          <w:p>
            <w:pPr>
              <w:ind w:left="340"/>
              <w:spacing w:after="0"/>
              <w:rPr>
                <w:sz w:val="20"/>
                <w:szCs w:val="20"/>
                <w:color w:val="auto"/>
              </w:rPr>
            </w:pPr>
            <w:r>
              <w:rPr>
                <w:rFonts w:ascii="Courier New" w:cs="Courier New" w:eastAsia="Courier New" w:hAnsi="Courier New"/>
                <w:sz w:val="15"/>
                <w:szCs w:val="15"/>
                <w:color w:val="auto"/>
              </w:rPr>
              <w:t>flow from operating activities:</w:t>
            </w: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Depreciation and amortization...................</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820.4</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465.7</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153.1</w:t>
            </w:r>
          </w:p>
        </w:tc>
      </w:tr>
      <w:tr>
        <w:trPr>
          <w:trHeight w:val="170"/>
        </w:trPr>
        <w:tc>
          <w:tcPr>
            <w:tcW w:w="4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Merger-related charges (Note 2).................</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332.1</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700" w:type="dxa"/>
            <w:vAlign w:val="bottom"/>
          </w:tcPr>
          <w:p>
            <w:pPr>
              <w:ind w:left="260"/>
              <w:spacing w:after="0"/>
              <w:rPr>
                <w:sz w:val="20"/>
                <w:szCs w:val="20"/>
                <w:color w:val="auto"/>
              </w:rPr>
            </w:pPr>
            <w:r>
              <w:rPr>
                <w:rFonts w:ascii="Courier New" w:cs="Courier New" w:eastAsia="Courier New" w:hAnsi="Courier New"/>
                <w:sz w:val="15"/>
                <w:szCs w:val="15"/>
                <w:color w:val="auto"/>
              </w:rPr>
              <w:t>Equity in (earnings) losses of affiliated</w:t>
            </w: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companies, net of tax ........................</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53.9</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(18.6)</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w:t>
            </w:r>
          </w:p>
        </w:tc>
      </w:tr>
      <w:tr>
        <w:trPr>
          <w:trHeight w:val="170"/>
        </w:trPr>
        <w:tc>
          <w:tcPr>
            <w:tcW w:w="4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Distribution from affiliated companies..........</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82.2</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37.7</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13.4</w:t>
            </w:r>
          </w:p>
        </w:tc>
      </w:tr>
      <w:tr>
        <w:trPr>
          <w:trHeight w:val="170"/>
        </w:trPr>
        <w:tc>
          <w:tcPr>
            <w:tcW w:w="4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Gain on the sale of  marketable securities (Note</w:t>
            </w: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(26.9)</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Gain on dispositions , net of tax (Note 16).....</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(164.4)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(45.9)</w:t>
            </w:r>
          </w:p>
        </w:tc>
      </w:tr>
      <w:tr>
        <w:trPr>
          <w:trHeight w:val="170"/>
        </w:trPr>
        <w:tc>
          <w:tcPr>
            <w:tcW w:w="4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Extraordinary losses, net of tax (Note 7).......</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20.4</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w:t>
            </w:r>
          </w:p>
        </w:tc>
      </w:tr>
      <w:tr>
        <w:trPr>
          <w:trHeight w:val="170"/>
        </w:trPr>
        <w:tc>
          <w:tcPr>
            <w:tcW w:w="4700" w:type="dxa"/>
            <w:vAlign w:val="bottom"/>
          </w:tcPr>
          <w:p>
            <w:pPr>
              <w:ind w:left="260"/>
              <w:spacing w:after="0"/>
              <w:rPr>
                <w:sz w:val="20"/>
                <w:szCs w:val="20"/>
                <w:color w:val="auto"/>
              </w:rPr>
            </w:pPr>
            <w:r>
              <w:rPr>
                <w:rFonts w:ascii="Courier New" w:cs="Courier New" w:eastAsia="Courier New" w:hAnsi="Courier New"/>
                <w:sz w:val="15"/>
                <w:szCs w:val="15"/>
                <w:color w:val="auto"/>
              </w:rPr>
              <w:t>Change in operating assets and liabilities:</w:t>
            </w: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Increase in receivables.......................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(233.8)</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(152.6)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(31.9)</w:t>
            </w:r>
          </w:p>
        </w:tc>
      </w:tr>
      <w:tr>
        <w:trPr>
          <w:trHeight w:val="170"/>
        </w:trPr>
        <w:tc>
          <w:tcPr>
            <w:tcW w:w="4700" w:type="dxa"/>
            <w:vAlign w:val="bottom"/>
          </w:tcPr>
          <w:p>
            <w:pPr>
              <w:ind w:left="440"/>
              <w:spacing w:after="0"/>
              <w:rPr>
                <w:sz w:val="20"/>
                <w:szCs w:val="20"/>
                <w:color w:val="auto"/>
              </w:rPr>
            </w:pPr>
            <w:r>
              <w:rPr>
                <w:rFonts w:ascii="Courier New" w:cs="Courier New" w:eastAsia="Courier New" w:hAnsi="Courier New"/>
                <w:sz w:val="15"/>
                <w:szCs w:val="15"/>
                <w:color w:val="auto"/>
              </w:rPr>
              <w:t>Increase in inventory and related programming</w:t>
            </w: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liabilities, net............................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(320.9)</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(557.0)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(137.5)</w:t>
            </w:r>
          </w:p>
        </w:tc>
      </w:tr>
      <w:tr>
        <w:trPr>
          <w:trHeight w:val="170"/>
        </w:trPr>
        <w:tc>
          <w:tcPr>
            <w:tcW w:w="4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Increase in prepublication costs, net.........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(75.7)</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(47.0)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700" w:type="dxa"/>
            <w:vAlign w:val="bottom"/>
          </w:tcPr>
          <w:p>
            <w:pPr>
              <w:ind w:left="440"/>
              <w:spacing w:after="0"/>
              <w:rPr>
                <w:sz w:val="20"/>
                <w:szCs w:val="20"/>
                <w:color w:val="auto"/>
              </w:rPr>
            </w:pPr>
            <w:r>
              <w:rPr>
                <w:rFonts w:ascii="Courier New" w:cs="Courier New" w:eastAsia="Courier New" w:hAnsi="Courier New"/>
                <w:sz w:val="15"/>
                <w:szCs w:val="15"/>
                <w:color w:val="auto"/>
              </w:rPr>
              <w:t>(Increase) decrease in prepaid expenses and</w:t>
            </w: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other current assets........................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(84.5)</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110.1</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(Increase) decrease in unbilled receivables...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(55.6)</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0"/>
        </w:trPr>
        <w:tc>
          <w:tcPr>
            <w:tcW w:w="4700" w:type="dxa"/>
            <w:vAlign w:val="bottom"/>
          </w:tcPr>
          <w:p>
            <w:pPr>
              <w:ind w:left="440"/>
              <w:spacing w:after="0"/>
              <w:rPr>
                <w:sz w:val="20"/>
                <w:szCs w:val="20"/>
                <w:color w:val="auto"/>
              </w:rPr>
            </w:pPr>
            <w:r>
              <w:rPr>
                <w:rFonts w:ascii="Courier New" w:cs="Courier New" w:eastAsia="Courier New" w:hAnsi="Courier New"/>
                <w:sz w:val="15"/>
                <w:szCs w:val="15"/>
                <w:color w:val="auto"/>
              </w:rPr>
              <w:t>(Decrease) increase in accounts payable and</w:t>
            </w: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accrued expenses.............................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(329.1)</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164.7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(17.2)</w:t>
            </w:r>
          </w:p>
        </w:tc>
      </w:tr>
      <w:tr>
        <w:trPr>
          <w:trHeight w:val="170"/>
        </w:trPr>
        <w:tc>
          <w:tcPr>
            <w:tcW w:w="4700" w:type="dxa"/>
            <w:vAlign w:val="bottom"/>
          </w:tcPr>
          <w:p>
            <w:pPr>
              <w:ind w:left="440"/>
              <w:spacing w:after="0"/>
              <w:rPr>
                <w:sz w:val="20"/>
                <w:szCs w:val="20"/>
                <w:color w:val="auto"/>
              </w:rPr>
            </w:pPr>
            <w:r>
              <w:rPr>
                <w:rFonts w:ascii="Courier New" w:cs="Courier New" w:eastAsia="Courier New" w:hAnsi="Courier New"/>
                <w:sz w:val="15"/>
                <w:szCs w:val="15"/>
                <w:color w:val="auto"/>
              </w:rPr>
              <w:t>(Decrease) increase in income taxes payable</w:t>
            </w: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and deferred income taxes, net..............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(56.5)</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28.8</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82.9</w:t>
            </w:r>
          </w:p>
        </w:tc>
      </w:tr>
      <w:tr>
        <w:trPr>
          <w:trHeight w:val="170"/>
        </w:trPr>
        <w:tc>
          <w:tcPr>
            <w:tcW w:w="4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Increase (decrease) in deferred income........</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68.0</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r>
      <w:tr>
        <w:trPr>
          <w:trHeight w:val="170"/>
        </w:trPr>
        <w:tc>
          <w:tcPr>
            <w:tcW w:w="4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Other, net......................................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(25.1)</w:t>
            </w:r>
          </w:p>
        </w:tc>
      </w:tr>
      <w:tr>
        <w:trPr>
          <w:trHeight w:val="170"/>
        </w:trPr>
        <w:tc>
          <w:tcPr>
            <w:tcW w:w="470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NET CASH FLOW FROM OPERATING ACTIVITIES............</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55.6</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376.9</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161.0</w:t>
            </w:r>
          </w:p>
        </w:tc>
      </w:tr>
      <w:tr>
        <w:trPr>
          <w:trHeight w:val="170"/>
        </w:trPr>
        <w:tc>
          <w:tcPr>
            <w:tcW w:w="470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70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4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Proceeds from dispositions.......................</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1,442.9</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317.6</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144.7</w:t>
            </w:r>
          </w:p>
        </w:tc>
      </w:tr>
      <w:tr>
        <w:trPr>
          <w:trHeight w:val="170"/>
        </w:trPr>
        <w:tc>
          <w:tcPr>
            <w:tcW w:w="4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Acquisitions, net of cash acquired...............</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(616.2)</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(6,254.6)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(82.2)</w:t>
            </w:r>
          </w:p>
        </w:tc>
      </w:tr>
      <w:tr>
        <w:trPr>
          <w:trHeight w:val="170"/>
        </w:trPr>
        <w:tc>
          <w:tcPr>
            <w:tcW w:w="4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Capital expenditures.............................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(730.6)</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(364.9)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(135.0)</w:t>
            </w:r>
          </w:p>
        </w:tc>
      </w:tr>
      <w:tr>
        <w:trPr>
          <w:trHeight w:val="170"/>
        </w:trPr>
        <w:tc>
          <w:tcPr>
            <w:tcW w:w="4700" w:type="dxa"/>
            <w:vAlign w:val="bottom"/>
          </w:tcPr>
          <w:p>
            <w:pPr>
              <w:ind w:left="160"/>
              <w:spacing w:after="0"/>
              <w:rPr>
                <w:sz w:val="20"/>
                <w:szCs w:val="20"/>
                <w:color w:val="auto"/>
              </w:rPr>
            </w:pPr>
            <w:r>
              <w:rPr>
                <w:rFonts w:ascii="Courier New" w:cs="Courier New" w:eastAsia="Courier New" w:hAnsi="Courier New"/>
                <w:sz w:val="15"/>
                <w:szCs w:val="15"/>
                <w:color w:val="auto"/>
              </w:rPr>
              <w:t>Investments in and advances to affiliated</w:t>
            </w: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700" w:type="dxa"/>
            <w:vAlign w:val="bottom"/>
          </w:tcPr>
          <w:p>
            <w:pPr>
              <w:ind w:left="340"/>
              <w:spacing w:after="0"/>
              <w:rPr>
                <w:sz w:val="20"/>
                <w:szCs w:val="20"/>
                <w:color w:val="auto"/>
              </w:rPr>
            </w:pPr>
            <w:r>
              <w:rPr>
                <w:rFonts w:ascii="Courier New" w:cs="Courier New" w:eastAsia="Courier New" w:hAnsi="Courier New"/>
                <w:sz w:val="15"/>
                <w:szCs w:val="15"/>
                <w:color w:val="auto"/>
                <w:w w:val="98"/>
              </w:rPr>
              <w:t>companies........................................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(138.1)</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(21.6)</w:t>
            </w:r>
          </w:p>
        </w:tc>
      </w:tr>
      <w:tr>
        <w:trPr>
          <w:trHeight w:val="170"/>
        </w:trPr>
        <w:tc>
          <w:tcPr>
            <w:tcW w:w="4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Proceeds from sale of short-term investments.....</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281.3</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156.2</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Payments for purchase of short-term investments..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(301.2)</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(102.2)</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Other, net.......................................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(17.7)</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(47.7)</w:t>
            </w:r>
          </w:p>
        </w:tc>
      </w:tr>
      <w:tr>
        <w:trPr>
          <w:trHeight w:val="170"/>
        </w:trPr>
        <w:tc>
          <w:tcPr>
            <w:tcW w:w="470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NET CASH FLOW FROM INVESTING ACTIVITIES...........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(79.6)</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(6,336.4)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(141.8)</w:t>
            </w:r>
          </w:p>
        </w:tc>
      </w:tr>
      <w:tr>
        <w:trPr>
          <w:trHeight w:val="170"/>
        </w:trPr>
        <w:tc>
          <w:tcPr>
            <w:tcW w:w="470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70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4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Short-term (repayments to) borrowings from banks,</w:t>
            </w: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net ...........................................</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(1,560.2)</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3,560.0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334.3</w:t>
            </w:r>
          </w:p>
        </w:tc>
      </w:tr>
      <w:tr>
        <w:trPr>
          <w:trHeight w:val="170"/>
        </w:trPr>
        <w:tc>
          <w:tcPr>
            <w:tcW w:w="4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Proceeds from the issuance of senior notes.......</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1,538.6</w:t>
            </w:r>
          </w:p>
        </w:tc>
        <w:tc>
          <w:tcPr>
            <w:tcW w:w="124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700" w:type="dxa"/>
            <w:vAlign w:val="bottom"/>
          </w:tcPr>
          <w:p>
            <w:pPr>
              <w:ind w:left="160"/>
              <w:spacing w:after="0"/>
              <w:rPr>
                <w:sz w:val="20"/>
                <w:szCs w:val="20"/>
                <w:color w:val="auto"/>
              </w:rPr>
            </w:pPr>
            <w:r>
              <w:rPr>
                <w:rFonts w:ascii="Courier New" w:cs="Courier New" w:eastAsia="Courier New" w:hAnsi="Courier New"/>
                <w:sz w:val="15"/>
                <w:szCs w:val="15"/>
                <w:color w:val="auto"/>
              </w:rPr>
              <w:t>Proceeds from the issuance of Class B Common Stock</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1,250.0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700" w:type="dxa"/>
            <w:vAlign w:val="bottom"/>
          </w:tcPr>
          <w:p>
            <w:pPr>
              <w:ind w:left="160"/>
              <w:spacing w:after="0"/>
              <w:rPr>
                <w:sz w:val="20"/>
                <w:szCs w:val="20"/>
                <w:color w:val="auto"/>
              </w:rPr>
            </w:pPr>
            <w:r>
              <w:rPr>
                <w:rFonts w:ascii="Courier New" w:cs="Courier New" w:eastAsia="Courier New" w:hAnsi="Courier New"/>
                <w:sz w:val="15"/>
                <w:szCs w:val="15"/>
                <w:color w:val="auto"/>
              </w:rPr>
              <w:t>Proceeds from exercise of stock options and</w:t>
            </w: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warrants........................................</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125.6</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52.6</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w:t>
            </w:r>
          </w:p>
        </w:tc>
      </w:tr>
      <w:tr>
        <w:trPr>
          <w:trHeight w:val="170"/>
        </w:trPr>
        <w:tc>
          <w:tcPr>
            <w:tcW w:w="4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Payment of Preferred Stock dividends.............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(60.0)</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(72.7)</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Settlement of CVRs...............................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(81.9)</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Proceeds from the issuance of Preferred Stock....</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1,800.0</w:t>
            </w:r>
          </w:p>
        </w:tc>
      </w:tr>
      <w:tr>
        <w:trPr>
          <w:trHeight w:val="170"/>
        </w:trPr>
        <w:tc>
          <w:tcPr>
            <w:tcW w:w="4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Redemption of notes and debentures...............</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(298.0)</w:t>
            </w:r>
          </w:p>
        </w:tc>
      </w:tr>
      <w:tr>
        <w:trPr>
          <w:trHeight w:val="170"/>
        </w:trPr>
        <w:tc>
          <w:tcPr>
            <w:tcW w:w="4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Deferred financing fees..........................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(23.4)</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(87.1)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(18.1)</w:t>
            </w:r>
          </w:p>
        </w:tc>
      </w:tr>
      <w:tr>
        <w:trPr>
          <w:trHeight w:val="170"/>
        </w:trPr>
        <w:tc>
          <w:tcPr>
            <w:tcW w:w="4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Other, net.......................................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(48.3)</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(12.2)</w:t>
            </w:r>
          </w:p>
        </w:tc>
      </w:tr>
      <w:tr>
        <w:trPr>
          <w:trHeight w:val="170"/>
        </w:trPr>
        <w:tc>
          <w:tcPr>
            <w:tcW w:w="470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NET CASH FLOW FROM FINANCING ACTIVITIES............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(109.6)</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4,674.8</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1,814.8</w:t>
            </w:r>
          </w:p>
        </w:tc>
      </w:tr>
      <w:tr>
        <w:trPr>
          <w:trHeight w:val="170"/>
        </w:trPr>
        <w:tc>
          <w:tcPr>
            <w:tcW w:w="470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Net increase (decrease) in cash and cash equivalents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(133.6)</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(1,284.7)</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1,834.0</w:t>
            </w:r>
          </w:p>
        </w:tc>
      </w:tr>
      <w:tr>
        <w:trPr>
          <w:trHeight w:val="170"/>
        </w:trPr>
        <w:tc>
          <w:tcPr>
            <w:tcW w:w="47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Cash and cash equivalents at beginning of year.....</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597.7</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1,882.4</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48.4</w:t>
            </w:r>
          </w:p>
        </w:tc>
      </w:tr>
      <w:tr>
        <w:trPr>
          <w:trHeight w:val="170"/>
        </w:trPr>
        <w:tc>
          <w:tcPr>
            <w:tcW w:w="470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7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CASH AND CASH EQUIVALENTS AT END OF YEAR...........</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$ 464.1</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$ 597.7</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$1,882.4</w:t>
            </w:r>
          </w:p>
        </w:tc>
      </w:tr>
      <w:tr>
        <w:trPr>
          <w:trHeight w:val="170"/>
        </w:trPr>
        <w:tc>
          <w:tcPr>
            <w:tcW w:w="470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II-20</w:t>
      </w:r>
    </w:p>
    <w:p>
      <w:pPr>
        <w:sectPr>
          <w:pgSz w:w="11900" w:h="16838" w:orient="portrait"/>
          <w:cols w:equalWidth="0" w:num="1">
            <w:col w:w="10219"/>
          </w:cols>
          <w:pgMar w:left="240" w:top="1130" w:right="1440" w:bottom="565" w:gutter="0" w:footer="0" w:header="0"/>
        </w:sectPr>
      </w:pPr>
    </w:p>
    <w:bookmarkStart w:id="61" w:name="page62"/>
    <w:bookmarkEnd w:id="61"/>
    <w:p>
      <w:pPr>
        <w:spacing w:after="0"/>
        <w:rPr>
          <w:sz w:val="20"/>
          <w:szCs w:val="20"/>
          <w:color w:val="auto"/>
        </w:rPr>
      </w:pPr>
      <w:r>
        <w:rPr>
          <w:rFonts w:ascii="Courier New" w:cs="Courier New" w:eastAsia="Courier New" w:hAnsi="Courier New"/>
          <w:sz w:val="15"/>
          <w:szCs w:val="15"/>
          <w:color w:val="auto"/>
        </w:rPr>
        <w:t>VIACOM INC. AND SUBSIDIARIES</w:t>
      </w:r>
    </w:p>
    <w:p>
      <w:pPr>
        <w:spacing w:after="0"/>
        <w:rPr>
          <w:sz w:val="20"/>
          <w:szCs w:val="20"/>
          <w:color w:val="auto"/>
        </w:rPr>
      </w:pPr>
      <w:r>
        <w:rPr>
          <w:rFonts w:ascii="Courier New" w:cs="Courier New" w:eastAsia="Courier New" w:hAnsi="Courier New"/>
          <w:sz w:val="15"/>
          <w:szCs w:val="15"/>
          <w:color w:val="auto"/>
        </w:rPr>
        <w:t>CONSOLIDATED STATEMENTS OF SHAREHOLDERS' EQUITY</w:t>
      </w:r>
    </w:p>
    <w:p>
      <w:pPr>
        <w:spacing w:after="0"/>
        <w:rPr>
          <w:sz w:val="20"/>
          <w:szCs w:val="20"/>
          <w:color w:val="auto"/>
        </w:rPr>
      </w:pPr>
      <w:r>
        <w:rPr>
          <w:rFonts w:ascii="Courier New" w:cs="Courier New" w:eastAsia="Courier New" w:hAnsi="Courier New"/>
          <w:sz w:val="15"/>
          <w:szCs w:val="15"/>
          <w:color w:val="auto"/>
        </w:rPr>
        <w:t>- -----------------------------------------------</w:t>
      </w:r>
    </w:p>
    <w:p>
      <w:pPr>
        <w:spacing w:after="0" w:line="238" w:lineRule="auto"/>
        <w:rPr>
          <w:sz w:val="20"/>
          <w:szCs w:val="20"/>
          <w:color w:val="auto"/>
        </w:rPr>
      </w:pPr>
      <w:r>
        <w:rPr>
          <w:rFonts w:ascii="Courier New" w:cs="Courier New" w:eastAsia="Courier New" w:hAnsi="Courier New"/>
          <w:sz w:val="15"/>
          <w:szCs w:val="15"/>
          <w:color w:val="auto"/>
        </w:rPr>
        <w:t>(in millions)</w:t>
      </w:r>
    </w:p>
    <w:p>
      <w:pPr>
        <w:spacing w:after="0" w:line="169" w:lineRule="exact"/>
        <w:rPr>
          <w:sz w:val="20"/>
          <w:szCs w:val="20"/>
          <w:color w:val="auto"/>
        </w:rPr>
      </w:pPr>
    </w:p>
    <w:p>
      <w:pPr>
        <w:jc w:val="center"/>
        <w:ind w:right="-1300"/>
        <w:spacing w:after="0"/>
        <w:rPr>
          <w:sz w:val="20"/>
          <w:szCs w:val="20"/>
          <w:color w:val="auto"/>
        </w:rPr>
      </w:pPr>
      <w:r>
        <w:rPr>
          <w:rFonts w:ascii="Courier New" w:cs="Courier New" w:eastAsia="Courier New" w:hAnsi="Courier New"/>
          <w:sz w:val="15"/>
          <w:szCs w:val="15"/>
          <w:color w:val="auto"/>
        </w:rPr>
        <w:t>YEAR ENDED DECEMBER 31,</w:t>
      </w:r>
    </w:p>
    <w:p>
      <w:pPr>
        <w:ind w:left="2720"/>
        <w:spacing w:after="0"/>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69"/>
        </w:trPr>
        <w:tc>
          <w:tcPr>
            <w:tcW w:w="2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1995</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1993</w:t>
            </w:r>
          </w:p>
        </w:tc>
        <w:tc>
          <w:tcPr>
            <w:tcW w:w="780" w:type="dxa"/>
            <w:vAlign w:val="bottom"/>
          </w:tcPr>
          <w:p>
            <w:pPr>
              <w:spacing w:after="0"/>
              <w:rPr>
                <w:sz w:val="14"/>
                <w:szCs w:val="14"/>
                <w:color w:val="auto"/>
              </w:rPr>
            </w:pPr>
          </w:p>
        </w:tc>
      </w:tr>
      <w:tr>
        <w:trPr>
          <w:trHeight w:val="170"/>
        </w:trPr>
        <w:tc>
          <w:tcPr>
            <w:tcW w:w="3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20" w:type="dxa"/>
            <w:vAlign w:val="bottom"/>
            <w:gridSpan w:val="3"/>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210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520" w:type="dxa"/>
            <w:vAlign w:val="bottom"/>
            <w:gridSpan w:val="2"/>
          </w:tcPr>
          <w:p>
            <w:pPr>
              <w:ind w:left="2820"/>
              <w:spacing w:after="0"/>
              <w:rPr>
                <w:sz w:val="20"/>
                <w:szCs w:val="20"/>
                <w:color w:val="auto"/>
              </w:rPr>
            </w:pPr>
            <w:r>
              <w:rPr>
                <w:rFonts w:ascii="Courier New" w:cs="Courier New" w:eastAsia="Courier New" w:hAnsi="Courier New"/>
                <w:sz w:val="15"/>
                <w:szCs w:val="15"/>
                <w:color w:val="auto"/>
              </w:rPr>
              <w:t>SHARES</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AMOUNTS</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SHARES</w:t>
            </w:r>
          </w:p>
        </w:tc>
        <w:tc>
          <w:tcPr>
            <w:tcW w:w="4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AMOUNTS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SHARES</w:t>
            </w:r>
          </w:p>
        </w:tc>
        <w:tc>
          <w:tcPr>
            <w:tcW w:w="62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AMOUNTS</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Balance, beginning of year....</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24.0</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$ 1,200.0</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48.0</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$ 1,800.0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52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6"/>
              </w:rPr>
              <w:t>Issuance of Series A and Series B</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Preferred Stock............</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48.0</w:t>
            </w:r>
          </w:p>
        </w:tc>
        <w:tc>
          <w:tcPr>
            <w:tcW w:w="6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1,800.0</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Cancellation of Series A</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Preferred stock ..............</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(24.0)</w:t>
            </w:r>
          </w:p>
        </w:tc>
        <w:tc>
          <w:tcPr>
            <w:tcW w:w="4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w:t>
            </w:r>
          </w:p>
        </w:tc>
        <w:tc>
          <w:tcPr>
            <w:tcW w:w="4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Balance, end of year..........</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24.0</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$ 1,200.0</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24.0</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$ 1,200.0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48.0</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$ 1,800.0</w:t>
            </w:r>
          </w:p>
        </w:tc>
      </w:tr>
      <w:tr>
        <w:trPr>
          <w:trHeight w:val="170"/>
        </w:trPr>
        <w:tc>
          <w:tcPr>
            <w:tcW w:w="29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w:t>
            </w:r>
          </w:p>
        </w:tc>
        <w:tc>
          <w:tcPr>
            <w:tcW w:w="4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CLASS A COMMON STOCK</w:t>
            </w: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Balance, beginning of year....</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53.4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53.4</w:t>
            </w:r>
          </w:p>
        </w:tc>
        <w:tc>
          <w:tcPr>
            <w:tcW w:w="620" w:type="dxa"/>
            <w:vAlign w:val="bottom"/>
          </w:tcPr>
          <w:p>
            <w:pPr>
              <w:ind w:left="52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Exercise of stock options and</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warrants....................</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w:t>
            </w:r>
          </w:p>
        </w:tc>
        <w:tc>
          <w:tcPr>
            <w:tcW w:w="4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w:t>
            </w:r>
          </w:p>
        </w:tc>
        <w:tc>
          <w:tcPr>
            <w:tcW w:w="4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6"/>
              </w:rPr>
              <w:t>Blockbuster Merger Consideration.</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21.0</w:t>
            </w:r>
          </w:p>
        </w:tc>
        <w:tc>
          <w:tcPr>
            <w:tcW w:w="4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w:t>
            </w:r>
          </w:p>
        </w:tc>
        <w:tc>
          <w:tcPr>
            <w:tcW w:w="4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Balance, end of year..........</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75.1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74.6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53.4</w:t>
            </w:r>
          </w:p>
        </w:tc>
        <w:tc>
          <w:tcPr>
            <w:tcW w:w="620" w:type="dxa"/>
            <w:vAlign w:val="bottom"/>
          </w:tcPr>
          <w:p>
            <w:pPr>
              <w:ind w:left="52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w:t>
            </w:r>
          </w:p>
        </w:tc>
      </w:tr>
      <w:tr>
        <w:trPr>
          <w:trHeight w:val="170"/>
        </w:trPr>
        <w:tc>
          <w:tcPr>
            <w:tcW w:w="35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CLASS B COMMON STOCK</w:t>
            </w: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Balance, beginning of year....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284.1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67.3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67.1</w:t>
            </w:r>
          </w:p>
        </w:tc>
        <w:tc>
          <w:tcPr>
            <w:tcW w:w="620" w:type="dxa"/>
            <w:vAlign w:val="bottom"/>
          </w:tcPr>
          <w:p>
            <w:pPr>
              <w:ind w:left="52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Exercise of stock options and</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w:t>
            </w:r>
          </w:p>
        </w:tc>
        <w:tc>
          <w:tcPr>
            <w:tcW w:w="4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6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warrants......................</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Paramount Merger Consideration</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56.7</w:t>
            </w:r>
          </w:p>
        </w:tc>
        <w:tc>
          <w:tcPr>
            <w:tcW w:w="4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6"/>
              </w:rPr>
              <w:t>Blockbuster Merger Consideration.</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158.9</w:t>
            </w:r>
          </w:p>
        </w:tc>
        <w:tc>
          <w:tcPr>
            <w:tcW w:w="4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Issuance of shares............</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22.7</w:t>
            </w:r>
          </w:p>
        </w:tc>
        <w:tc>
          <w:tcPr>
            <w:tcW w:w="4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Cancellation of  shares.......</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(22.7)</w:t>
            </w:r>
          </w:p>
        </w:tc>
        <w:tc>
          <w:tcPr>
            <w:tcW w:w="4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Conversion of VCRs to B Shares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c>
          <w:tcPr>
            <w:tcW w:w="4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Balance, end of year..........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294.6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284.1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67.3</w:t>
            </w:r>
          </w:p>
        </w:tc>
        <w:tc>
          <w:tcPr>
            <w:tcW w:w="620" w:type="dxa"/>
            <w:vAlign w:val="bottom"/>
          </w:tcPr>
          <w:p>
            <w:pPr>
              <w:ind w:left="52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w:t>
            </w:r>
          </w:p>
        </w:tc>
      </w:tr>
      <w:tr>
        <w:trPr>
          <w:trHeight w:val="170"/>
        </w:trPr>
        <w:tc>
          <w:tcPr>
            <w:tcW w:w="3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ADDITIONAL PAID-IN CAPITAL</w:t>
            </w: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Balance, beginning of year....</w:t>
            </w:r>
          </w:p>
        </w:tc>
        <w:tc>
          <w:tcPr>
            <w:tcW w:w="62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$10,579.5</w:t>
            </w:r>
          </w:p>
        </w:tc>
        <w:tc>
          <w:tcPr>
            <w:tcW w:w="8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920.9</w:t>
            </w:r>
          </w:p>
        </w:tc>
        <w:tc>
          <w:tcPr>
            <w:tcW w:w="700" w:type="dxa"/>
            <w:vAlign w:val="bottom"/>
          </w:tcPr>
          <w:p>
            <w:pPr>
              <w:spacing w:after="0"/>
              <w:rPr>
                <w:sz w:val="14"/>
                <w:szCs w:val="14"/>
                <w:color w:val="auto"/>
              </w:rPr>
            </w:pPr>
          </w:p>
        </w:tc>
        <w:tc>
          <w:tcPr>
            <w:tcW w:w="620" w:type="dxa"/>
            <w:vAlign w:val="bottom"/>
          </w:tcPr>
          <w:p>
            <w:pPr>
              <w:ind w:left="52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917.5</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Exercise of stock options and</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warrants, net of tax benefit..</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233.3</w:t>
            </w: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65.8</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Paramount Merger Consideration</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2,190.9</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6"/>
              </w:rPr>
              <w:t>Blockbuster Merger Consideration.</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7,412.1</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Settlement of CVRs............</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(81.9)</w:t>
            </w: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Settlement of Paramount Merger</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appraisal rights............</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w:t>
            </w: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6"/>
              </w:rPr>
              <w:t>Issuance of Class B Common shares</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1,250.0</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Cancellation of Class B Common</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shares......................</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(1,250.0)</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Expenses associated with stock</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issuances...................</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(10.2)</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Balance, end of year..........</w:t>
            </w:r>
          </w:p>
        </w:tc>
        <w:tc>
          <w:tcPr>
            <w:tcW w:w="62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$10,726.9</w:t>
            </w:r>
          </w:p>
        </w:tc>
        <w:tc>
          <w:tcPr>
            <w:tcW w:w="840" w:type="dxa"/>
            <w:vAlign w:val="bottom"/>
          </w:tcPr>
          <w:p>
            <w:pPr>
              <w:spacing w:after="0"/>
              <w:rPr>
                <w:sz w:val="14"/>
                <w:szCs w:val="14"/>
                <w:color w:val="auto"/>
              </w:rPr>
            </w:pP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$10,579.5</w:t>
            </w:r>
          </w:p>
        </w:tc>
        <w:tc>
          <w:tcPr>
            <w:tcW w:w="700" w:type="dxa"/>
            <w:vAlign w:val="bottom"/>
          </w:tcPr>
          <w:p>
            <w:pPr>
              <w:spacing w:after="0"/>
              <w:rPr>
                <w:sz w:val="14"/>
                <w:szCs w:val="14"/>
                <w:color w:val="auto"/>
              </w:rPr>
            </w:pPr>
          </w:p>
        </w:tc>
        <w:tc>
          <w:tcPr>
            <w:tcW w:w="620" w:type="dxa"/>
            <w:vAlign w:val="bottom"/>
          </w:tcPr>
          <w:p>
            <w:pPr>
              <w:ind w:left="52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920.9</w:t>
            </w:r>
          </w:p>
        </w:tc>
      </w:tr>
      <w:tr>
        <w:trPr>
          <w:trHeight w:val="170"/>
        </w:trPr>
        <w:tc>
          <w:tcPr>
            <w:tcW w:w="2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r>
      <w:tr>
        <w:trPr>
          <w:trHeight w:val="339"/>
        </w:trPr>
        <w:tc>
          <w:tcPr>
            <w:tcW w:w="3520" w:type="dxa"/>
            <w:vAlign w:val="bottom"/>
            <w:gridSpan w:val="2"/>
          </w:tcPr>
          <w:p>
            <w:pPr>
              <w:spacing w:after="0"/>
              <w:rPr>
                <w:sz w:val="20"/>
                <w:szCs w:val="20"/>
                <w:color w:val="auto"/>
              </w:rPr>
            </w:pPr>
            <w:r>
              <w:rPr>
                <w:rFonts w:ascii="Courier New" w:cs="Courier New" w:eastAsia="Courier New" w:hAnsi="Courier New"/>
                <w:sz w:val="15"/>
                <w:szCs w:val="15"/>
                <w:color w:val="auto"/>
                <w:w w:val="99"/>
              </w:rPr>
              <w:t>RETAINED EARNINGS (ACCUMULATED DEFICIT)</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3960" w:type="dxa"/>
            <w:vAlign w:val="bottom"/>
            <w:gridSpan w:val="3"/>
          </w:tcPr>
          <w:p>
            <w:pPr>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Balance, beginning of year....</w:t>
            </w: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10.6</w:t>
            </w:r>
          </w:p>
        </w:tc>
        <w:tc>
          <w:tcPr>
            <w:tcW w:w="8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w:t>
            </w:r>
          </w:p>
        </w:tc>
        <w:tc>
          <w:tcPr>
            <w:tcW w:w="700" w:type="dxa"/>
            <w:vAlign w:val="bottom"/>
          </w:tcPr>
          <w:p>
            <w:pPr>
              <w:spacing w:after="0"/>
              <w:rPr>
                <w:sz w:val="14"/>
                <w:szCs w:val="14"/>
                <w:color w:val="auto"/>
              </w:rPr>
            </w:pPr>
          </w:p>
        </w:tc>
        <w:tc>
          <w:tcPr>
            <w:tcW w:w="620" w:type="dxa"/>
            <w:vAlign w:val="bottom"/>
          </w:tcPr>
          <w:p>
            <w:pPr>
              <w:ind w:left="52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(162.2)</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222.5</w:t>
            </w: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89.6</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171.0</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Preferred stock dividend</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requirements..................</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(60.0)</w:t>
            </w: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(75.0)</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(12.8)</w:t>
            </w:r>
          </w:p>
        </w:tc>
      </w:tr>
      <w:tr>
        <w:trPr>
          <w:trHeight w:val="170"/>
        </w:trPr>
        <w:tc>
          <w:tcPr>
            <w:tcW w:w="2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700" w:type="dxa"/>
            <w:vAlign w:val="bottom"/>
          </w:tcPr>
          <w:p>
            <w:pPr>
              <w:spacing w:after="0"/>
              <w:rPr>
                <w:sz w:val="14"/>
                <w:szCs w:val="14"/>
                <w:color w:val="auto"/>
              </w:rPr>
            </w:pPr>
          </w:p>
        </w:tc>
        <w:tc>
          <w:tcPr>
            <w:tcW w:w="140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Balance, end of year..........</w:t>
            </w: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173.1</w:t>
            </w:r>
          </w:p>
        </w:tc>
        <w:tc>
          <w:tcPr>
            <w:tcW w:w="8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10.6</w:t>
            </w:r>
          </w:p>
        </w:tc>
        <w:tc>
          <w:tcPr>
            <w:tcW w:w="700" w:type="dxa"/>
            <w:vAlign w:val="bottom"/>
          </w:tcPr>
          <w:p>
            <w:pPr>
              <w:spacing w:after="0"/>
              <w:rPr>
                <w:sz w:val="14"/>
                <w:szCs w:val="14"/>
                <w:color w:val="auto"/>
              </w:rPr>
            </w:pPr>
          </w:p>
        </w:tc>
        <w:tc>
          <w:tcPr>
            <w:tcW w:w="620" w:type="dxa"/>
            <w:vAlign w:val="bottom"/>
          </w:tcPr>
          <w:p>
            <w:pPr>
              <w:ind w:left="52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0"/>
        </w:trPr>
        <w:tc>
          <w:tcPr>
            <w:tcW w:w="2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700" w:type="dxa"/>
            <w:vAlign w:val="bottom"/>
          </w:tcPr>
          <w:p>
            <w:pPr>
              <w:spacing w:after="0"/>
              <w:rPr>
                <w:sz w:val="14"/>
                <w:szCs w:val="14"/>
                <w:color w:val="auto"/>
              </w:rPr>
            </w:pPr>
          </w:p>
        </w:tc>
        <w:tc>
          <w:tcPr>
            <w:tcW w:w="140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3520" w:type="dxa"/>
            <w:vAlign w:val="bottom"/>
            <w:gridSpan w:val="2"/>
          </w:tcPr>
          <w:p>
            <w:pPr>
              <w:spacing w:after="0"/>
              <w:rPr>
                <w:sz w:val="20"/>
                <w:szCs w:val="20"/>
                <w:color w:val="auto"/>
              </w:rPr>
            </w:pPr>
            <w:r>
              <w:rPr>
                <w:rFonts w:ascii="Courier New" w:cs="Courier New" w:eastAsia="Courier New" w:hAnsi="Courier New"/>
                <w:sz w:val="15"/>
                <w:szCs w:val="15"/>
                <w:color w:val="auto"/>
              </w:rPr>
              <w:t>CUMULATIVE TRANSLATION ADJUSTMENTS</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352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Balance, beginning of year....</w:t>
            </w: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w:t>
            </w:r>
          </w:p>
        </w:tc>
        <w:tc>
          <w:tcPr>
            <w:tcW w:w="8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620" w:type="dxa"/>
            <w:vAlign w:val="bottom"/>
          </w:tcPr>
          <w:p>
            <w:pPr>
              <w:ind w:left="52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Translation adjustments.......</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w:t>
            </w: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Balance, end of year..........</w:t>
            </w: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(9.9)</w:t>
            </w:r>
          </w:p>
        </w:tc>
        <w:tc>
          <w:tcPr>
            <w:tcW w:w="8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w:t>
            </w:r>
          </w:p>
        </w:tc>
        <w:tc>
          <w:tcPr>
            <w:tcW w:w="700" w:type="dxa"/>
            <w:vAlign w:val="bottom"/>
          </w:tcPr>
          <w:p>
            <w:pPr>
              <w:spacing w:after="0"/>
              <w:rPr>
                <w:sz w:val="14"/>
                <w:szCs w:val="14"/>
                <w:color w:val="auto"/>
              </w:rPr>
            </w:pPr>
          </w:p>
        </w:tc>
        <w:tc>
          <w:tcPr>
            <w:tcW w:w="620" w:type="dxa"/>
            <w:vAlign w:val="bottom"/>
          </w:tcPr>
          <w:p>
            <w:pPr>
              <w:ind w:left="52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2900" w:type="dxa"/>
            <w:vAlign w:val="bottom"/>
          </w:tcPr>
          <w:p>
            <w:pPr>
              <w:spacing w:after="0"/>
              <w:rPr>
                <w:sz w:val="20"/>
                <w:szCs w:val="20"/>
                <w:color w:val="auto"/>
              </w:rPr>
            </w:pPr>
            <w:r>
              <w:rPr>
                <w:rFonts w:ascii="Courier New" w:cs="Courier New" w:eastAsia="Courier New" w:hAnsi="Courier New"/>
                <w:sz w:val="15"/>
                <w:szCs w:val="15"/>
                <w:color w:val="auto"/>
              </w:rPr>
              <w:t>TOTAL SHAREHOLDERS' EQUITY....</w:t>
            </w:r>
          </w:p>
        </w:tc>
        <w:tc>
          <w:tcPr>
            <w:tcW w:w="620" w:type="dxa"/>
            <w:vAlign w:val="bottom"/>
          </w:tcPr>
          <w:p>
            <w:pPr>
              <w:spacing w:after="0"/>
              <w:rPr>
                <w:sz w:val="24"/>
                <w:szCs w:val="2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$12,093.8</w:t>
            </w:r>
          </w:p>
        </w:tc>
        <w:tc>
          <w:tcPr>
            <w:tcW w:w="840" w:type="dxa"/>
            <w:vAlign w:val="bottom"/>
          </w:tcPr>
          <w:p>
            <w:pPr>
              <w:spacing w:after="0"/>
              <w:rPr>
                <w:sz w:val="24"/>
                <w:szCs w:val="24"/>
                <w:color w:val="auto"/>
              </w:rPr>
            </w:pP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$11,791.6</w:t>
            </w:r>
          </w:p>
        </w:tc>
        <w:tc>
          <w:tcPr>
            <w:tcW w:w="700" w:type="dxa"/>
            <w:vAlign w:val="bottom"/>
          </w:tcPr>
          <w:p>
            <w:pPr>
              <w:spacing w:after="0"/>
              <w:rPr>
                <w:sz w:val="24"/>
                <w:szCs w:val="24"/>
                <w:color w:val="auto"/>
              </w:rPr>
            </w:pP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$ 2,718.1</w:t>
            </w:r>
          </w:p>
        </w:tc>
      </w:tr>
      <w:tr>
        <w:trPr>
          <w:trHeight w:val="170"/>
        </w:trPr>
        <w:tc>
          <w:tcPr>
            <w:tcW w:w="2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II-21</w:t>
      </w:r>
    </w:p>
    <w:p>
      <w:pPr>
        <w:sectPr>
          <w:pgSz w:w="11900" w:h="16838" w:orient="portrait"/>
          <w:cols w:equalWidth="0" w:num="1">
            <w:col w:w="10219"/>
          </w:cols>
          <w:pgMar w:left="240" w:top="452" w:right="1440" w:bottom="396" w:gutter="0" w:footer="0" w:header="0"/>
        </w:sectPr>
      </w:pPr>
    </w:p>
    <w:bookmarkStart w:id="62" w:name="page63"/>
    <w:bookmarkEnd w:id="62"/>
    <w:p>
      <w:pPr>
        <w:jc w:val="center"/>
        <w:ind w:right="2470"/>
        <w:spacing w:after="0"/>
        <w:rPr>
          <w:sz w:val="20"/>
          <w:szCs w:val="20"/>
          <w:color w:val="auto"/>
        </w:rPr>
      </w:pPr>
      <w:r>
        <w:rPr>
          <w:rFonts w:ascii="Courier New" w:cs="Courier New" w:eastAsia="Courier New" w:hAnsi="Courier New"/>
          <w:sz w:val="15"/>
          <w:szCs w:val="15"/>
          <w:color w:val="auto"/>
        </w:rPr>
        <w:t>VIACOM INC. AND SUBSIDIARIES</w:t>
      </w:r>
    </w:p>
    <w:p>
      <w:pPr>
        <w:ind w:left="2030"/>
        <w:spacing w:after="0"/>
        <w:rPr>
          <w:sz w:val="20"/>
          <w:szCs w:val="20"/>
          <w:color w:val="auto"/>
        </w:rPr>
      </w:pPr>
      <w:r>
        <w:rPr>
          <w:rFonts w:ascii="Courier New" w:cs="Courier New" w:eastAsia="Courier New" w:hAnsi="Courier New"/>
          <w:sz w:val="15"/>
          <w:szCs w:val="15"/>
          <w:color w:val="auto"/>
        </w:rPr>
        <w:t>NOTES TO CONSOLIDATED FINANCIAL STATEMENTS</w:t>
      </w:r>
    </w:p>
    <w:p>
      <w:pPr>
        <w:ind w:left="141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343" w:lineRule="exact"/>
        <w:rPr>
          <w:sz w:val="20"/>
          <w:szCs w:val="20"/>
          <w:color w:val="auto"/>
        </w:rPr>
      </w:pPr>
    </w:p>
    <w:p>
      <w:pPr>
        <w:ind w:left="270" w:right="5559" w:hanging="270"/>
        <w:spacing w:after="0" w:line="235" w:lineRule="auto"/>
        <w:tabs>
          <w:tab w:leader="none" w:pos="27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BUSINESS AND SUMMARY OF SIGNIFICANT ACCOUNTING POLICIES</w:t>
      </w:r>
    </w:p>
    <w:p>
      <w:pPr>
        <w:spacing w:after="0" w:line="176"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BASIS OF PRESENTATION - Viacom Inc. (the "Company") is a diversified entertainment and publishing company with operations in the five segments described below. The Company's consolidated results of operations include the results of operations of Paramount Communications Inc. ("Paramount Communications") commencing March 1, 1994 and Blockbuster Entertainment Corporation ("Blockbuster") commencing October 1, 1994 (See Note 2). See Note 13 regarding the relative contribution to revenues and operating income of each of the following business segments:</w:t>
      </w:r>
    </w:p>
    <w:p>
      <w:pPr>
        <w:spacing w:after="0" w:line="17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Networks and Broadcasting</w:t>
      </w:r>
    </w:p>
    <w:p>
      <w:pPr>
        <w:spacing w:after="0" w:line="5"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The Company, through MTV Networks, owns and operates advertiser-supported basic cable television program services, and through Showtime Networks Inc. owns and operates premium subscription cable television program services. The Company also owns and operates 12 television stations and 12 radio stations.</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Entertainment</w:t>
      </w:r>
    </w:p>
    <w:p>
      <w:pPr>
        <w:spacing w:after="0" w:line="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The Company, through Paramount Pictures and Spelling Entertainment Group, Inc. ("Spelling"): 1) produces, acquires, finances and distributes feature motion pictures, normally, for exhibition in U.S. and foreign theaters followed by videocassettes and discs, pay-per-view television, premium subscription television, network television, basic cable television and syndicated television exploitation; 2) produces, acquires and distributes series, mini-series, specials and made-for-television movies primarily for network television, first-run syndication and basic cable television; 3) operates movie theaters; and 4) provides new media and interactive services.</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Video and Music/Theme Parks</w:t>
      </w:r>
    </w:p>
    <w:p>
      <w:pPr>
        <w:spacing w:after="0" w:line="5"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The Company, through Blockbuster Entertainment Group, operates and franchises videocassette rental and retail sales stores, and operates music stores throughout the United States and internationally. Additionally, the Company, through Paramount Parks, owns and operates five regional theme parks and one water park in the United States and Canada.</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Publishing</w:t>
      </w:r>
    </w:p>
    <w:p>
      <w:pPr>
        <w:spacing w:after="0" w:line="5" w:lineRule="exact"/>
        <w:rPr>
          <w:sz w:val="20"/>
          <w:szCs w:val="20"/>
          <w:color w:val="auto"/>
        </w:rPr>
      </w:pPr>
    </w:p>
    <w:p>
      <w:pPr>
        <w:ind w:left="10" w:right="3799"/>
        <w:spacing w:after="0" w:line="237" w:lineRule="auto"/>
        <w:rPr>
          <w:sz w:val="20"/>
          <w:szCs w:val="20"/>
          <w:color w:val="auto"/>
        </w:rPr>
      </w:pPr>
      <w:r>
        <w:rPr>
          <w:rFonts w:ascii="Courier New" w:cs="Courier New" w:eastAsia="Courier New" w:hAnsi="Courier New"/>
          <w:sz w:val="15"/>
          <w:szCs w:val="15"/>
          <w:color w:val="auto"/>
        </w:rPr>
        <w:t>The Company, through Simon &amp; Schuster, publishes and distributes consumer hardcover and paperback books, interactive CD-ROM products, audio books, educational textbooks and supplemental educational materials, multimedia curriculum and information and reference materials for businesses and professionals.</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Cable Television</w:t>
      </w:r>
    </w:p>
    <w:p>
      <w:pPr>
        <w:spacing w:after="0" w:line="5" w:lineRule="exact"/>
        <w:rPr>
          <w:sz w:val="20"/>
          <w:szCs w:val="20"/>
          <w:color w:val="auto"/>
        </w:rPr>
      </w:pPr>
    </w:p>
    <w:p>
      <w:pPr>
        <w:ind w:left="10" w:right="3179"/>
        <w:spacing w:after="0" w:line="258" w:lineRule="auto"/>
        <w:rPr>
          <w:sz w:val="20"/>
          <w:szCs w:val="20"/>
          <w:color w:val="auto"/>
        </w:rPr>
      </w:pPr>
      <w:r>
        <w:rPr>
          <w:rFonts w:ascii="Courier New" w:cs="Courier New" w:eastAsia="Courier New" w:hAnsi="Courier New"/>
          <w:sz w:val="14"/>
          <w:szCs w:val="14"/>
          <w:color w:val="auto"/>
        </w:rPr>
        <w:t>The Company owns and operates cable television distribution systems serving approximately 1.2 million subscribers primarily in Northern California, the Pacific Northwest region of the United States, Nashville, Tennessee and Dayton, Ohio. Revenues are primarily earned from subscriber fees for primary and premium subscription services, sale of advertising and pay-per-view programming fees.</w:t>
      </w:r>
    </w:p>
    <w:p>
      <w:pPr>
        <w:spacing w:after="0" w:line="165"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w:t>
      </w:r>
    </w:p>
    <w:p>
      <w:pPr>
        <w:spacing w:after="0" w:line="342"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II-22</w:t>
      </w:r>
    </w:p>
    <w:p>
      <w:pPr>
        <w:sectPr>
          <w:pgSz w:w="11900" w:h="16838" w:orient="portrait"/>
          <w:cols w:equalWidth="0" w:num="1">
            <w:col w:w="10229"/>
          </w:cols>
          <w:pgMar w:left="230" w:top="961" w:right="1440" w:bottom="1440" w:gutter="0" w:footer="0" w:header="0"/>
        </w:sectPr>
      </w:pPr>
    </w:p>
    <w:bookmarkStart w:id="63" w:name="page64"/>
    <w:bookmarkEnd w:id="63"/>
    <w:p>
      <w:pPr>
        <w:jc w:val="center"/>
        <w:ind w:right="3179"/>
        <w:spacing w:after="0"/>
        <w:rPr>
          <w:sz w:val="20"/>
          <w:szCs w:val="20"/>
          <w:color w:val="auto"/>
        </w:rPr>
      </w:pPr>
      <w:r>
        <w:rPr>
          <w:rFonts w:ascii="Courier New" w:cs="Courier New" w:eastAsia="Courier New" w:hAnsi="Courier New"/>
          <w:sz w:val="15"/>
          <w:szCs w:val="15"/>
          <w:color w:val="auto"/>
        </w:rPr>
        <w:t>VIACOM INC. AND SUBSIDIARIES</w:t>
      </w: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343"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reported amounts of revenues and expenses during the reporting period. Actual results could subsequently differ from those estimates.</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PRINCIPLES OF CONSOLIDATION - The consolidated financial statements include the accounts of the Company and investments of more than 50% in subsidiaries and other entities. Investments in affiliated companies over which the Company has a significant influence or ownership of more than 20% but less than or equal to 50% are accounted for under the equity method. All significant intercompany transactions have been eliminated. Investments of 20% or less are accounted for under the cost method. In 1993, the fiscal year end for certain foreign operations was changed from October 31 to December 31.</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EQUIVALENTS - Cash equivalents are defined as short-term (3 months or less)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highly liquid investments.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INVENTORIES - Publishing related inventories are generally determined using the lower of cost (first-in, first-out method) or net realizable value. Prerecorded music and videocassette sell through inventory costs are determined using the moving weighted average method, the use of which approximates the first-in, first-out basis. Videocassette rental inventory is recorded at cost and amortized over its estimated economic life. Videocassettes which are considered base stock are amortized over 36 months on a straight-line basis. Videocassettes which are considered new release feature films are frequently ordered in large quantities to satisfy initial demand ("hits"). For each store, the fifth and any succeeding copies of hit titles purchased are amortized over six months on a straight-line basis.</w:t>
      </w:r>
    </w:p>
    <w:p>
      <w:pPr>
        <w:spacing w:after="0" w:line="181"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Theatrical and Television Inventories - Inventories related to theatrical and television product (which include direct production costs, production overhead, acquisition costs, prints and certain exploitation costs) are stated at the lower of amortized cost or net realizable value. Inventories are amortized, and liabilities for residuals and participations are accrued, on an individual product basis based on the proportion that current revenues bear to the estimated remaining total lifetime revenues. Estimates for initial domestic syndication and basic cable revenues are not included in the estimated lifetime revenues of network series until such sales are probable. Estimates of total lifetime revenues and expenses are periodically reviewed. The costs of feature and television films are classified as current assets to the extent such costs are expected to be recovered through their respective primary markets. Other costs related to film production are classified as noncurrent. A portion of the cost to acquire Paramount Communications and Blockbuster was allocated to theatrical and television inventories based upon estimated revenues from certain films less related costs of distribution and a reasonable profit allowance for the selling effort. The cost allocated to films is being amortized over their estimated economic lives not to exceed 20 years.</w:t>
      </w:r>
    </w:p>
    <w:p>
      <w:pPr>
        <w:spacing w:after="0" w:line="333"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The Company estimates that approximately 68% of unamortized film costs (including amounts allocated under purchase accounting) at December 31, 1995 will be amortized within the next three years.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II-23</w:t>
      </w:r>
    </w:p>
    <w:p>
      <w:pPr>
        <w:sectPr>
          <w:pgSz w:w="11900" w:h="16838" w:orient="portrait"/>
          <w:cols w:equalWidth="0" w:num="1">
            <w:col w:w="10219"/>
          </w:cols>
          <w:pgMar w:left="240" w:top="452" w:right="1440" w:bottom="1440" w:gutter="0" w:footer="0" w:header="0"/>
        </w:sectPr>
      </w:pPr>
    </w:p>
    <w:bookmarkStart w:id="64" w:name="page65"/>
    <w:bookmarkEnd w:id="64"/>
    <w:p>
      <w:pPr>
        <w:jc w:val="center"/>
        <w:ind w:right="3179"/>
        <w:spacing w:after="0"/>
        <w:rPr>
          <w:sz w:val="20"/>
          <w:szCs w:val="20"/>
          <w:color w:val="auto"/>
        </w:rPr>
      </w:pPr>
      <w:r>
        <w:rPr>
          <w:rFonts w:ascii="Courier New" w:cs="Courier New" w:eastAsia="Courier New" w:hAnsi="Courier New"/>
          <w:sz w:val="15"/>
          <w:szCs w:val="15"/>
          <w:color w:val="auto"/>
        </w:rPr>
        <w:t>VIACOM INC. AND SUBSIDIARIES</w:t>
      </w: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343"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Program Rights - The Company acquires rights to exhibit programming on its broadcast stations or cable networks. The costs incurred in acquiring programs are capitalized and amortized over the license period. Program rights and the related liabilities are recorded at the gross amount of the liabilities when the license period has begun, the cost of the program is determinable, and the program is accepted and available for airing.</w:t>
      </w:r>
    </w:p>
    <w:p>
      <w:pPr>
        <w:spacing w:after="0" w:line="17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PROPERTY AND EQUIPMENT - Property and equipment is stated at cost. Depreciation is computed principally by the straight-line method over estimated useful lives ranging from 3 to 40 years. Depreciation expense, including capitalized lease amortization, was $364.1 million (1995), $215.9 million (1994) and $92.8 million (1993).</w:t>
      </w:r>
    </w:p>
    <w:p>
      <w:pPr>
        <w:spacing w:after="0" w:line="178" w:lineRule="exact"/>
        <w:rPr>
          <w:sz w:val="20"/>
          <w:szCs w:val="20"/>
          <w:color w:val="auto"/>
        </w:rPr>
      </w:pPr>
    </w:p>
    <w:p>
      <w:pPr>
        <w:jc w:val="both"/>
        <w:ind w:right="3619"/>
        <w:spacing w:after="0" w:line="256" w:lineRule="auto"/>
        <w:rPr>
          <w:sz w:val="20"/>
          <w:szCs w:val="20"/>
          <w:color w:val="auto"/>
        </w:rPr>
      </w:pPr>
      <w:r>
        <w:rPr>
          <w:rFonts w:ascii="Courier New" w:cs="Courier New" w:eastAsia="Courier New" w:hAnsi="Courier New"/>
          <w:sz w:val="14"/>
          <w:szCs w:val="14"/>
          <w:color w:val="auto"/>
        </w:rPr>
        <w:t>Property and equipment includes capital leases of $358.5 million and $102.4 million as of December 31, 1995 and December 31, 1994, respectively, net of accumulated amortization of $53.5 million and $21.8 million, respectively.</w:t>
      </w:r>
    </w:p>
    <w:p>
      <w:pPr>
        <w:spacing w:after="0" w:line="1"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Amortization expense related to capital leases was $39.1 million (1995), $13.1 million (1994) and $3.6 million (1993).</w:t>
      </w:r>
    </w:p>
    <w:p>
      <w:pPr>
        <w:spacing w:after="0" w:line="176"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INTANGIBLE ASSETS - Intangible assets, which primarily consist of the cost of acquired businesses in excess of the market value of tangible assets and liabilities acquired (goodwill), are generally amortized by the straight-line method over estimated useful lives of up to 40 years. The Company evaluates the amortization period of intangibles on an ongoing basis in light of changes in any business conditions, events or circumstances that may indicate the potential impairment of intangible assets. Accumulated amortization of intangible assets at December 31 was $1.1 billion (1995) and $663.2 million (1994).</w:t>
      </w:r>
    </w:p>
    <w:p>
      <w:pPr>
        <w:spacing w:after="0" w:line="167"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REVENUE RECOGNITION - Subscriber fees for Networks and Cable Television are recognized in the period the service is provided. Advertising revenues for Networks and Broadcasting are recognized in the period during which the spots are aired. Revenues from the video and music stores are recognized at the time of rental or sale. The publishing segment and new media recognize revenue when merchandise is shipped.</w:t>
      </w:r>
    </w:p>
    <w:p>
      <w:pPr>
        <w:spacing w:after="0" w:line="176"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Theatrical and Television Revenues - On average, the length of the initial revenue cycle for feature films approximates four to seven years. Theatrical revenues from domestic and foreign markets are recognized as films are exhibited; revenues from the sale of videocassettes and discs are recognized upon delivery of the merchandise; and revenues from all television sources are recognized upon availability of the film for telecast.</w:t>
      </w:r>
    </w:p>
    <w:p>
      <w:pPr>
        <w:spacing w:after="0" w:line="176"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Television series initially produced for the networks and first-run syndication are generally licensed to domestic and foreign markets concurrently. The more successful series are later syndicated in domestic markets and in certain foreign markets. The length of the revenue cycle for television series will vary depending on the number of seasons a series remains in active production. Revenues arising from television license agreements are recognized in the year that the films or television series are available for telecast.</w:t>
      </w:r>
    </w:p>
    <w:p>
      <w:pPr>
        <w:spacing w:after="0" w:line="16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INTEREST - Costs associated with the refinancing or issuance of debt, as well as with debt discount, are expensed as interest over the term of the related debt. The Company enters into interest rate exchange agreements; the amount to be paid or received under such agreements is accrued as interest rates change and is recognized over the life of the agreements as an adjustment to interest expense. Amounts paid for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II-24</w:t>
      </w:r>
    </w:p>
    <w:p>
      <w:pPr>
        <w:sectPr>
          <w:pgSz w:w="11900" w:h="16838" w:orient="portrait"/>
          <w:cols w:equalWidth="0" w:num="1">
            <w:col w:w="10219"/>
          </w:cols>
          <w:pgMar w:left="240" w:top="1130" w:right="1440" w:bottom="1440" w:gutter="0" w:footer="0" w:header="0"/>
        </w:sectPr>
      </w:pPr>
    </w:p>
    <w:bookmarkStart w:id="65" w:name="page66"/>
    <w:bookmarkEnd w:id="65"/>
    <w:p>
      <w:pPr>
        <w:jc w:val="center"/>
        <w:ind w:right="3179"/>
        <w:spacing w:after="0"/>
        <w:rPr>
          <w:sz w:val="20"/>
          <w:szCs w:val="20"/>
          <w:color w:val="auto"/>
        </w:rPr>
      </w:pPr>
      <w:r>
        <w:rPr>
          <w:rFonts w:ascii="Courier New" w:cs="Courier New" w:eastAsia="Courier New" w:hAnsi="Courier New"/>
          <w:sz w:val="15"/>
          <w:szCs w:val="15"/>
          <w:color w:val="auto"/>
        </w:rPr>
        <w:t>VIACOM INC. AND SUBSIDIARIES</w:t>
      </w: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4"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purchased interest rate cap agreements are amortized as interest expense over the term of the agreement (See Note 8).</w:t>
      </w:r>
    </w:p>
    <w:p>
      <w:pPr>
        <w:spacing w:after="0" w:line="176"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FOREIGN CURRENCY TRANSLATION AND TRANSACTIONS - The Company's foreign subsidiaries' assets and liabilities are translated at exchange rates in effect at the balance sheet date, while results of operations are translated at average exchange rates for the respective periods. The resulting translation gains or losses are included as a separate component of shareholders' equity. Foreign currency transaction gains and losses have been included in other items, net, and have not been material in any of the years presented.</w:t>
      </w:r>
    </w:p>
    <w:p>
      <w:pPr>
        <w:spacing w:after="0" w:line="167"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PROVISION FOR DOUBTFUL ACCOUNTS - The provision for doubtful accounts charged to expense was $104.3 million (1995), $61.6 million (1994) and $16.7 million (1993).</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NET EARNINGS PER COMMON SHARE - Primary net earnings per common share is calculated based on the weighted average number of common shares outstanding during each period, the effects of common shares potentially issuable in connection with the variable common rights ("VCRs") (prior to their settlement) and stock options and warrants for 1995 and 1994 and contingent value rights ("CVRs") for 1994. For 1993, the effect of contingently issuable common shares from stock options was immaterial and, therefore, the effect is not reflected in primary net earnings per common share. For each of the full years presented, the effect of the assumed conversion of Preferred Stock is antidilutive and therefore, not reflected in fully diluted net earnings per common share.</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RECLASSIFICATIONS</w:t>
      </w:r>
    </w:p>
    <w:p>
      <w:pPr>
        <w:spacing w:after="0" w:line="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Certain amounts reported for prior years have been reclassified to conform with the current presentation.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PRONOUNCEMENTS</w:t>
      </w:r>
    </w:p>
    <w:p>
      <w:pPr>
        <w:spacing w:after="0" w:line="5"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During 1995, the Financial Accounting Standards Board ("FASB") issued Statement of Financial Accounting Standards No. 121 ("SFAS 121"), "Accounting for the Impairment of Long-Lived Assets and for Long -Lived Assets to Be Disposed Of," which the Company will be required to adopt in 1996. SFAS 121 establishes accounting standards for the impairment of long-lived assets, certain identifiable intangibles and goodwill related to those assets to be held and used and for long-lived assets and certain identifiable intangibles to be disposed of. The Company does not expect that SFAS 121 will have a significant effect on the consolidated financial position or results of operations.</w:t>
      </w:r>
    </w:p>
    <w:p>
      <w:pPr>
        <w:spacing w:after="0" w:line="16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During 1995, the FASB issued Statement of Financial Accounting Standards No. 123 ("SFAS 123"), "Accounting for Stock-Based Compensation," which establishes a fair value based method of accounting for compensation cost related to stock option plans and other forms of stock based compensation plans as an alternative to the intrinsic value based method of accounting defined under Accounting Principles Board Opinion No. 25. Companies that do not elect the new method of accounting for 1996 will be required to provide pro forma disclosures as if the fair value based method had been applied for the current period and prior comparable period. The Company intends to adopt SFAS 123 by providing the pro forma disclosures.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II-25</w:t>
      </w:r>
    </w:p>
    <w:p>
      <w:pPr>
        <w:sectPr>
          <w:pgSz w:w="11900" w:h="16838" w:orient="portrait"/>
          <w:cols w:equalWidth="0" w:num="1">
            <w:col w:w="10219"/>
          </w:cols>
          <w:pgMar w:left="240" w:top="452" w:right="1440" w:bottom="1440" w:gutter="0" w:footer="0" w:header="0"/>
        </w:sectPr>
      </w:pPr>
    </w:p>
    <w:bookmarkStart w:id="66" w:name="page67"/>
    <w:bookmarkEnd w:id="66"/>
    <w:p>
      <w:pPr>
        <w:jc w:val="center"/>
        <w:ind w:right="3170"/>
        <w:spacing w:after="0"/>
        <w:rPr>
          <w:sz w:val="20"/>
          <w:szCs w:val="20"/>
          <w:color w:val="auto"/>
        </w:rPr>
      </w:pPr>
      <w:r>
        <w:rPr>
          <w:rFonts w:ascii="Courier New" w:cs="Courier New" w:eastAsia="Courier New" w:hAnsi="Courier New"/>
          <w:sz w:val="15"/>
          <w:szCs w:val="15"/>
          <w:color w:val="auto"/>
        </w:rPr>
        <w:t>VIACOM INC. AND SUBSIDIARIES</w:t>
      </w:r>
    </w:p>
    <w:p>
      <w:pPr>
        <w:ind w:left="1150"/>
        <w:spacing w:after="0"/>
        <w:rPr>
          <w:sz w:val="20"/>
          <w:szCs w:val="20"/>
          <w:color w:val="auto"/>
        </w:rPr>
      </w:pPr>
      <w:r>
        <w:rPr>
          <w:rFonts w:ascii="Courier New" w:cs="Courier New" w:eastAsia="Courier New" w:hAnsi="Courier New"/>
          <w:sz w:val="15"/>
          <w:szCs w:val="15"/>
          <w:color w:val="auto"/>
        </w:rPr>
        <w:t>NOTES TO CONSOLIDATED FINANCIAL STATEMENTS (continued)</w:t>
      </w:r>
    </w:p>
    <w:p>
      <w:pPr>
        <w:ind w:left="115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4" w:lineRule="exact"/>
        <w:rPr>
          <w:sz w:val="20"/>
          <w:szCs w:val="20"/>
          <w:color w:val="auto"/>
        </w:rPr>
      </w:pPr>
    </w:p>
    <w:p>
      <w:pPr>
        <w:ind w:left="270" w:right="6439" w:hanging="270"/>
        <w:spacing w:after="0" w:line="235" w:lineRule="auto"/>
        <w:tabs>
          <w:tab w:leader="none" w:pos="27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PARAMOUNT MERGER, BLOCKBUSTER MERGER AND RELATED TRANSACTIONS</w:t>
      </w:r>
    </w:p>
    <w:p>
      <w:pPr>
        <w:spacing w:after="0" w:line="176"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On March 11, 1994, the Company acquired a majority of the shares of Paramount Communications common stock outstanding at a price of $107 per share in cash. On July 7, 1994, Paramount Communications became a wholly owned subsidiary of the Company (the "Paramount Merger"). Each share of Paramount Communications common stock outstanding at the time of the Paramount Merger (other than shares held in the treasury of Paramount Communications or owned by the Company and other than shares held by any stockholders who demanded and perfected appraisal rights) was converted into the right to receive (i) 0.93065 of a share of Class B Common Stock, (ii) $17.50 principal amount of 8% exchangeable subordinated debentures ("8% Merger Debentures"), (iii) 0.93065 of a CVR, (iv) 0.5 of a warrant to purchase one share of Viacom Class B Common Stock at any time prior to the third anniversary of the Paramount Merger at a price of $60 per share, and (v) 0.3 of a warrant to purchase one share of Viacom Class B Common Stock at any time prior to the fifth anniversary of the Paramount Merger at a price of $70 per share.</w:t>
      </w:r>
    </w:p>
    <w:p>
      <w:pPr>
        <w:spacing w:after="0" w:line="165"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On July 7, 1995 the CVRs matured. The Company paid approximately $81.9 million in cash, or approximately $1.44 per CVR, to settle its obligation under the CVRs.</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On September 29, 1994, Blockbuster was merged with and into the Company (the "Blockbuster Merger"). Each share of Blockbuster Common Stock outstanding at the time of the Blockbuster Merger (other than shares held in the treasury of Blockbuster or owned by the Company) was converted into the right to receive (i) 0.08 of a share of Viacom Class A Common Stock, (ii) 0.60615 of a share of Viacom Class B Common Stock and (iii) one VCR.</w:t>
      </w:r>
    </w:p>
    <w:p>
      <w:pPr>
        <w:spacing w:after="0" w:line="176" w:lineRule="exact"/>
        <w:rPr>
          <w:sz w:val="20"/>
          <w:szCs w:val="20"/>
          <w:color w:val="auto"/>
        </w:rPr>
      </w:pPr>
    </w:p>
    <w:p>
      <w:pPr>
        <w:jc w:val="both"/>
        <w:ind w:left="10" w:right="3539"/>
        <w:spacing w:after="0" w:line="237" w:lineRule="auto"/>
        <w:rPr>
          <w:sz w:val="20"/>
          <w:szCs w:val="20"/>
          <w:color w:val="auto"/>
        </w:rPr>
      </w:pPr>
      <w:r>
        <w:rPr>
          <w:rFonts w:ascii="Courier New" w:cs="Courier New" w:eastAsia="Courier New" w:hAnsi="Courier New"/>
          <w:sz w:val="15"/>
          <w:szCs w:val="15"/>
          <w:color w:val="auto"/>
        </w:rPr>
        <w:t>On September 29, 1995 the VCRs matured. The Company issued approximately 6.1 million shares of Viacom Inc. Class B Common Stock, or .022665 of a share of Viacom Inc. Class B Common Stock per VCR, to settle its obligation under the VCRs.</w:t>
      </w:r>
    </w:p>
    <w:p>
      <w:pPr>
        <w:spacing w:after="0" w:line="176"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The Paramount Merger and the Blockbuster Merger (collectively, the "Mergers") have been accounted for under the purchase method of accounting. Accordingly, the total cost to acquire Paramount Communications of $9.9 billion and Blockbuster of $7.6 billion has been allocated to the respective assets and liabilities acquired based on their fair values at the time of the Mergers with the aggregate excess cost over the fair value of net tangible assets acquired of $7.9 billion and $6.8 billion, respectively, allocated to goodwill.</w:t>
      </w:r>
    </w:p>
    <w:p>
      <w:pPr>
        <w:spacing w:after="0" w:line="167"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The unaudited condensed pro forma results of operations data presented below assumes that the Mergers and related transactions, the sale of the one-third partnership interest in Lifetime and the sale of MSG (as defined in Note 4) occurred at the beginning of each period presented. The unaudited condensed pro forma results of operations data was prepared based upon the historical consolidated results of operations of the Company for the years ended December 31, 1994 and 1993, Paramount for the two months ended February 28, 1994 and year ended December 31, 1993, and Blockbuster for the nine months ended September 30, 1994 and year ended December 31, 1993, adjusted to exclude the non-recurring merger-related charges of $332.1 million (as described below). Financial information for Paramount Communications and Blockbuster subsequent to the date of acquisition is included in the Company's</w:t>
      </w:r>
    </w:p>
    <w:p>
      <w:pPr>
        <w:spacing w:after="0" w:line="200" w:lineRule="exact"/>
        <w:rPr>
          <w:sz w:val="20"/>
          <w:szCs w:val="20"/>
          <w:color w:val="auto"/>
        </w:rPr>
      </w:pPr>
    </w:p>
    <w:p>
      <w:pPr>
        <w:spacing w:after="0" w:line="315"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II-26</w:t>
      </w:r>
    </w:p>
    <w:p>
      <w:pPr>
        <w:sectPr>
          <w:pgSz w:w="11900" w:h="16838" w:orient="portrait"/>
          <w:cols w:equalWidth="0" w:num="1">
            <w:col w:w="10229"/>
          </w:cols>
          <w:pgMar w:left="230" w:top="452" w:right="1440" w:bottom="1440" w:gutter="0" w:footer="0" w:header="0"/>
        </w:sectPr>
      </w:pPr>
    </w:p>
    <w:bookmarkStart w:id="67" w:name="page68"/>
    <w:bookmarkEnd w:id="67"/>
    <w:p>
      <w:pPr>
        <w:jc w:val="center"/>
        <w:ind w:right="3179"/>
        <w:spacing w:after="0"/>
        <w:rPr>
          <w:sz w:val="20"/>
          <w:szCs w:val="20"/>
          <w:color w:val="auto"/>
        </w:rPr>
      </w:pPr>
      <w:r>
        <w:rPr>
          <w:rFonts w:ascii="Courier New" w:cs="Courier New" w:eastAsia="Courier New" w:hAnsi="Courier New"/>
          <w:sz w:val="15"/>
          <w:szCs w:val="15"/>
          <w:color w:val="auto"/>
        </w:rPr>
        <w:t>VIACOM INC. AND SUBSIDIARIES</w:t>
      </w: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historical information. Intangible assets are amortized principally over 40 years on a straight-line basis. The following unaudited pro forma information is not necessarily indicative of the combined results of operations of the Company, Paramount Communications and Blockbuster that would have occurred if the completion of the transactions had occurred on the dates previously indicated nor are they necessarily indicative of future operating results of the combined company.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40" w:type="dxa"/>
            <w:vAlign w:val="bottom"/>
          </w:tcPr>
          <w:p>
            <w:pPr>
              <w:spacing w:after="0"/>
              <w:rPr>
                <w:sz w:val="14"/>
                <w:szCs w:val="14"/>
                <w:color w:val="auto"/>
              </w:rPr>
            </w:pPr>
          </w:p>
        </w:tc>
        <w:tc>
          <w:tcPr>
            <w:tcW w:w="25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4440" w:type="dxa"/>
            <w:vAlign w:val="bottom"/>
          </w:tcPr>
          <w:p>
            <w:pPr>
              <w:spacing w:after="0"/>
              <w:rPr>
                <w:sz w:val="14"/>
                <w:szCs w:val="14"/>
                <w:color w:val="auto"/>
              </w:rPr>
            </w:pPr>
          </w:p>
        </w:tc>
        <w:tc>
          <w:tcPr>
            <w:tcW w:w="25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440" w:type="dxa"/>
            <w:vAlign w:val="bottom"/>
          </w:tcPr>
          <w:p>
            <w:pPr>
              <w:spacing w:after="0"/>
              <w:rPr>
                <w:sz w:val="14"/>
                <w:szCs w:val="14"/>
                <w:color w:val="auto"/>
              </w:rPr>
            </w:pPr>
          </w:p>
        </w:tc>
        <w:tc>
          <w:tcPr>
            <w:tcW w:w="1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1994</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4440" w:type="dxa"/>
            <w:vAlign w:val="bottom"/>
          </w:tcPr>
          <w:p>
            <w:pPr>
              <w:spacing w:after="0"/>
              <w:rPr>
                <w:sz w:val="14"/>
                <w:szCs w:val="14"/>
                <w:color w:val="auto"/>
              </w:rPr>
            </w:pPr>
          </w:p>
        </w:tc>
        <w:tc>
          <w:tcPr>
            <w:tcW w:w="1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4440" w:type="dxa"/>
            <w:vAlign w:val="bottom"/>
          </w:tcPr>
          <w:p>
            <w:pPr>
              <w:spacing w:after="0"/>
              <w:rPr>
                <w:sz w:val="14"/>
                <w:szCs w:val="14"/>
                <w:color w:val="auto"/>
              </w:rPr>
            </w:pPr>
          </w:p>
        </w:tc>
        <w:tc>
          <w:tcPr>
            <w:tcW w:w="25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(UNAUDITED)</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$10,121.6</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$ 9,235.5</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1,040.0</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758.7</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Net earnings from continuing operations before</w:t>
            </w: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4440" w:type="dxa"/>
            <w:vAlign w:val="bottom"/>
          </w:tcPr>
          <w:p>
            <w:pPr>
              <w:ind w:left="260"/>
              <w:spacing w:after="0"/>
              <w:rPr>
                <w:sz w:val="20"/>
                <w:szCs w:val="20"/>
                <w:color w:val="auto"/>
              </w:rPr>
            </w:pPr>
            <w:r>
              <w:rPr>
                <w:rFonts w:ascii="Courier New" w:cs="Courier New" w:eastAsia="Courier New" w:hAnsi="Courier New"/>
                <w:sz w:val="15"/>
                <w:szCs w:val="15"/>
                <w:color w:val="auto"/>
              </w:rPr>
              <w:t>extraordinary loss, cumulative effect of a</w:t>
            </w: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4440" w:type="dxa"/>
            <w:vAlign w:val="bottom"/>
          </w:tcPr>
          <w:p>
            <w:pPr>
              <w:ind w:left="260"/>
              <w:spacing w:after="0"/>
              <w:rPr>
                <w:sz w:val="20"/>
                <w:szCs w:val="20"/>
                <w:color w:val="auto"/>
              </w:rPr>
            </w:pPr>
            <w:r>
              <w:rPr>
                <w:rFonts w:ascii="Courier New" w:cs="Courier New" w:eastAsia="Courier New" w:hAnsi="Courier New"/>
                <w:sz w:val="15"/>
                <w:szCs w:val="15"/>
                <w:color w:val="auto"/>
              </w:rPr>
              <w:t>change in accounting principle and preferred</w:t>
            </w: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4440" w:type="dxa"/>
            <w:vAlign w:val="bottom"/>
          </w:tcPr>
          <w:p>
            <w:pPr>
              <w:ind w:left="260"/>
              <w:spacing w:after="0"/>
              <w:rPr>
                <w:sz w:val="20"/>
                <w:szCs w:val="20"/>
                <w:color w:val="auto"/>
              </w:rPr>
            </w:pPr>
            <w:r>
              <w:rPr>
                <w:rFonts w:ascii="Courier New" w:cs="Courier New" w:eastAsia="Courier New" w:hAnsi="Courier New"/>
                <w:sz w:val="15"/>
                <w:szCs w:val="15"/>
                <w:color w:val="auto"/>
              </w:rPr>
              <w:t>stock dividends.............................</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111.6</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10.9</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Net earnings (loss) attributable to common stock</w:t>
            </w: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4440" w:type="dxa"/>
            <w:vAlign w:val="bottom"/>
          </w:tcPr>
          <w:p>
            <w:pPr>
              <w:ind w:left="260"/>
              <w:spacing w:after="0"/>
              <w:rPr>
                <w:sz w:val="20"/>
                <w:szCs w:val="20"/>
                <w:color w:val="auto"/>
              </w:rPr>
            </w:pPr>
            <w:r>
              <w:rPr>
                <w:rFonts w:ascii="Courier New" w:cs="Courier New" w:eastAsia="Courier New" w:hAnsi="Courier New"/>
                <w:sz w:val="15"/>
                <w:szCs w:val="15"/>
                <w:color w:val="auto"/>
              </w:rPr>
              <w:t>before extraordinary loss and cumulative</w:t>
            </w: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4440" w:type="dxa"/>
            <w:vAlign w:val="bottom"/>
          </w:tcPr>
          <w:p>
            <w:pPr>
              <w:ind w:left="260"/>
              <w:spacing w:after="0"/>
              <w:rPr>
                <w:sz w:val="20"/>
                <w:szCs w:val="20"/>
                <w:color w:val="auto"/>
              </w:rPr>
            </w:pPr>
            <w:r>
              <w:rPr>
                <w:rFonts w:ascii="Courier New" w:cs="Courier New" w:eastAsia="Courier New" w:hAnsi="Courier New"/>
                <w:sz w:val="15"/>
                <w:szCs w:val="15"/>
                <w:color w:val="auto"/>
              </w:rPr>
              <w:t>effect of a change in accounting principle..</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51.6</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(49.1)</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Earnings (loss) per common share before</w:t>
            </w: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4440" w:type="dxa"/>
            <w:vAlign w:val="bottom"/>
          </w:tcPr>
          <w:p>
            <w:pPr>
              <w:ind w:left="260"/>
              <w:spacing w:after="0"/>
              <w:rPr>
                <w:sz w:val="20"/>
                <w:szCs w:val="20"/>
                <w:color w:val="auto"/>
              </w:rPr>
            </w:pPr>
            <w:r>
              <w:rPr>
                <w:rFonts w:ascii="Courier New" w:cs="Courier New" w:eastAsia="Courier New" w:hAnsi="Courier New"/>
                <w:sz w:val="15"/>
                <w:szCs w:val="15"/>
                <w:color w:val="auto"/>
              </w:rPr>
              <w:t>extraordinary loss and cumulative effect of</w:t>
            </w: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4440" w:type="dxa"/>
            <w:vAlign w:val="bottom"/>
          </w:tcPr>
          <w:p>
            <w:pPr>
              <w:ind w:left="260"/>
              <w:spacing w:after="0"/>
              <w:rPr>
                <w:sz w:val="20"/>
                <w:szCs w:val="20"/>
                <w:color w:val="auto"/>
              </w:rPr>
            </w:pPr>
            <w:r>
              <w:rPr>
                <w:rFonts w:ascii="Courier New" w:cs="Courier New" w:eastAsia="Courier New" w:hAnsi="Courier New"/>
                <w:sz w:val="15"/>
                <w:szCs w:val="15"/>
                <w:color w:val="auto"/>
              </w:rPr>
              <w:t>change in accounting principle..............</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bl>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Pro forma operating income for the year ended December 31, 1994 excludes $332.1 million of non-recurring merger-related charges reflecting the integration of the Company's pre-merger businesses with similar Paramount Communications units, and related management and strategic changes principally related to the merger with Paramount Communications.</w:t>
      </w:r>
    </w:p>
    <w:p>
      <w:pPr>
        <w:spacing w:after="0" w:line="178"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During each of the years presented, the Company has also acquired or sold certain other businesses. The contributions of these businesses in the aggregate were not significant to the Company's results of operations for the periods presented, nor are they expected to have a material effect on the Company's results on a continuing basis.</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As part of the Mergers, the Company recognized costs of plans to exit activities and terminate and relocate employees of Paramount Communications and Blockbuster. The total liabilities accrued for such costs were $228.7 million, of which $71.4 million represents costs to exit activities, $119.2 million for severance costs and $38.1 million for relocation costs. During 1995 and 1994, the Company paid and charged against the liabilities $79.9 million and $84.6 million, respectively. The Company expects to substantially complete the activities related to these liabilities during 1996.</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POTENTIAL TRANSACTION</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During July 1995, the Company entered into an agreement to split-off its cable systems to its shareholders through a dutch-auction exchange offer. The exchange offer will allow shareholders to exchange shares of Viacom Inc. Class A or Class B Common Stock for shares of cumulative, redeemable exchangeable preferred stock of a subsidiary of Viacom that holds its cable systems. Prior to the consummation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II-27</w:t>
      </w:r>
    </w:p>
    <w:p>
      <w:pPr>
        <w:sectPr>
          <w:pgSz w:w="11900" w:h="16838" w:orient="portrait"/>
          <w:cols w:equalWidth="0" w:num="1">
            <w:col w:w="10219"/>
          </w:cols>
          <w:pgMar w:left="240" w:top="452" w:right="1440" w:bottom="1440" w:gutter="0" w:footer="0" w:header="0"/>
        </w:sectPr>
      </w:pPr>
    </w:p>
    <w:bookmarkStart w:id="68" w:name="page69"/>
    <w:bookmarkEnd w:id="68"/>
    <w:p>
      <w:pPr>
        <w:jc w:val="center"/>
        <w:ind w:right="3170"/>
        <w:spacing w:after="0"/>
        <w:rPr>
          <w:sz w:val="20"/>
          <w:szCs w:val="20"/>
          <w:color w:val="auto"/>
        </w:rPr>
      </w:pPr>
      <w:r>
        <w:rPr>
          <w:rFonts w:ascii="Courier New" w:cs="Courier New" w:eastAsia="Courier New" w:hAnsi="Courier New"/>
          <w:sz w:val="15"/>
          <w:szCs w:val="15"/>
          <w:color w:val="auto"/>
        </w:rPr>
        <w:t>VIACOM INC. AND SUBSIDIARIES</w:t>
      </w:r>
    </w:p>
    <w:p>
      <w:pPr>
        <w:ind w:left="1150"/>
        <w:spacing w:after="0"/>
        <w:rPr>
          <w:sz w:val="20"/>
          <w:szCs w:val="20"/>
          <w:color w:val="auto"/>
        </w:rPr>
      </w:pPr>
      <w:r>
        <w:rPr>
          <w:rFonts w:ascii="Courier New" w:cs="Courier New" w:eastAsia="Courier New" w:hAnsi="Courier New"/>
          <w:sz w:val="15"/>
          <w:szCs w:val="15"/>
          <w:color w:val="auto"/>
        </w:rPr>
        <w:t>NOTES TO CONSOLIDATED FINANCIAL STATEMENTS (continued)</w:t>
      </w:r>
    </w:p>
    <w:p>
      <w:pPr>
        <w:ind w:left="115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343"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exchange offer, such subsidiary will enter into a $1.7 billion credit agreement, the proceeds of which will be transferred to another subsidiary of Viacom. The Company also entered into a definitive agreement with Tele-Communications, Inc. ("TCI") under which a subsidiary of TCI, through a capital contribution of $350 million in cash, will purchase all of the common shares of such subsidiary immediately following the split-off. National Amusements, Inc. ("NAI"), which owns approximately 25% of Viacom Inc. Class A and Class B Common Stock on a combined basis, will not participate in the exchange offer. The exchange offer and related transactions are subject to several conditions, including regulatory approvals, receipt of a tax ruling and consummation of the exchange offer.</w:t>
      </w:r>
    </w:p>
    <w:p>
      <w:pPr>
        <w:spacing w:after="0" w:line="33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4) DISPOSITION</w:t>
      </w:r>
    </w:p>
    <w:p>
      <w:pPr>
        <w:spacing w:after="0" w:line="175"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On March 10, 1995, the Company sold Madison Square Garden Corporation, which included the Madison Square Garden Arena, The Paramount theater, the New York Knickerbockers, the New York Rangers and the Madison Square Garden Network (collectively "MSG") to a joint venture of ITT Corporation and Cablevision Systems Corporation for closing proceeds of $1.0 billion, representing the sale price of $1.1 billion, less approximately $66 million in working capital adjustments. MSG was acquired by the Company as part of Paramount Communications with its book value recorded at fair value and therefore no gain was recorded on its sale. Proceeds from the sale of MSG and other dispositions were used to repay notes payable to banks, of which approximately $600 million represents a permanent reduction of the Company's bank commitments.</w:t>
      </w:r>
    </w:p>
    <w:p>
      <w:pPr>
        <w:spacing w:after="0" w:line="166" w:lineRule="exact"/>
        <w:rPr>
          <w:sz w:val="20"/>
          <w:szCs w:val="20"/>
          <w:color w:val="auto"/>
        </w:rPr>
      </w:pPr>
    </w:p>
    <w:p>
      <w:pPr>
        <w:ind w:left="10" w:right="3539"/>
        <w:spacing w:after="0" w:line="237" w:lineRule="auto"/>
        <w:rPr>
          <w:sz w:val="20"/>
          <w:szCs w:val="20"/>
          <w:color w:val="auto"/>
        </w:rPr>
      </w:pPr>
      <w:r>
        <w:rPr>
          <w:rFonts w:ascii="Courier New" w:cs="Courier New" w:eastAsia="Courier New" w:hAnsi="Courier New"/>
          <w:sz w:val="15"/>
          <w:szCs w:val="15"/>
          <w:color w:val="auto"/>
        </w:rPr>
        <w:t>MSG has been accounted for as a discontinued operation and, accordingly, its operating results and net assets have been separately disclosed in the consolidated financial statements. Summarized results of operations and financial position data for MSG, reflected in the Company's financial statements, are as follows: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350" w:type="dxa"/>
        <w:tblCellMar>
          <w:top w:w="0" w:type="dxa"/>
          <w:left w:w="0" w:type="dxa"/>
          <w:bottom w:w="0" w:type="dxa"/>
          <w:right w:w="0" w:type="dxa"/>
        </w:tblCellMar>
      </w:tblPr>
      <w:tr>
        <w:trPr>
          <w:trHeight w:val="170"/>
        </w:trPr>
        <w:tc>
          <w:tcPr>
            <w:tcW w:w="4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w w:val="97"/>
              </w:rPr>
              <w:t>YEAR ENDED DECEMBER 31,</w:t>
            </w:r>
          </w:p>
        </w:tc>
      </w:tr>
      <w:tr>
        <w:trPr>
          <w:trHeight w:val="170"/>
        </w:trPr>
        <w:tc>
          <w:tcPr>
            <w:tcW w:w="4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320" w:type="dxa"/>
            <w:vAlign w:val="bottom"/>
          </w:tcPr>
          <w:p>
            <w:pPr>
              <w:spacing w:after="0"/>
              <w:rPr>
                <w:sz w:val="14"/>
                <w:szCs w:val="14"/>
                <w:color w:val="auto"/>
              </w:rPr>
            </w:pP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1995 (1)</w:t>
            </w:r>
          </w:p>
        </w:tc>
        <w:tc>
          <w:tcPr>
            <w:tcW w:w="1180" w:type="dxa"/>
            <w:vAlign w:val="bottom"/>
          </w:tcPr>
          <w:p>
            <w:pPr>
              <w:ind w:left="800"/>
              <w:spacing w:after="0"/>
              <w:rPr>
                <w:sz w:val="20"/>
                <w:szCs w:val="20"/>
                <w:color w:val="auto"/>
              </w:rPr>
            </w:pPr>
            <w:r>
              <w:rPr>
                <w:rFonts w:ascii="Courier New" w:cs="Courier New" w:eastAsia="Courier New" w:hAnsi="Courier New"/>
                <w:sz w:val="15"/>
                <w:szCs w:val="15"/>
                <w:color w:val="auto"/>
                <w:w w:val="99"/>
              </w:rPr>
              <w:t>1994</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w:t>
            </w:r>
          </w:p>
        </w:tc>
      </w:tr>
      <w:tr>
        <w:trPr>
          <w:trHeight w:val="170"/>
        </w:trPr>
        <w:tc>
          <w:tcPr>
            <w:tcW w:w="4320" w:type="dxa"/>
            <w:vAlign w:val="bottom"/>
          </w:tcPr>
          <w:p>
            <w:pPr>
              <w:spacing w:after="0"/>
              <w:rPr>
                <w:sz w:val="14"/>
                <w:szCs w:val="14"/>
                <w:color w:val="auto"/>
              </w:rPr>
            </w:pP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w:t>
            </w:r>
          </w:p>
        </w:tc>
      </w:tr>
      <w:tr>
        <w:trPr>
          <w:trHeight w:val="339"/>
        </w:trPr>
        <w:tc>
          <w:tcPr>
            <w:tcW w:w="4320" w:type="dxa"/>
            <w:vAlign w:val="bottom"/>
          </w:tcPr>
          <w:p>
            <w:pPr>
              <w:ind w:left="100"/>
              <w:spacing w:after="0"/>
              <w:rPr>
                <w:sz w:val="20"/>
                <w:szCs w:val="20"/>
                <w:color w:val="auto"/>
              </w:rPr>
            </w:pPr>
            <w:r>
              <w:rPr>
                <w:rFonts w:ascii="Courier New" w:cs="Courier New" w:eastAsia="Courier New" w:hAnsi="Courier New"/>
                <w:sz w:val="15"/>
                <w:szCs w:val="15"/>
                <w:color w:val="auto"/>
              </w:rPr>
              <w:t>RESULTS OF OPERATIONS:</w:t>
            </w: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70"/>
        </w:trPr>
        <w:tc>
          <w:tcPr>
            <w:tcW w:w="4320" w:type="dxa"/>
            <w:vAlign w:val="bottom"/>
          </w:tcPr>
          <w:p>
            <w:pPr>
              <w:ind w:left="100"/>
              <w:spacing w:after="0"/>
              <w:rPr>
                <w:sz w:val="20"/>
                <w:szCs w:val="20"/>
                <w:color w:val="auto"/>
              </w:rPr>
            </w:pPr>
            <w:r>
              <w:rPr>
                <w:rFonts w:ascii="Courier New" w:cs="Courier New" w:eastAsia="Courier New" w:hAnsi="Courier New"/>
                <w:sz w:val="15"/>
                <w:szCs w:val="15"/>
                <w:color w:val="auto"/>
              </w:rPr>
              <w:t>Revenues......................................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91.5</w:t>
            </w:r>
          </w:p>
        </w:tc>
        <w:tc>
          <w:tcPr>
            <w:tcW w:w="15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$ 273.4</w:t>
            </w:r>
          </w:p>
        </w:tc>
      </w:tr>
      <w:tr>
        <w:trPr>
          <w:trHeight w:val="170"/>
        </w:trPr>
        <w:tc>
          <w:tcPr>
            <w:tcW w:w="47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7"/>
              </w:rPr>
              <w:t>Earnings (loss) from operations before income taxes $</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12.7</w:t>
            </w:r>
          </w:p>
        </w:tc>
        <w:tc>
          <w:tcPr>
            <w:tcW w:w="15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 (25.4)</w:t>
            </w:r>
          </w:p>
        </w:tc>
      </w:tr>
      <w:tr>
        <w:trPr>
          <w:trHeight w:val="170"/>
        </w:trPr>
        <w:tc>
          <w:tcPr>
            <w:tcW w:w="4320" w:type="dxa"/>
            <w:vAlign w:val="bottom"/>
          </w:tcPr>
          <w:p>
            <w:pPr>
              <w:ind w:left="100"/>
              <w:spacing w:after="0"/>
              <w:rPr>
                <w:sz w:val="20"/>
                <w:szCs w:val="20"/>
                <w:color w:val="auto"/>
              </w:rPr>
            </w:pPr>
            <w:r>
              <w:rPr>
                <w:rFonts w:ascii="Courier New" w:cs="Courier New" w:eastAsia="Courier New" w:hAnsi="Courier New"/>
                <w:sz w:val="15"/>
                <w:szCs w:val="15"/>
                <w:color w:val="auto"/>
              </w:rPr>
              <w:t>(Provision) benefit for income taxes..........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w:t>
            </w:r>
          </w:p>
        </w:tc>
        <w:tc>
          <w:tcPr>
            <w:tcW w:w="15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   4.9</w:t>
            </w:r>
          </w:p>
        </w:tc>
      </w:tr>
      <w:tr>
        <w:trPr>
          <w:trHeight w:val="170"/>
        </w:trPr>
        <w:tc>
          <w:tcPr>
            <w:tcW w:w="4320" w:type="dxa"/>
            <w:vAlign w:val="bottom"/>
          </w:tcPr>
          <w:p>
            <w:pPr>
              <w:ind w:left="100"/>
              <w:spacing w:after="0"/>
              <w:rPr>
                <w:sz w:val="20"/>
                <w:szCs w:val="20"/>
                <w:color w:val="auto"/>
              </w:rPr>
            </w:pPr>
            <w:r>
              <w:rPr>
                <w:rFonts w:ascii="Courier New" w:cs="Courier New" w:eastAsia="Courier New" w:hAnsi="Courier New"/>
                <w:sz w:val="15"/>
                <w:szCs w:val="15"/>
                <w:color w:val="auto"/>
              </w:rPr>
              <w:t>Net earnings (loss)...........................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7.6</w:t>
            </w:r>
          </w:p>
        </w:tc>
        <w:tc>
          <w:tcPr>
            <w:tcW w:w="15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 (20.5)</w:t>
            </w:r>
          </w:p>
        </w:tc>
      </w:tr>
      <w:tr>
        <w:trPr>
          <w:trHeight w:val="339"/>
        </w:trPr>
        <w:tc>
          <w:tcPr>
            <w:tcW w:w="4320" w:type="dxa"/>
            <w:vAlign w:val="bottom"/>
          </w:tcPr>
          <w:p>
            <w:pPr>
              <w:spacing w:after="0"/>
              <w:rPr>
                <w:sz w:val="24"/>
                <w:szCs w:val="24"/>
                <w:color w:val="auto"/>
              </w:rPr>
            </w:pPr>
          </w:p>
        </w:tc>
        <w:tc>
          <w:tcPr>
            <w:tcW w:w="26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 ENDED DECEMBER 31, 1994</w:t>
            </w:r>
          </w:p>
        </w:tc>
      </w:tr>
      <w:tr>
        <w:trPr>
          <w:trHeight w:val="170"/>
        </w:trPr>
        <w:tc>
          <w:tcPr>
            <w:tcW w:w="4320" w:type="dxa"/>
            <w:vAlign w:val="bottom"/>
          </w:tcPr>
          <w:p>
            <w:pPr>
              <w:spacing w:after="0"/>
              <w:rPr>
                <w:sz w:val="14"/>
                <w:szCs w:val="14"/>
                <w:color w:val="auto"/>
              </w:rPr>
            </w:pPr>
          </w:p>
        </w:tc>
        <w:tc>
          <w:tcPr>
            <w:tcW w:w="26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20" w:type="dxa"/>
            <w:vAlign w:val="bottom"/>
          </w:tcPr>
          <w:p>
            <w:pPr>
              <w:spacing w:after="0"/>
              <w:rPr>
                <w:sz w:val="20"/>
                <w:szCs w:val="20"/>
                <w:color w:val="auto"/>
              </w:rPr>
            </w:pPr>
            <w:r>
              <w:rPr>
                <w:rFonts w:ascii="Courier New" w:cs="Courier New" w:eastAsia="Courier New" w:hAnsi="Courier New"/>
                <w:sz w:val="15"/>
                <w:szCs w:val="15"/>
                <w:color w:val="auto"/>
              </w:rPr>
              <w:t>FINANCIAL POSITION:</w:t>
            </w: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70"/>
        </w:trPr>
        <w:tc>
          <w:tcPr>
            <w:tcW w:w="4320" w:type="dxa"/>
            <w:vAlign w:val="bottom"/>
          </w:tcPr>
          <w:p>
            <w:pPr>
              <w:ind w:left="100"/>
              <w:spacing w:after="0"/>
              <w:rPr>
                <w:sz w:val="20"/>
                <w:szCs w:val="20"/>
                <w:color w:val="auto"/>
              </w:rPr>
            </w:pPr>
            <w:r>
              <w:rPr>
                <w:rFonts w:ascii="Courier New" w:cs="Courier New" w:eastAsia="Courier New" w:hAnsi="Courier New"/>
                <w:sz w:val="15"/>
                <w:szCs w:val="15"/>
                <w:color w:val="auto"/>
              </w:rPr>
              <w:t>Current assets................................</w:t>
            </w: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$107.8</w:t>
            </w:r>
          </w:p>
        </w:tc>
        <w:tc>
          <w:tcPr>
            <w:tcW w:w="400" w:type="dxa"/>
            <w:vAlign w:val="bottom"/>
          </w:tcPr>
          <w:p>
            <w:pPr>
              <w:spacing w:after="0"/>
              <w:rPr>
                <w:sz w:val="14"/>
                <w:szCs w:val="14"/>
                <w:color w:val="auto"/>
              </w:rPr>
            </w:pPr>
          </w:p>
        </w:tc>
      </w:tr>
      <w:tr>
        <w:trPr>
          <w:trHeight w:val="170"/>
        </w:trPr>
        <w:tc>
          <w:tcPr>
            <w:tcW w:w="4320" w:type="dxa"/>
            <w:vAlign w:val="bottom"/>
          </w:tcPr>
          <w:p>
            <w:pPr>
              <w:ind w:left="100"/>
              <w:spacing w:after="0"/>
              <w:rPr>
                <w:sz w:val="20"/>
                <w:szCs w:val="20"/>
                <w:color w:val="auto"/>
              </w:rPr>
            </w:pPr>
            <w:r>
              <w:rPr>
                <w:rFonts w:ascii="Courier New" w:cs="Courier New" w:eastAsia="Courier New" w:hAnsi="Courier New"/>
                <w:sz w:val="15"/>
                <w:szCs w:val="15"/>
                <w:color w:val="auto"/>
              </w:rPr>
              <w:t>Net property, plant and equipment.............</w:t>
            </w: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312.9</w:t>
            </w:r>
          </w:p>
        </w:tc>
        <w:tc>
          <w:tcPr>
            <w:tcW w:w="400" w:type="dxa"/>
            <w:vAlign w:val="bottom"/>
          </w:tcPr>
          <w:p>
            <w:pPr>
              <w:spacing w:after="0"/>
              <w:rPr>
                <w:sz w:val="14"/>
                <w:szCs w:val="14"/>
                <w:color w:val="auto"/>
              </w:rPr>
            </w:pPr>
          </w:p>
        </w:tc>
      </w:tr>
      <w:tr>
        <w:trPr>
          <w:trHeight w:val="170"/>
        </w:trPr>
        <w:tc>
          <w:tcPr>
            <w:tcW w:w="4320" w:type="dxa"/>
            <w:vAlign w:val="bottom"/>
          </w:tcPr>
          <w:p>
            <w:pPr>
              <w:ind w:left="100"/>
              <w:spacing w:after="0"/>
              <w:rPr>
                <w:sz w:val="20"/>
                <w:szCs w:val="20"/>
                <w:color w:val="auto"/>
              </w:rPr>
            </w:pPr>
            <w:r>
              <w:rPr>
                <w:rFonts w:ascii="Courier New" w:cs="Courier New" w:eastAsia="Courier New" w:hAnsi="Courier New"/>
                <w:sz w:val="15"/>
                <w:szCs w:val="15"/>
                <w:color w:val="auto"/>
              </w:rPr>
              <w:t>Other assets..................................</w:t>
            </w: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409.4</w:t>
            </w:r>
          </w:p>
        </w:tc>
        <w:tc>
          <w:tcPr>
            <w:tcW w:w="400" w:type="dxa"/>
            <w:vAlign w:val="bottom"/>
          </w:tcPr>
          <w:p>
            <w:pPr>
              <w:spacing w:after="0"/>
              <w:rPr>
                <w:sz w:val="14"/>
                <w:szCs w:val="14"/>
                <w:color w:val="auto"/>
              </w:rPr>
            </w:pPr>
          </w:p>
        </w:tc>
      </w:tr>
      <w:tr>
        <w:trPr>
          <w:trHeight w:val="170"/>
        </w:trPr>
        <w:tc>
          <w:tcPr>
            <w:tcW w:w="4320" w:type="dxa"/>
            <w:vAlign w:val="bottom"/>
          </w:tcPr>
          <w:p>
            <w:pPr>
              <w:ind w:left="100"/>
              <w:spacing w:after="0"/>
              <w:rPr>
                <w:sz w:val="20"/>
                <w:szCs w:val="20"/>
                <w:color w:val="auto"/>
              </w:rPr>
            </w:pPr>
            <w:r>
              <w:rPr>
                <w:rFonts w:ascii="Courier New" w:cs="Courier New" w:eastAsia="Courier New" w:hAnsi="Courier New"/>
                <w:sz w:val="15"/>
                <w:szCs w:val="15"/>
                <w:color w:val="auto"/>
              </w:rPr>
              <w:t>Total liabilities.............................</w:t>
            </w: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(132.7)</w:t>
            </w:r>
          </w:p>
        </w:tc>
        <w:tc>
          <w:tcPr>
            <w:tcW w:w="400" w:type="dxa"/>
            <w:vAlign w:val="bottom"/>
          </w:tcPr>
          <w:p>
            <w:pPr>
              <w:spacing w:after="0"/>
              <w:rPr>
                <w:sz w:val="14"/>
                <w:szCs w:val="14"/>
                <w:color w:val="auto"/>
              </w:rPr>
            </w:pPr>
          </w:p>
        </w:tc>
      </w:tr>
      <w:tr>
        <w:trPr>
          <w:trHeight w:val="170"/>
        </w:trPr>
        <w:tc>
          <w:tcPr>
            <w:tcW w:w="4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r>
      <w:tr>
        <w:trPr>
          <w:trHeight w:val="170"/>
        </w:trPr>
        <w:tc>
          <w:tcPr>
            <w:tcW w:w="4320" w:type="dxa"/>
            <w:vAlign w:val="bottom"/>
          </w:tcPr>
          <w:p>
            <w:pPr>
              <w:ind w:left="100"/>
              <w:spacing w:after="0"/>
              <w:rPr>
                <w:sz w:val="20"/>
                <w:szCs w:val="20"/>
                <w:color w:val="auto"/>
              </w:rPr>
            </w:pPr>
            <w:r>
              <w:rPr>
                <w:rFonts w:ascii="Courier New" w:cs="Courier New" w:eastAsia="Courier New" w:hAnsi="Courier New"/>
                <w:sz w:val="15"/>
                <w:szCs w:val="15"/>
                <w:color w:val="auto"/>
              </w:rPr>
              <w:t>Net assets of discontinued operations.........</w:t>
            </w: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$697.4</w:t>
            </w:r>
          </w:p>
        </w:tc>
        <w:tc>
          <w:tcPr>
            <w:tcW w:w="400" w:type="dxa"/>
            <w:vAlign w:val="bottom"/>
          </w:tcPr>
          <w:p>
            <w:pPr>
              <w:spacing w:after="0"/>
              <w:rPr>
                <w:sz w:val="14"/>
                <w:szCs w:val="14"/>
                <w:color w:val="auto"/>
              </w:rPr>
            </w:pPr>
          </w:p>
        </w:tc>
      </w:tr>
      <w:tr>
        <w:trPr>
          <w:trHeight w:val="170"/>
        </w:trPr>
        <w:tc>
          <w:tcPr>
            <w:tcW w:w="4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r>
    </w:tbl>
    <w:p>
      <w:pPr>
        <w:spacing w:after="0" w:line="339" w:lineRule="exact"/>
        <w:rPr>
          <w:sz w:val="20"/>
          <w:szCs w:val="20"/>
          <w:color w:val="auto"/>
        </w:rPr>
      </w:pPr>
    </w:p>
    <w:p>
      <w:pPr>
        <w:ind w:left="350" w:hanging="350"/>
        <w:spacing w:after="0"/>
        <w:tabs>
          <w:tab w:leader="none" w:pos="3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results of operations  from January 1 through March 9.</w:t>
      </w:r>
    </w:p>
    <w:p>
      <w:pPr>
        <w:ind w:left="350" w:hanging="350"/>
        <w:spacing w:after="0"/>
        <w:tabs>
          <w:tab w:leader="none" w:pos="3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results of operations from March 1 through December 31.</w:t>
      </w:r>
    </w:p>
    <w:p>
      <w:pPr>
        <w:spacing w:after="0" w:line="200" w:lineRule="exact"/>
        <w:rPr>
          <w:sz w:val="20"/>
          <w:szCs w:val="20"/>
          <w:color w:val="auto"/>
        </w:rPr>
      </w:pPr>
    </w:p>
    <w:p>
      <w:pPr>
        <w:spacing w:after="0" w:line="308"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II-28</w:t>
      </w:r>
    </w:p>
    <w:p>
      <w:pPr>
        <w:sectPr>
          <w:pgSz w:w="11900" w:h="16838" w:orient="portrait"/>
          <w:cols w:equalWidth="0" w:num="1">
            <w:col w:w="10229"/>
          </w:cols>
          <w:pgMar w:left="230" w:top="452" w:right="1440" w:bottom="1440" w:gutter="0" w:footer="0" w:header="0"/>
        </w:sectPr>
      </w:pPr>
    </w:p>
    <w:bookmarkStart w:id="69" w:name="page70"/>
    <w:bookmarkEnd w:id="69"/>
    <w:p>
      <w:pPr>
        <w:jc w:val="center"/>
        <w:ind w:right="3179"/>
        <w:spacing w:after="0"/>
        <w:rPr>
          <w:sz w:val="20"/>
          <w:szCs w:val="20"/>
          <w:color w:val="auto"/>
        </w:rPr>
      </w:pPr>
      <w:r>
        <w:rPr>
          <w:rFonts w:ascii="Courier New" w:cs="Courier New" w:eastAsia="Courier New" w:hAnsi="Courier New"/>
          <w:sz w:val="15"/>
          <w:szCs w:val="15"/>
          <w:color w:val="auto"/>
        </w:rPr>
        <w:t>VIACOM INC. AND SUBSIDIARIES</w:t>
      </w: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343"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provision for income taxes of $5.1 million for 1995 and benefit for income taxes of $4.9 million for 1994 represent effective tax rates of 40.0% and 19.3%, respectively. The differences between the effective tax rate and the statutory federal tax rate of 35% principally relate to the allocation of nondeductible goodwill amortization and state and local taxes.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5) INVENTORIES</w:t>
            </w: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Inventories consist of the following:</w:t>
            </w: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9"/>
        </w:trPr>
        <w:tc>
          <w:tcPr>
            <w:tcW w:w="4360" w:type="dxa"/>
            <w:vAlign w:val="bottom"/>
          </w:tcPr>
          <w:p>
            <w:pPr>
              <w:spacing w:after="0"/>
              <w:rPr>
                <w:sz w:val="24"/>
                <w:szCs w:val="24"/>
                <w:color w:val="auto"/>
              </w:rPr>
            </w:pPr>
          </w:p>
        </w:tc>
        <w:tc>
          <w:tcPr>
            <w:tcW w:w="232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4360" w:type="dxa"/>
            <w:vAlign w:val="bottom"/>
          </w:tcPr>
          <w:p>
            <w:pPr>
              <w:spacing w:after="0"/>
              <w:rPr>
                <w:sz w:val="14"/>
                <w:szCs w:val="14"/>
                <w:color w:val="auto"/>
              </w:rPr>
            </w:pPr>
          </w:p>
        </w:tc>
        <w:tc>
          <w:tcPr>
            <w:tcW w:w="23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14"/>
                <w:szCs w:val="14"/>
                <w:color w:val="auto"/>
              </w:rPr>
            </w:pP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w:t>
            </w:r>
          </w:p>
        </w:tc>
        <w:tc>
          <w:tcPr>
            <w:tcW w:w="48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4360" w:type="dxa"/>
            <w:vAlign w:val="bottom"/>
          </w:tcPr>
          <w:p>
            <w:pPr>
              <w:spacing w:after="0"/>
              <w:rPr>
                <w:sz w:val="14"/>
                <w:szCs w:val="14"/>
                <w:color w:val="auto"/>
              </w:rPr>
            </w:pP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Prerecorded music and video cassettes...........</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$ 474.8</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509.2</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Videocassette rental inventory..................</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520.3</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297.6</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Publishing:</w:t>
            </w: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4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Finished goods..............................</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303.6</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218.9</w:t>
            </w:r>
          </w:p>
        </w:tc>
      </w:tr>
      <w:tr>
        <w:trPr>
          <w:trHeight w:val="170"/>
        </w:trPr>
        <w:tc>
          <w:tcPr>
            <w:tcW w:w="4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Work in process.............................</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44.9</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35.8</w:t>
            </w:r>
          </w:p>
        </w:tc>
      </w:tr>
      <w:tr>
        <w:trPr>
          <w:trHeight w:val="170"/>
        </w:trPr>
        <w:tc>
          <w:tcPr>
            <w:tcW w:w="4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Materials and supplies......................</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30.2</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27.1</w:t>
            </w:r>
          </w:p>
        </w:tc>
      </w:tr>
      <w:tr>
        <w:trPr>
          <w:trHeight w:val="170"/>
        </w:trPr>
        <w:tc>
          <w:tcPr>
            <w:tcW w:w="43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Other...........................................</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87.9</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73.8</w:t>
            </w:r>
          </w:p>
        </w:tc>
      </w:tr>
      <w:tr>
        <w:trPr>
          <w:trHeight w:val="170"/>
        </w:trPr>
        <w:tc>
          <w:tcPr>
            <w:tcW w:w="4360" w:type="dxa"/>
            <w:vAlign w:val="bottom"/>
          </w:tcPr>
          <w:p>
            <w:pPr>
              <w:spacing w:after="0"/>
              <w:rPr>
                <w:sz w:val="14"/>
                <w:szCs w:val="14"/>
                <w:color w:val="auto"/>
              </w:rPr>
            </w:pP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14"/>
                <w:szCs w:val="14"/>
                <w:color w:val="auto"/>
              </w:rPr>
            </w:pP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1,461.7</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1,162.4</w:t>
            </w:r>
          </w:p>
        </w:tc>
      </w:tr>
      <w:tr>
        <w:trPr>
          <w:trHeight w:val="170"/>
        </w:trPr>
        <w:tc>
          <w:tcPr>
            <w:tcW w:w="4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Less current portion.........................</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903.1</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830.9</w:t>
            </w:r>
          </w:p>
        </w:tc>
      </w:tr>
      <w:tr>
        <w:trPr>
          <w:trHeight w:val="170"/>
        </w:trPr>
        <w:tc>
          <w:tcPr>
            <w:tcW w:w="4360" w:type="dxa"/>
            <w:vAlign w:val="bottom"/>
          </w:tcPr>
          <w:p>
            <w:pPr>
              <w:spacing w:after="0"/>
              <w:rPr>
                <w:sz w:val="14"/>
                <w:szCs w:val="14"/>
                <w:color w:val="auto"/>
              </w:rPr>
            </w:pP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360" w:type="dxa"/>
            <w:vAlign w:val="bottom"/>
          </w:tcPr>
          <w:p>
            <w:pPr>
              <w:spacing w:after="0"/>
              <w:rPr>
                <w:sz w:val="24"/>
                <w:szCs w:val="24"/>
                <w:color w:val="auto"/>
              </w:rPr>
            </w:pP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$ 558.6</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331.5</w:t>
            </w:r>
          </w:p>
        </w:tc>
      </w:tr>
      <w:tr>
        <w:trPr>
          <w:trHeight w:val="170"/>
        </w:trPr>
        <w:tc>
          <w:tcPr>
            <w:tcW w:w="4360" w:type="dxa"/>
            <w:vAlign w:val="bottom"/>
          </w:tcPr>
          <w:p>
            <w:pPr>
              <w:spacing w:after="0"/>
              <w:rPr>
                <w:sz w:val="14"/>
                <w:szCs w:val="14"/>
                <w:color w:val="auto"/>
              </w:rPr>
            </w:pP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Theatrical and television inventory:</w:t>
            </w: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4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Theatrical and television productions:</w:t>
            </w: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4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Released................................</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$1,612.1</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$ 1,488.0</w:t>
            </w:r>
          </w:p>
        </w:tc>
      </w:tr>
      <w:tr>
        <w:trPr>
          <w:trHeight w:val="170"/>
        </w:trPr>
        <w:tc>
          <w:tcPr>
            <w:tcW w:w="4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Completed, not released.................</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52.5</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12.8</w:t>
            </w:r>
          </w:p>
        </w:tc>
      </w:tr>
      <w:tr>
        <w:trPr>
          <w:trHeight w:val="170"/>
        </w:trPr>
        <w:tc>
          <w:tcPr>
            <w:tcW w:w="4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In process and other....................</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357.0</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260.8</w:t>
            </w:r>
          </w:p>
        </w:tc>
      </w:tr>
      <w:tr>
        <w:trPr>
          <w:trHeight w:val="170"/>
        </w:trPr>
        <w:tc>
          <w:tcPr>
            <w:tcW w:w="4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Program rights.............................</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966.3</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838.3</w:t>
            </w:r>
          </w:p>
        </w:tc>
      </w:tr>
      <w:tr>
        <w:trPr>
          <w:trHeight w:val="170"/>
        </w:trPr>
        <w:tc>
          <w:tcPr>
            <w:tcW w:w="4360" w:type="dxa"/>
            <w:vAlign w:val="bottom"/>
          </w:tcPr>
          <w:p>
            <w:pPr>
              <w:spacing w:after="0"/>
              <w:rPr>
                <w:sz w:val="14"/>
                <w:szCs w:val="14"/>
                <w:color w:val="auto"/>
              </w:rPr>
            </w:pP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14"/>
                <w:szCs w:val="14"/>
                <w:color w:val="auto"/>
              </w:rPr>
            </w:pP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2,987.9</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2,599.9</w:t>
            </w:r>
          </w:p>
        </w:tc>
      </w:tr>
      <w:tr>
        <w:trPr>
          <w:trHeight w:val="170"/>
        </w:trPr>
        <w:tc>
          <w:tcPr>
            <w:tcW w:w="4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Less current portion.......................</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1,275.0</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986.9</w:t>
            </w:r>
          </w:p>
        </w:tc>
      </w:tr>
      <w:tr>
        <w:trPr>
          <w:trHeight w:val="170"/>
        </w:trPr>
        <w:tc>
          <w:tcPr>
            <w:tcW w:w="4360" w:type="dxa"/>
            <w:vAlign w:val="bottom"/>
          </w:tcPr>
          <w:p>
            <w:pPr>
              <w:spacing w:after="0"/>
              <w:rPr>
                <w:sz w:val="14"/>
                <w:szCs w:val="14"/>
                <w:color w:val="auto"/>
              </w:rPr>
            </w:pP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14"/>
                <w:szCs w:val="14"/>
                <w:color w:val="auto"/>
              </w:rPr>
            </w:pP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$1,712.9</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$ 1,613.0</w:t>
            </w:r>
          </w:p>
        </w:tc>
      </w:tr>
      <w:tr>
        <w:trPr>
          <w:trHeight w:val="170"/>
        </w:trPr>
        <w:tc>
          <w:tcPr>
            <w:tcW w:w="4360" w:type="dxa"/>
            <w:vAlign w:val="bottom"/>
          </w:tcPr>
          <w:p>
            <w:pPr>
              <w:spacing w:after="0"/>
              <w:rPr>
                <w:sz w:val="14"/>
                <w:szCs w:val="14"/>
                <w:color w:val="auto"/>
              </w:rPr>
            </w:pP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3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Total non-current inventory.....................</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$2,271.5</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$ 1,944.5</w:t>
            </w:r>
          </w:p>
        </w:tc>
      </w:tr>
      <w:tr>
        <w:trPr>
          <w:trHeight w:val="170"/>
        </w:trPr>
        <w:tc>
          <w:tcPr>
            <w:tcW w:w="4360" w:type="dxa"/>
            <w:vAlign w:val="bottom"/>
          </w:tcPr>
          <w:p>
            <w:pPr>
              <w:spacing w:after="0"/>
              <w:rPr>
                <w:sz w:val="14"/>
                <w:szCs w:val="14"/>
                <w:color w:val="auto"/>
              </w:rPr>
            </w:pP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INVESTMENTS IN AFFILIATED COMPANIES</w:t>
      </w:r>
    </w:p>
    <w:p>
      <w:pPr>
        <w:spacing w:after="0" w:line="175"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The Company accounts for its investments in affiliated companies over which the Company has significant influence or ownership of more than 20% but less than or equal to 50% under the equity method. Such investments are principally comprised of the Company's interest in Comedy Central (50% owned) and Nickelodeon (UK)</w:t>
      </w:r>
    </w:p>
    <w:p>
      <w:pPr>
        <w:spacing w:after="0" w:line="1" w:lineRule="exact"/>
        <w:rPr>
          <w:sz w:val="20"/>
          <w:szCs w:val="20"/>
          <w:color w:val="auto"/>
        </w:rPr>
      </w:pPr>
    </w:p>
    <w:p>
      <w:pPr>
        <w:ind w:right="3439"/>
        <w:spacing w:after="0" w:line="258" w:lineRule="auto"/>
        <w:rPr>
          <w:sz w:val="20"/>
          <w:szCs w:val="20"/>
          <w:color w:val="auto"/>
        </w:rPr>
      </w:pPr>
      <w:r>
        <w:rPr>
          <w:rFonts w:ascii="Courier New" w:cs="Courier New" w:eastAsia="Courier New" w:hAnsi="Courier New"/>
          <w:sz w:val="14"/>
          <w:szCs w:val="14"/>
          <w:color w:val="auto"/>
        </w:rPr>
        <w:t>(50% owned), investments acquired during 1994 as part of the Mergers and in 1995, several start-up international ventures including MTV Asia. Investments acquired as part of the Mergers were USA Networks (50% owned), Discovery Zone (approximately 49% owned) and theatrical exhibition and other distribution ventures. The Company's interest in Lifetime is included prior to its sale in 1994 (See Note 16). Investments in affiliates are included in other assets.</w:t>
      </w:r>
    </w:p>
    <w:p>
      <w:pPr>
        <w:spacing w:after="0" w:line="32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II-29</w:t>
      </w:r>
    </w:p>
    <w:p>
      <w:pPr>
        <w:sectPr>
          <w:pgSz w:w="11900" w:h="16838" w:orient="portrait"/>
          <w:cols w:equalWidth="0" w:num="1">
            <w:col w:w="10219"/>
          </w:cols>
          <w:pgMar w:left="240" w:top="452" w:right="1440" w:bottom="1440" w:gutter="0" w:footer="0" w:header="0"/>
        </w:sectPr>
      </w:pPr>
    </w:p>
    <w:bookmarkStart w:id="70" w:name="page71"/>
    <w:bookmarkEnd w:id="70"/>
    <w:p>
      <w:pPr>
        <w:jc w:val="center"/>
        <w:ind w:right="3179"/>
        <w:spacing w:after="0"/>
        <w:rPr>
          <w:sz w:val="20"/>
          <w:szCs w:val="20"/>
          <w:color w:val="auto"/>
        </w:rPr>
      </w:pPr>
      <w:r>
        <w:rPr>
          <w:rFonts w:ascii="Courier New" w:cs="Courier New" w:eastAsia="Courier New" w:hAnsi="Courier New"/>
          <w:sz w:val="15"/>
          <w:szCs w:val="15"/>
          <w:color w:val="auto"/>
        </w:rPr>
        <w:t>VIACOM INC. AND SUBSIDIARIES</w:t>
      </w: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343"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The following is a summary of financial information as reported by the equity investees on a 100% basis.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60" w:type="dxa"/>
            <w:vAlign w:val="bottom"/>
            <w:gridSpan w:val="4"/>
          </w:tcPr>
          <w:p>
            <w:pPr>
              <w:jc w:val="right"/>
              <w:ind w:right="44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2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60" w:type="dxa"/>
            <w:vAlign w:val="bottom"/>
            <w:gridSpan w:val="4"/>
          </w:tcPr>
          <w:p>
            <w:pPr>
              <w:jc w:val="center"/>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2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1995</w:t>
            </w:r>
          </w:p>
        </w:tc>
        <w:tc>
          <w:tcPr>
            <w:tcW w:w="300" w:type="dxa"/>
            <w:vAlign w:val="bottom"/>
          </w:tcPr>
          <w:p>
            <w:pPr>
              <w:spacing w:after="0"/>
              <w:rPr>
                <w:sz w:val="14"/>
                <w:szCs w:val="14"/>
                <w:color w:val="auto"/>
              </w:rPr>
            </w:pPr>
          </w:p>
        </w:tc>
        <w:tc>
          <w:tcPr>
            <w:tcW w:w="98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1994</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2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8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Results of operations: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1"/>
              </w:rPr>
              <w:t>2,212.6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1,514.0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$ 281.1</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2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(364.6)</w:t>
            </w:r>
          </w:p>
        </w:tc>
        <w:tc>
          <w:tcPr>
            <w:tcW w:w="30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86.3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23.3</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Net earnings (loss).............</w:t>
            </w:r>
          </w:p>
        </w:tc>
        <w:tc>
          <w:tcPr>
            <w:tcW w:w="2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(412.0)</w:t>
            </w:r>
          </w:p>
        </w:tc>
        <w:tc>
          <w:tcPr>
            <w:tcW w:w="30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57.4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10.1</w:t>
            </w:r>
          </w:p>
        </w:tc>
      </w:tr>
      <w:tr>
        <w:trPr>
          <w:trHeight w:val="339"/>
        </w:trPr>
        <w:tc>
          <w:tcPr>
            <w:tcW w:w="2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DECEMBER 31,</w:t>
            </w:r>
          </w:p>
        </w:tc>
        <w:tc>
          <w:tcPr>
            <w:tcW w:w="960" w:type="dxa"/>
            <w:vAlign w:val="bottom"/>
          </w:tcPr>
          <w:p>
            <w:pPr>
              <w:spacing w:after="0"/>
              <w:rPr>
                <w:sz w:val="24"/>
                <w:szCs w:val="24"/>
                <w:color w:val="auto"/>
              </w:rPr>
            </w:pPr>
          </w:p>
        </w:tc>
      </w:tr>
      <w:tr>
        <w:trPr>
          <w:trHeight w:val="170"/>
        </w:trPr>
        <w:tc>
          <w:tcPr>
            <w:tcW w:w="2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1995</w:t>
            </w:r>
          </w:p>
        </w:tc>
        <w:tc>
          <w:tcPr>
            <w:tcW w:w="30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1994</w:t>
            </w:r>
          </w:p>
        </w:tc>
        <w:tc>
          <w:tcPr>
            <w:tcW w:w="96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8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tcPr>
          <w:p>
            <w:pPr>
              <w:spacing w:after="0"/>
              <w:rPr>
                <w:sz w:val="14"/>
                <w:szCs w:val="14"/>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Financial position:</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891.8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925.6</w:t>
            </w:r>
          </w:p>
        </w:tc>
        <w:tc>
          <w:tcPr>
            <w:tcW w:w="960" w:type="dxa"/>
            <w:vAlign w:val="bottom"/>
          </w:tcPr>
          <w:p>
            <w:pPr>
              <w:spacing w:after="0"/>
              <w:rPr>
                <w:sz w:val="14"/>
                <w:szCs w:val="14"/>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Noncurrent assets...............</w:t>
            </w:r>
          </w:p>
        </w:tc>
        <w:tc>
          <w:tcPr>
            <w:tcW w:w="28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1"/>
              </w:rPr>
              <w:t>1,367.8</w:t>
            </w:r>
          </w:p>
        </w:tc>
        <w:tc>
          <w:tcPr>
            <w:tcW w:w="30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1,445.9</w:t>
            </w:r>
          </w:p>
        </w:tc>
        <w:tc>
          <w:tcPr>
            <w:tcW w:w="960" w:type="dxa"/>
            <w:vAlign w:val="bottom"/>
          </w:tcPr>
          <w:p>
            <w:pPr>
              <w:spacing w:after="0"/>
              <w:rPr>
                <w:sz w:val="14"/>
                <w:szCs w:val="14"/>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8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990.5</w:t>
            </w:r>
          </w:p>
        </w:tc>
        <w:tc>
          <w:tcPr>
            <w:tcW w:w="30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784.2</w:t>
            </w:r>
          </w:p>
        </w:tc>
        <w:tc>
          <w:tcPr>
            <w:tcW w:w="960" w:type="dxa"/>
            <w:vAlign w:val="bottom"/>
          </w:tcPr>
          <w:p>
            <w:pPr>
              <w:spacing w:after="0"/>
              <w:rPr>
                <w:sz w:val="14"/>
                <w:szCs w:val="14"/>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Noncurrent liabilities..........</w:t>
            </w:r>
          </w:p>
        </w:tc>
        <w:tc>
          <w:tcPr>
            <w:tcW w:w="28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825.8</w:t>
            </w:r>
          </w:p>
        </w:tc>
        <w:tc>
          <w:tcPr>
            <w:tcW w:w="30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726.3</w:t>
            </w:r>
          </w:p>
        </w:tc>
        <w:tc>
          <w:tcPr>
            <w:tcW w:w="960" w:type="dxa"/>
            <w:vAlign w:val="bottom"/>
          </w:tcPr>
          <w:p>
            <w:pPr>
              <w:spacing w:after="0"/>
              <w:rPr>
                <w:sz w:val="14"/>
                <w:szCs w:val="14"/>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Equity..........................</w:t>
            </w:r>
          </w:p>
        </w:tc>
        <w:tc>
          <w:tcPr>
            <w:tcW w:w="28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443.3</w:t>
            </w:r>
          </w:p>
        </w:tc>
        <w:tc>
          <w:tcPr>
            <w:tcW w:w="30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861.0</w:t>
            </w:r>
          </w:p>
        </w:tc>
        <w:tc>
          <w:tcPr>
            <w:tcW w:w="960" w:type="dxa"/>
            <w:vAlign w:val="bottom"/>
          </w:tcPr>
          <w:p>
            <w:pPr>
              <w:spacing w:after="0"/>
              <w:rPr>
                <w:sz w:val="14"/>
                <w:szCs w:val="14"/>
                <w:color w:val="auto"/>
              </w:rPr>
            </w:pPr>
          </w:p>
        </w:tc>
      </w:tr>
    </w:tbl>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The Company, through the normal course of business, is involved in transactions with affiliated companies that have not been material in any of the periods presented.</w:t>
      </w:r>
    </w:p>
    <w:p>
      <w:pPr>
        <w:spacing w:after="0" w:line="200" w:lineRule="exact"/>
        <w:rPr>
          <w:sz w:val="20"/>
          <w:szCs w:val="20"/>
          <w:color w:val="auto"/>
        </w:rPr>
      </w:pPr>
    </w:p>
    <w:p>
      <w:pPr>
        <w:spacing w:after="0" w:line="30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II-30</w:t>
      </w:r>
    </w:p>
    <w:p>
      <w:pPr>
        <w:sectPr>
          <w:pgSz w:w="11900" w:h="16838" w:orient="portrait"/>
          <w:cols w:equalWidth="0" w:num="1">
            <w:col w:w="10219"/>
          </w:cols>
          <w:pgMar w:left="240" w:top="452" w:right="1440" w:bottom="1440" w:gutter="0" w:footer="0" w:header="0"/>
        </w:sectPr>
      </w:pPr>
    </w:p>
    <w:bookmarkStart w:id="71" w:name="page72"/>
    <w:bookmarkEnd w:id="71"/>
    <w:p>
      <w:pPr>
        <w:jc w:val="center"/>
        <w:ind w:right="3170"/>
        <w:spacing w:after="0"/>
        <w:rPr>
          <w:sz w:val="20"/>
          <w:szCs w:val="20"/>
          <w:color w:val="auto"/>
        </w:rPr>
      </w:pPr>
      <w:r>
        <w:rPr>
          <w:rFonts w:ascii="Courier New" w:cs="Courier New" w:eastAsia="Courier New" w:hAnsi="Courier New"/>
          <w:sz w:val="15"/>
          <w:szCs w:val="15"/>
          <w:color w:val="auto"/>
        </w:rPr>
        <w:t>VIACOM INC. AND SUBSIDIARIES</w:t>
      </w:r>
    </w:p>
    <w:p>
      <w:pPr>
        <w:ind w:left="1150"/>
        <w:spacing w:after="0"/>
        <w:rPr>
          <w:sz w:val="20"/>
          <w:szCs w:val="20"/>
          <w:color w:val="auto"/>
        </w:rPr>
      </w:pPr>
      <w:r>
        <w:rPr>
          <w:rFonts w:ascii="Courier New" w:cs="Courier New" w:eastAsia="Courier New" w:hAnsi="Courier New"/>
          <w:sz w:val="15"/>
          <w:szCs w:val="15"/>
          <w:color w:val="auto"/>
        </w:rPr>
        <w:t>NOTES TO CONSOLIDATED FINANCIAL STATEMENTS (continued)</w:t>
      </w:r>
    </w:p>
    <w:p>
      <w:pPr>
        <w:ind w:left="115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33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7) BANK FINANCING AND DEBT</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9"/>
        </w:trPr>
        <w:tc>
          <w:tcPr>
            <w:tcW w:w="4980" w:type="dxa"/>
            <w:vAlign w:val="bottom"/>
          </w:tcPr>
          <w:p>
            <w:pPr>
              <w:spacing w:after="0"/>
              <w:rPr>
                <w:sz w:val="20"/>
                <w:szCs w:val="20"/>
                <w:color w:val="auto"/>
              </w:rPr>
            </w:pPr>
            <w:r>
              <w:rPr>
                <w:rFonts w:ascii="Courier New" w:cs="Courier New" w:eastAsia="Courier New" w:hAnsi="Courier New"/>
                <w:sz w:val="15"/>
                <w:szCs w:val="15"/>
                <w:color w:val="auto"/>
              </w:rPr>
              <w:t>Long-term debt consists of the following:</w:t>
            </w: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4980" w:type="dxa"/>
            <w:vAlign w:val="bottom"/>
          </w:tcPr>
          <w:p>
            <w:pPr>
              <w:spacing w:after="0"/>
              <w:rPr>
                <w:sz w:val="14"/>
                <w:szCs w:val="14"/>
                <w:color w:val="auto"/>
              </w:rPr>
            </w:pPr>
          </w:p>
        </w:tc>
        <w:tc>
          <w:tcPr>
            <w:tcW w:w="1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498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spacing w:after="0"/>
              <w:rPr>
                <w:sz w:val="14"/>
                <w:szCs w:val="14"/>
                <w:color w:val="auto"/>
              </w:rPr>
            </w:pP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1995</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4980" w:type="dxa"/>
            <w:vAlign w:val="bottom"/>
          </w:tcPr>
          <w:p>
            <w:pPr>
              <w:spacing w:after="0"/>
              <w:rPr>
                <w:sz w:val="14"/>
                <w:szCs w:val="14"/>
                <w:color w:val="auto"/>
              </w:rPr>
            </w:pPr>
          </w:p>
        </w:tc>
        <w:tc>
          <w:tcPr>
            <w:tcW w:w="10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4980" w:type="dxa"/>
            <w:vAlign w:val="bottom"/>
          </w:tcPr>
          <w:p>
            <w:pPr>
              <w:spacing w:after="0"/>
              <w:rPr>
                <w:sz w:val="20"/>
                <w:szCs w:val="20"/>
                <w:color w:val="auto"/>
              </w:rPr>
            </w:pPr>
            <w:r>
              <w:rPr>
                <w:rFonts w:ascii="Courier New" w:cs="Courier New" w:eastAsia="Courier New" w:hAnsi="Courier New"/>
                <w:sz w:val="15"/>
                <w:szCs w:val="15"/>
                <w:color w:val="auto"/>
                <w:w w:val="98"/>
              </w:rPr>
              <w:t>Notes payable to banks (a)..............................</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  6,206.9</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$7,709.4</w:t>
            </w:r>
          </w:p>
        </w:tc>
      </w:tr>
      <w:tr>
        <w:trPr>
          <w:trHeight w:val="170"/>
        </w:trPr>
        <w:tc>
          <w:tcPr>
            <w:tcW w:w="4980" w:type="dxa"/>
            <w:vAlign w:val="bottom"/>
          </w:tcPr>
          <w:p>
            <w:pPr>
              <w:ind w:left="160"/>
              <w:spacing w:after="0"/>
              <w:rPr>
                <w:sz w:val="20"/>
                <w:szCs w:val="20"/>
                <w:color w:val="auto"/>
              </w:rPr>
            </w:pPr>
            <w:r>
              <w:rPr>
                <w:rFonts w:ascii="Courier New" w:cs="Courier New" w:eastAsia="Courier New" w:hAnsi="Courier New"/>
                <w:sz w:val="15"/>
                <w:szCs w:val="15"/>
                <w:color w:val="auto"/>
                <w:w w:val="98"/>
              </w:rPr>
              <w:t>6.625% Senior Notes due 1998..........................</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150.0</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150.0</w:t>
            </w:r>
          </w:p>
        </w:tc>
      </w:tr>
      <w:tr>
        <w:trPr>
          <w:trHeight w:val="170"/>
        </w:trPr>
        <w:tc>
          <w:tcPr>
            <w:tcW w:w="4980" w:type="dxa"/>
            <w:vAlign w:val="bottom"/>
          </w:tcPr>
          <w:p>
            <w:pPr>
              <w:ind w:left="160"/>
              <w:spacing w:after="0"/>
              <w:rPr>
                <w:sz w:val="20"/>
                <w:szCs w:val="20"/>
                <w:color w:val="auto"/>
              </w:rPr>
            </w:pPr>
            <w:r>
              <w:rPr>
                <w:rFonts w:ascii="Courier New" w:cs="Courier New" w:eastAsia="Courier New" w:hAnsi="Courier New"/>
                <w:sz w:val="15"/>
                <w:szCs w:val="15"/>
                <w:color w:val="auto"/>
                <w:w w:val="98"/>
              </w:rPr>
              <w:t>5.875% Senior Notes * due 2000........................</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149.5</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149.5</w:t>
            </w:r>
          </w:p>
        </w:tc>
      </w:tr>
      <w:tr>
        <w:trPr>
          <w:trHeight w:val="170"/>
        </w:trPr>
        <w:tc>
          <w:tcPr>
            <w:tcW w:w="4980" w:type="dxa"/>
            <w:vAlign w:val="bottom"/>
          </w:tcPr>
          <w:p>
            <w:pPr>
              <w:ind w:left="160"/>
              <w:spacing w:after="0"/>
              <w:rPr>
                <w:sz w:val="20"/>
                <w:szCs w:val="20"/>
                <w:color w:val="auto"/>
              </w:rPr>
            </w:pPr>
            <w:r>
              <w:rPr>
                <w:rFonts w:ascii="Courier New" w:cs="Courier New" w:eastAsia="Courier New" w:hAnsi="Courier New"/>
                <w:sz w:val="15"/>
                <w:szCs w:val="15"/>
                <w:color w:val="auto"/>
                <w:w w:val="98"/>
              </w:rPr>
              <w:t>7.5% Senior Notes * due 2002..........................</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247.4</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247.0</w:t>
            </w:r>
          </w:p>
        </w:tc>
      </w:tr>
      <w:tr>
        <w:trPr>
          <w:trHeight w:val="170"/>
        </w:trPr>
        <w:tc>
          <w:tcPr>
            <w:tcW w:w="4980" w:type="dxa"/>
            <w:vAlign w:val="bottom"/>
          </w:tcPr>
          <w:p>
            <w:pPr>
              <w:ind w:left="160"/>
              <w:spacing w:after="0"/>
              <w:rPr>
                <w:sz w:val="20"/>
                <w:szCs w:val="20"/>
                <w:color w:val="auto"/>
              </w:rPr>
            </w:pPr>
            <w:r>
              <w:rPr>
                <w:rFonts w:ascii="Courier New" w:cs="Courier New" w:eastAsia="Courier New" w:hAnsi="Courier New"/>
                <w:sz w:val="15"/>
                <w:szCs w:val="15"/>
                <w:color w:val="auto"/>
              </w:rPr>
              <w:t>6.75% Senior Notes due 2003, net of unamortized</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w w:val="98"/>
              </w:rPr>
              <w:t>discount of $.3 (b)..................................</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349.7</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ind w:left="160"/>
              <w:spacing w:after="0"/>
              <w:rPr>
                <w:sz w:val="20"/>
                <w:szCs w:val="20"/>
                <w:color w:val="auto"/>
              </w:rPr>
            </w:pPr>
            <w:r>
              <w:rPr>
                <w:rFonts w:ascii="Courier New" w:cs="Courier New" w:eastAsia="Courier New" w:hAnsi="Courier New"/>
                <w:sz w:val="15"/>
                <w:szCs w:val="15"/>
                <w:color w:val="auto"/>
              </w:rPr>
              <w:t>7.75% Senior Notes due 2005, net of unamortized</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w w:val="98"/>
              </w:rPr>
              <w:t>discount of $9.0 (c).................................</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991.0</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ind w:left="160"/>
              <w:spacing w:after="0"/>
              <w:rPr>
                <w:sz w:val="20"/>
                <w:szCs w:val="20"/>
                <w:color w:val="auto"/>
              </w:rPr>
            </w:pPr>
            <w:r>
              <w:rPr>
                <w:rFonts w:ascii="Courier New" w:cs="Courier New" w:eastAsia="Courier New" w:hAnsi="Courier New"/>
                <w:sz w:val="15"/>
                <w:szCs w:val="15"/>
                <w:color w:val="auto"/>
              </w:rPr>
              <w:t>7.625% Senior Debentures due 2016, net of unamortized</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w w:val="98"/>
              </w:rPr>
              <w:t>discount of $1.4 (b).................................</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198.6</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ind w:left="160"/>
              <w:spacing w:after="0"/>
              <w:rPr>
                <w:sz w:val="20"/>
                <w:szCs w:val="20"/>
                <w:color w:val="auto"/>
              </w:rPr>
            </w:pPr>
            <w:r>
              <w:rPr>
                <w:rFonts w:ascii="Courier New" w:cs="Courier New" w:eastAsia="Courier New" w:hAnsi="Courier New"/>
                <w:sz w:val="15"/>
                <w:szCs w:val="15"/>
                <w:color w:val="auto"/>
                <w:w w:val="98"/>
              </w:rPr>
              <w:t>8.25% Senior Debentures * due 2022....................</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247.1</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247.0</w:t>
            </w:r>
          </w:p>
        </w:tc>
      </w:tr>
      <w:tr>
        <w:trPr>
          <w:trHeight w:val="170"/>
        </w:trPr>
        <w:tc>
          <w:tcPr>
            <w:tcW w:w="4980" w:type="dxa"/>
            <w:vAlign w:val="bottom"/>
          </w:tcPr>
          <w:p>
            <w:pPr>
              <w:ind w:left="160"/>
              <w:spacing w:after="0"/>
              <w:rPr>
                <w:sz w:val="20"/>
                <w:szCs w:val="20"/>
                <w:color w:val="auto"/>
              </w:rPr>
            </w:pPr>
            <w:r>
              <w:rPr>
                <w:rFonts w:ascii="Courier New" w:cs="Courier New" w:eastAsia="Courier New" w:hAnsi="Courier New"/>
                <w:sz w:val="15"/>
                <w:szCs w:val="15"/>
                <w:color w:val="auto"/>
                <w:w w:val="98"/>
              </w:rPr>
              <w:t>7.5% Senior Debentures * due 2023.....................</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149.5</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149.5</w:t>
            </w:r>
          </w:p>
        </w:tc>
      </w:tr>
      <w:tr>
        <w:trPr>
          <w:trHeight w:val="170"/>
        </w:trPr>
        <w:tc>
          <w:tcPr>
            <w:tcW w:w="4980" w:type="dxa"/>
            <w:vAlign w:val="bottom"/>
          </w:tcPr>
          <w:p>
            <w:pPr>
              <w:ind w:left="160"/>
              <w:spacing w:after="0"/>
              <w:rPr>
                <w:sz w:val="20"/>
                <w:szCs w:val="20"/>
                <w:color w:val="auto"/>
              </w:rPr>
            </w:pPr>
            <w:r>
              <w:rPr>
                <w:rFonts w:ascii="Courier New" w:cs="Courier New" w:eastAsia="Courier New" w:hAnsi="Courier New"/>
                <w:sz w:val="15"/>
                <w:szCs w:val="15"/>
                <w:color w:val="auto"/>
                <w:w w:val="98"/>
              </w:rPr>
              <w:t>9.125% Senior Subordinated Notes * due 1999...........</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150.0</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150.0</w:t>
            </w:r>
          </w:p>
        </w:tc>
      </w:tr>
      <w:tr>
        <w:trPr>
          <w:trHeight w:val="170"/>
        </w:trPr>
        <w:tc>
          <w:tcPr>
            <w:tcW w:w="4980" w:type="dxa"/>
            <w:vAlign w:val="bottom"/>
          </w:tcPr>
          <w:p>
            <w:pPr>
              <w:ind w:left="160"/>
              <w:spacing w:after="0"/>
              <w:rPr>
                <w:sz w:val="20"/>
                <w:szCs w:val="20"/>
                <w:color w:val="auto"/>
              </w:rPr>
            </w:pPr>
            <w:r>
              <w:rPr>
                <w:rFonts w:ascii="Courier New" w:cs="Courier New" w:eastAsia="Courier New" w:hAnsi="Courier New"/>
                <w:sz w:val="15"/>
                <w:szCs w:val="15"/>
                <w:color w:val="auto"/>
                <w:w w:val="98"/>
              </w:rPr>
              <w:t>8.75%  Senior Subordinated Reset Notes * due 2001 (d).</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100.0</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w w:val="98"/>
              </w:rPr>
              <w:t>10.25% Senior Subordinated Notes * due 2001.............</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200.0</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4980" w:type="dxa"/>
            <w:vAlign w:val="bottom"/>
          </w:tcPr>
          <w:p>
            <w:pPr>
              <w:ind w:left="160"/>
              <w:spacing w:after="0"/>
              <w:rPr>
                <w:sz w:val="20"/>
                <w:szCs w:val="20"/>
                <w:color w:val="auto"/>
              </w:rPr>
            </w:pPr>
            <w:r>
              <w:rPr>
                <w:rFonts w:ascii="Courier New" w:cs="Courier New" w:eastAsia="Courier New" w:hAnsi="Courier New"/>
                <w:sz w:val="15"/>
                <w:szCs w:val="15"/>
                <w:color w:val="auto"/>
                <w:w w:val="98"/>
              </w:rPr>
              <w:t>7.0% Senior Subordinated Debentures * due 2003, net of</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w w:val="98"/>
              </w:rPr>
              <w:t>unamortized discount of $44.6 (1995) and $48.4 (1994)</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186.8</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183.1</w:t>
            </w:r>
          </w:p>
        </w:tc>
      </w:tr>
      <w:tr>
        <w:trPr>
          <w:trHeight w:val="170"/>
        </w:trPr>
        <w:tc>
          <w:tcPr>
            <w:tcW w:w="4980" w:type="dxa"/>
            <w:vAlign w:val="bottom"/>
          </w:tcPr>
          <w:p>
            <w:pPr>
              <w:ind w:left="160"/>
              <w:spacing w:after="0"/>
              <w:rPr>
                <w:sz w:val="20"/>
                <w:szCs w:val="20"/>
                <w:color w:val="auto"/>
              </w:rPr>
            </w:pPr>
            <w:r>
              <w:rPr>
                <w:rFonts w:ascii="Courier New" w:cs="Courier New" w:eastAsia="Courier New" w:hAnsi="Courier New"/>
                <w:sz w:val="15"/>
                <w:szCs w:val="15"/>
                <w:color w:val="auto"/>
              </w:rPr>
              <w:t>8.0% Merger Debentures due 2006, net of unamortized</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discount of $120.1 (1995) and $131.3 (1994)........</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946.7</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938.6</w:t>
            </w:r>
          </w:p>
        </w:tc>
      </w:tr>
      <w:tr>
        <w:trPr>
          <w:trHeight w:val="170"/>
        </w:trPr>
        <w:tc>
          <w:tcPr>
            <w:tcW w:w="4980" w:type="dxa"/>
            <w:vAlign w:val="bottom"/>
          </w:tcPr>
          <w:p>
            <w:pPr>
              <w:ind w:left="160"/>
              <w:spacing w:after="0"/>
              <w:rPr>
                <w:sz w:val="20"/>
                <w:szCs w:val="20"/>
                <w:color w:val="auto"/>
              </w:rPr>
            </w:pPr>
            <w:r>
              <w:rPr>
                <w:rFonts w:ascii="Courier New" w:cs="Courier New" w:eastAsia="Courier New" w:hAnsi="Courier New"/>
                <w:sz w:val="15"/>
                <w:szCs w:val="15"/>
                <w:color w:val="auto"/>
              </w:rPr>
              <w:t>Other Notes.........................................</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62.1</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71.8</w:t>
            </w: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Obligations under capital leases......................</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421.9</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127.5</w:t>
            </w:r>
          </w:p>
        </w:tc>
      </w:tr>
      <w:tr>
        <w:trPr>
          <w:trHeight w:val="170"/>
        </w:trPr>
        <w:tc>
          <w:tcPr>
            <w:tcW w:w="4980" w:type="dxa"/>
            <w:vAlign w:val="bottom"/>
          </w:tcPr>
          <w:p>
            <w:pPr>
              <w:spacing w:after="0"/>
              <w:rPr>
                <w:sz w:val="14"/>
                <w:szCs w:val="14"/>
                <w:color w:val="auto"/>
              </w:rPr>
            </w:pP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spacing w:after="0"/>
              <w:rPr>
                <w:sz w:val="14"/>
                <w:szCs w:val="14"/>
                <w:color w:val="auto"/>
              </w:rPr>
            </w:pP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$10,757.2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$10,423.4</w:t>
            </w: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Less current portion..................................</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45.1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21.0</w:t>
            </w:r>
          </w:p>
        </w:tc>
      </w:tr>
      <w:tr>
        <w:trPr>
          <w:trHeight w:val="170"/>
        </w:trPr>
        <w:tc>
          <w:tcPr>
            <w:tcW w:w="49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spacing w:after="0"/>
              <w:rPr>
                <w:sz w:val="14"/>
                <w:szCs w:val="14"/>
                <w:color w:val="auto"/>
              </w:rPr>
            </w:pP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$10,712.1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$10,402.4</w:t>
            </w:r>
          </w:p>
        </w:tc>
      </w:tr>
      <w:tr>
        <w:trPr>
          <w:trHeight w:val="170"/>
        </w:trPr>
        <w:tc>
          <w:tcPr>
            <w:tcW w:w="498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bl>
    <w:p>
      <w:pPr>
        <w:ind w:left="170" w:hanging="170"/>
        <w:spacing w:after="0"/>
        <w:tabs>
          <w:tab w:leader="none" w:pos="17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Issues of Viacom International guaranteed by the Company.</w:t>
      </w:r>
    </w:p>
    <w:p>
      <w:pPr>
        <w:spacing w:after="0" w:line="174" w:lineRule="exact"/>
        <w:rPr>
          <w:rFonts w:ascii="Courier New" w:cs="Courier New" w:eastAsia="Courier New" w:hAnsi="Courier New"/>
          <w:sz w:val="15"/>
          <w:szCs w:val="15"/>
          <w:color w:val="auto"/>
        </w:rPr>
      </w:pPr>
    </w:p>
    <w:p>
      <w:pPr>
        <w:ind w:left="10" w:right="3179" w:firstLine="431"/>
        <w:spacing w:after="0" w:line="238" w:lineRule="auto"/>
        <w:tabs>
          <w:tab w:leader="none" w:pos="803"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On July 1, 1994, the Company entered into an aggregate $6.489 billion credit agreement (the "Viacom Credit Agreement"), and Viacom International Inc. ("Viacom International") and certain of its subsidiaries (the "Subsidiary Obligors") entered into a $311 million credit agreement (the "Viacom International Credit Agreement," together with the Viacom Credit Agreement, collectively the "Credit Agreements") each with certain banks, the proceeds of which were used to refinance debt related to the Paramount Merger and the previously existing bank debt of the Company, Viacom International and Paramount Communications. On September 29, 1994, the Company entered into an aggregate $1.8 billion credit agreement (the "$1.8 billion Credit Agreement") with certain banks, the proceeds of which were used to refinance the previously existing bank debt of Blockbuster.</w:t>
      </w:r>
    </w:p>
    <w:p>
      <w:pPr>
        <w:spacing w:after="0" w:line="182"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The Company guarantees the Viacom International Credit Agreement and notes and debentures issued by Viacom International. Viacom International guarantees Viacom's Credit Agreement, the $1.8 billion Credit Agreement and notes and debentures issued by the Company.</w:t>
      </w:r>
    </w:p>
    <w:p>
      <w:pPr>
        <w:spacing w:after="0" w:line="200" w:lineRule="exact"/>
        <w:rPr>
          <w:sz w:val="20"/>
          <w:szCs w:val="20"/>
          <w:color w:val="auto"/>
        </w:rPr>
      </w:pPr>
    </w:p>
    <w:p>
      <w:pPr>
        <w:spacing w:after="0" w:line="310"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II-31</w:t>
      </w:r>
    </w:p>
    <w:p>
      <w:pPr>
        <w:sectPr>
          <w:pgSz w:w="11900" w:h="16838" w:orient="portrait"/>
          <w:cols w:equalWidth="0" w:num="1">
            <w:col w:w="10229"/>
          </w:cols>
          <w:pgMar w:left="230" w:top="452" w:right="1440" w:bottom="1440" w:gutter="0" w:footer="0" w:header="0"/>
        </w:sectPr>
      </w:pPr>
    </w:p>
    <w:bookmarkStart w:id="72" w:name="page73"/>
    <w:bookmarkEnd w:id="72"/>
    <w:p>
      <w:pPr>
        <w:jc w:val="center"/>
        <w:ind w:right="3170"/>
        <w:spacing w:after="0"/>
        <w:rPr>
          <w:sz w:val="20"/>
          <w:szCs w:val="20"/>
          <w:color w:val="auto"/>
        </w:rPr>
      </w:pPr>
      <w:r>
        <w:rPr>
          <w:rFonts w:ascii="Courier New" w:cs="Courier New" w:eastAsia="Courier New" w:hAnsi="Courier New"/>
          <w:sz w:val="15"/>
          <w:szCs w:val="15"/>
          <w:color w:val="auto"/>
        </w:rPr>
        <w:t>VIACOM INC. AND SUBSIDIARIES</w:t>
      </w:r>
    </w:p>
    <w:p>
      <w:pPr>
        <w:ind w:left="1150"/>
        <w:spacing w:after="0"/>
        <w:rPr>
          <w:sz w:val="20"/>
          <w:szCs w:val="20"/>
          <w:color w:val="auto"/>
        </w:rPr>
      </w:pPr>
      <w:r>
        <w:rPr>
          <w:rFonts w:ascii="Courier New" w:cs="Courier New" w:eastAsia="Courier New" w:hAnsi="Courier New"/>
          <w:sz w:val="15"/>
          <w:szCs w:val="15"/>
          <w:color w:val="auto"/>
        </w:rPr>
        <w:t>NOTES TO CONSOLIDATED FINANCIAL STATEMENTS (continued)</w:t>
      </w:r>
    </w:p>
    <w:p>
      <w:pPr>
        <w:ind w:left="115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343"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The following is a summary description of the credit agreements as of December 31, 1995. The description does not purport to be complete and should be read in conjunction with each of the credit agreements which have been previously filed as an exhibit and are incorporated by reference herein.</w:t>
      </w:r>
    </w:p>
    <w:p>
      <w:pPr>
        <w:spacing w:after="0" w:line="176" w:lineRule="exact"/>
        <w:rPr>
          <w:sz w:val="20"/>
          <w:szCs w:val="20"/>
          <w:color w:val="auto"/>
        </w:rPr>
      </w:pPr>
    </w:p>
    <w:p>
      <w:pPr>
        <w:ind w:left="10" w:right="3259"/>
        <w:spacing w:after="0" w:line="256" w:lineRule="auto"/>
        <w:rPr>
          <w:sz w:val="20"/>
          <w:szCs w:val="20"/>
          <w:color w:val="auto"/>
        </w:rPr>
      </w:pPr>
      <w:r>
        <w:rPr>
          <w:rFonts w:ascii="Courier New" w:cs="Courier New" w:eastAsia="Courier New" w:hAnsi="Courier New"/>
          <w:sz w:val="14"/>
          <w:szCs w:val="14"/>
          <w:color w:val="auto"/>
        </w:rPr>
        <w:t>The Viacom Credit Agreement is comprised of (i) a $1.5 billion senior unsecured revolving short term loan (the "Short-Term Loan") maturing December 31, 1996,</w:t>
      </w:r>
    </w:p>
    <w:p>
      <w:pPr>
        <w:spacing w:after="0" w:line="1" w:lineRule="exact"/>
        <w:rPr>
          <w:sz w:val="20"/>
          <w:szCs w:val="20"/>
          <w:color w:val="auto"/>
        </w:rPr>
      </w:pPr>
    </w:p>
    <w:p>
      <w:pPr>
        <w:ind w:left="10" w:right="3179" w:hanging="10"/>
        <w:spacing w:after="0" w:line="238" w:lineRule="auto"/>
        <w:tabs>
          <w:tab w:leader="none" w:pos="4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$1.8 billion senior unsecured reducing revolving loan (the "Revolving Loan") maturing July 1, 2002 and (iii) a $2.189 billion term loan maturing July 1, 2002 (the "Term Loan"). The Viacom International Credit Agreement is comprised of a $311 million term loan to Viacom International and certain of its subsidiaries maturing July 1, 2002. The $1.8 billion Credit Agreement is comprised of a $1.8 billion senior unsecured reducing revolving loan to the Company maturing July 1, 2002.</w:t>
      </w:r>
    </w:p>
    <w:p>
      <w:pPr>
        <w:spacing w:after="0" w:line="177" w:lineRule="exact"/>
        <w:rPr>
          <w:sz w:val="20"/>
          <w:szCs w:val="20"/>
          <w:color w:val="auto"/>
        </w:rPr>
      </w:pPr>
    </w:p>
    <w:p>
      <w:pPr>
        <w:ind w:left="10" w:right="3179"/>
        <w:spacing w:after="0" w:line="265" w:lineRule="auto"/>
        <w:rPr>
          <w:sz w:val="20"/>
          <w:szCs w:val="20"/>
          <w:color w:val="auto"/>
        </w:rPr>
      </w:pPr>
      <w:r>
        <w:rPr>
          <w:rFonts w:ascii="Courier New" w:cs="Courier New" w:eastAsia="Courier New" w:hAnsi="Courier New"/>
          <w:sz w:val="14"/>
          <w:szCs w:val="14"/>
          <w:color w:val="auto"/>
        </w:rPr>
        <w:t>The Company may prepay the loans and reduce commitments under the Viacom Credit Agreement and the $1.8 billion Credit Agreement in whole or in part at any time.</w:t>
      </w:r>
    </w:p>
    <w:p>
      <w:pPr>
        <w:spacing w:after="0" w:line="158"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During 1995, the Company permanently prepaid amounts and reduced commitments under the Short-Term Loan by $1.0 billion primarily from the proceeds from the sale of MSG and issuance of the 7.75% Senior Notes. These prepayments and commitment reductions are reflected in the Short-Term Loan.</w:t>
      </w:r>
    </w:p>
    <w:p>
      <w:pPr>
        <w:spacing w:after="0" w:line="176"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Effective December 1995, certain provisions of the Credit Agreement were amended which among other things (i) eliminated required prepayments prior to December 31, 1996, except for prepayment of certain amounts received by the Company in connection with the completion of the pending cable transaction described in Note 3 or the potential sale of Spelling (ii) permitted completion of the cable transaction and (iii) reduced the applicable borrowing margin payable on all loans under the three facilities.</w:t>
      </w:r>
    </w:p>
    <w:p>
      <w:pPr>
        <w:spacing w:after="0" w:line="177"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The interest rate on all loans made under the three facilities is based upon Citibank, N.A.'s base rate or the London Interbank Offered Rate and is affected by the Company's credit rating. At December 31, 1995, the London Interbank Offered Rates ("LIBOR") (upon which the Company's borrowing rate was based) for borrowing periods of one month and two months were 5.69% and 5.63%, respectively. At December 31, 1994, LIBOR for borrowing periods of one and two months were 6.0% and 6.25%, respectively.</w:t>
      </w:r>
    </w:p>
    <w:p>
      <w:pPr>
        <w:spacing w:after="0" w:line="177" w:lineRule="exact"/>
        <w:rPr>
          <w:sz w:val="20"/>
          <w:szCs w:val="20"/>
          <w:color w:val="auto"/>
        </w:rPr>
      </w:pPr>
    </w:p>
    <w:p>
      <w:pPr>
        <w:ind w:left="10" w:right="3179"/>
        <w:spacing w:after="0" w:line="259" w:lineRule="auto"/>
        <w:rPr>
          <w:sz w:val="20"/>
          <w:szCs w:val="20"/>
          <w:color w:val="auto"/>
        </w:rPr>
      </w:pPr>
      <w:r>
        <w:rPr>
          <w:rFonts w:ascii="Courier New" w:cs="Courier New" w:eastAsia="Courier New" w:hAnsi="Courier New"/>
          <w:sz w:val="14"/>
          <w:szCs w:val="14"/>
          <w:color w:val="auto"/>
        </w:rPr>
        <w:t>The credit agreements contain certain covenants which, among other things, require that the Company maintain certain financial ratios and impose on the Company and its subsidiaries certain limitations on substantial asset sales and mergers with any other company in which the Company is not the surviving entity.</w:t>
      </w:r>
    </w:p>
    <w:p>
      <w:pPr>
        <w:spacing w:after="0" w:line="163"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The credit agreements contain certain customary events of default and provide that it is an event of default if NAI fails to own at least 51% of the outstanding voting stock of the Company.</w:t>
      </w:r>
    </w:p>
    <w:p>
      <w:pPr>
        <w:spacing w:after="0" w:line="200" w:lineRule="exact"/>
        <w:rPr>
          <w:sz w:val="20"/>
          <w:szCs w:val="20"/>
          <w:color w:val="auto"/>
        </w:rPr>
      </w:pPr>
    </w:p>
    <w:p>
      <w:pPr>
        <w:spacing w:after="0" w:line="308"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II-32</w:t>
      </w:r>
    </w:p>
    <w:p>
      <w:pPr>
        <w:sectPr>
          <w:pgSz w:w="11900" w:h="16838" w:orient="portrait"/>
          <w:cols w:equalWidth="0" w:num="1">
            <w:col w:w="10229"/>
          </w:cols>
          <w:pgMar w:left="230" w:top="452" w:right="1440" w:bottom="1440" w:gutter="0" w:footer="0" w:header="0"/>
        </w:sectPr>
      </w:pPr>
    </w:p>
    <w:bookmarkStart w:id="73" w:name="page74"/>
    <w:bookmarkEnd w:id="73"/>
    <w:p>
      <w:pPr>
        <w:jc w:val="center"/>
        <w:ind w:right="3179"/>
        <w:spacing w:after="0"/>
        <w:rPr>
          <w:sz w:val="20"/>
          <w:szCs w:val="20"/>
          <w:color w:val="auto"/>
        </w:rPr>
      </w:pPr>
      <w:r>
        <w:rPr>
          <w:rFonts w:ascii="Courier New" w:cs="Courier New" w:eastAsia="Courier New" w:hAnsi="Courier New"/>
          <w:sz w:val="15"/>
          <w:szCs w:val="15"/>
          <w:color w:val="auto"/>
        </w:rPr>
        <w:t>VIACOM INC. AND SUBSIDIARIES</w:t>
      </w: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343"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Company is required to pay a commitment fee based on the aggregate daily unborrowed portion of the loan commitments. As of December 31, 1995, the Company had $1.5 billion of available unborrowed loan commitments. The credit agreements do not require compensating balances.</w:t>
      </w:r>
    </w:p>
    <w:p>
      <w:pPr>
        <w:spacing w:after="0" w:line="176" w:lineRule="exact"/>
        <w:rPr>
          <w:sz w:val="20"/>
          <w:szCs w:val="20"/>
          <w:color w:val="auto"/>
        </w:rPr>
      </w:pPr>
    </w:p>
    <w:p>
      <w:pPr>
        <w:ind w:right="3179" w:firstLine="255"/>
        <w:spacing w:after="0" w:line="256" w:lineRule="auto"/>
        <w:tabs>
          <w:tab w:leader="none" w:pos="617"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During December 1995, the Company issued an aggregate principal amount of $350 million of 6.75% Senior Notes due 2003 at a price to the public of</w:t>
      </w:r>
    </w:p>
    <w:p>
      <w:pPr>
        <w:ind w:right="317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99.903% and $200 million of 7.625% Senior Debentures due 2016 at a price to the public of 99.29%. Proceeds from the issuance were used to repay notes payable to banks. Such notes and debentures were issued pursuant to the shelf registration statement described below.</w:t>
      </w:r>
    </w:p>
    <w:p>
      <w:pPr>
        <w:spacing w:after="0" w:line="170" w:lineRule="exact"/>
        <w:rPr>
          <w:rFonts w:ascii="Courier New" w:cs="Courier New" w:eastAsia="Courier New" w:hAnsi="Courier New"/>
          <w:sz w:val="14"/>
          <w:szCs w:val="14"/>
          <w:color w:val="auto"/>
        </w:rPr>
      </w:pPr>
    </w:p>
    <w:p>
      <w:pPr>
        <w:ind w:left="600" w:hanging="345"/>
        <w:spacing w:after="0"/>
        <w:tabs>
          <w:tab w:leader="none" w:pos="6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During May 1995, the Company issued an aggregate principal amount of</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$1 billion of 7.75% Senior Notes due June 1, 2005 at a price to the public of 99.04%. Proceeds from the issuance were used to repay notes payable to banks, of which approximately $400 million was a permanent reduction of the Company's bank commitments. Such notes were issued pursuant to the shelf registration statement described below.</w:t>
      </w:r>
    </w:p>
    <w:p>
      <w:pPr>
        <w:spacing w:after="0" w:line="178" w:lineRule="exact"/>
        <w:rPr>
          <w:sz w:val="20"/>
          <w:szCs w:val="20"/>
          <w:color w:val="auto"/>
        </w:rPr>
      </w:pPr>
    </w:p>
    <w:p>
      <w:pPr>
        <w:ind w:right="3179" w:firstLine="255"/>
        <w:spacing w:after="0" w:line="257" w:lineRule="auto"/>
        <w:tabs>
          <w:tab w:leader="none" w:pos="617"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$100 million aggregate principal amount of 8.75% Senior Subordinated Reset Notes ("8.75% Reset Notes") are due on May 15, 2001. On May 15, 1995 the interest rate was reset at the original interest rate of 8.75% . On May 15, 1998, unless a notice of redemption of the 8.75% Reset Notes on such date has been given by the Company, the interest rate on the 8.75% Reset Notes will, if necessary, be adjusted from the rate then in effect to a rate to be determined on the basis of market rates in effect on May 5, 1998, as the rate the 8.75% Reset Notes should bear in order to have a market value of 101% of principal amount immediately after the resetting of the rate. In no event will the interest rate be lower than 8.75% or higher than the average three year treasury rate (as defined in the indenture) multiplied by two. Interest rate reset on May 15, 1998 will remain in effect on the 8.75% Reset Notes thereafter. The 8.75% Reset Notes are redeemable at the option of the Company, in whole but not in part, or on May 15, 1998, at a redemption price of 101% of principal amount plus accrued interest to, but not including, the date of redemption.</w:t>
      </w:r>
    </w:p>
    <w:p>
      <w:pPr>
        <w:spacing w:after="0" w:line="16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The Company filed a shelf registration statement with the Securities and Exchange Commission registering debt securities, preferred stock and contingent value rights of Viacom and guarantees of such debt securities by Viacom International which may be issued for aggregate gross proceeds of $3.0 billion. The registration statement was declared effective on May 10, 1995. The net proceeds from the sale of the offered securities may be used by Viacom to repay, redeem, repurchase or satisfy its obligations in respect of its outstanding indebtedness or other securities; to make loans to its subsidiaries; for general corporate purposes; or for such other purposes as may be specified in the applicable Prospectus Supplement. During 1995, the Company issued $1.6 billion of notes and debentures under this shelf registration statement.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EXTRAORDINARY LOSSES</w:t>
      </w:r>
    </w:p>
    <w:p>
      <w:pPr>
        <w:spacing w:after="0" w:line="175"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During 1994, the proceeds from the Viacom Credit Agreement were used to refinance the previously existing bank debt of the Company. The Company recognized an extraordinary loss from the extinguishment of debt of $20.4 million, net of a tax benefit of $11.9 million. The effective tax rate of 36.8% is greater than the federal statutory tax rate of 35% due to state tax benefits.</w:t>
      </w:r>
    </w:p>
    <w:p>
      <w:pPr>
        <w:spacing w:after="0" w:line="32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II-33</w:t>
      </w:r>
    </w:p>
    <w:p>
      <w:pPr>
        <w:sectPr>
          <w:pgSz w:w="11900" w:h="16838" w:orient="portrait"/>
          <w:cols w:equalWidth="0" w:num="1">
            <w:col w:w="10219"/>
          </w:cols>
          <w:pgMar w:left="240" w:top="452" w:right="1440" w:bottom="1440" w:gutter="0" w:footer="0" w:header="0"/>
        </w:sectPr>
      </w:pPr>
    </w:p>
    <w:bookmarkStart w:id="74" w:name="page75"/>
    <w:bookmarkEnd w:id="74"/>
    <w:p>
      <w:pPr>
        <w:jc w:val="center"/>
        <w:ind w:right="3179"/>
        <w:spacing w:after="0"/>
        <w:rPr>
          <w:sz w:val="20"/>
          <w:szCs w:val="20"/>
          <w:color w:val="auto"/>
        </w:rPr>
      </w:pPr>
      <w:r>
        <w:rPr>
          <w:rFonts w:ascii="Courier New" w:cs="Courier New" w:eastAsia="Courier New" w:hAnsi="Courier New"/>
          <w:sz w:val="15"/>
          <w:szCs w:val="15"/>
          <w:color w:val="auto"/>
        </w:rPr>
        <w:t>VIACOM INC. AND SUBSIDIARIES</w:t>
      </w: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343"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On July 15, 1993, Viacom International redeemed all of the $298 million principal amount outstanding of the 11.80% Senior Subordinated Notes at a redemption price equal to 103.37% of the principal amount plus accrued interest to July 15, 1993. Viacom International recognized an extraordinary loss from the extinguishment of debt of $8.9 million, net of a tax benefit of $6.1 million. The effective tax rate of 40.7% is greater than the federal statutory tax rate of 35% due to state tax benefits.</w:t>
      </w:r>
    </w:p>
    <w:p>
      <w:pPr>
        <w:spacing w:after="0" w:line="177"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The Company borrowed the funds necessary for each of these redemptions under its bank credit facilities existing in the respective periods.</w:t>
      </w:r>
    </w:p>
    <w:p>
      <w:pPr>
        <w:spacing w:after="0" w:line="176"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Interest costs incurred, interest income and capitalized interest are summarized below:</w:t>
      </w:r>
    </w:p>
    <w:p>
      <w:pPr>
        <w:spacing w:after="0" w:line="170"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YEAR ENDED DECEMBER 31,</w:t>
            </w:r>
          </w:p>
        </w:tc>
        <w:tc>
          <w:tcPr>
            <w:tcW w:w="440" w:type="dxa"/>
            <w:vAlign w:val="bottom"/>
          </w:tcPr>
          <w:p>
            <w:pPr>
              <w:spacing w:after="0"/>
              <w:rPr>
                <w:sz w:val="14"/>
                <w:szCs w:val="14"/>
                <w:color w:val="auto"/>
              </w:rPr>
            </w:pPr>
          </w:p>
        </w:tc>
      </w:tr>
      <w:tr>
        <w:trPr>
          <w:trHeight w:val="170"/>
        </w:trPr>
        <w:tc>
          <w:tcPr>
            <w:tcW w:w="2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96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2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760" w:type="dxa"/>
            <w:vAlign w:val="bottom"/>
          </w:tcPr>
          <w:p>
            <w:pPr>
              <w:spacing w:after="0"/>
              <w:rPr>
                <w:sz w:val="14"/>
                <w:szCs w:val="14"/>
                <w:color w:val="auto"/>
              </w:rPr>
            </w:pP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1994</w:t>
            </w:r>
          </w:p>
        </w:tc>
        <w:tc>
          <w:tcPr>
            <w:tcW w:w="4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2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Interest Incurred.......</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868.5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536.3</w:t>
            </w: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154.5</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33.4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32.6</w:t>
            </w: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9.1</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Capitalized Interest....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13.7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9.6</w:t>
            </w: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bl>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Scheduled maturities of long-term debt of the Company through December 31, 2000, assuming full utilization of the commitments under the credit agreements are $1.6 billion (1996), $248.9 million (1997), $1.0 billion (1998), $1.5 billion (1999) and $1.3 billion (2000). The Company has classified certain short-term indebtedness as long-term debt based upon its intent and ability to refinance such indebtedness on a long-term basis.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FINANCIAL INSTRUMENTS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Company's carrying value of the financial instruments approximates fair value, except for differences with respect to the notes and debentures and certain differences related to other financial instruments which are not significant. The carrying value of the senior debt, senior subordinated debt and subordinated debt is $4.1 billion and the fair value, which is estimated based on quoted market prices, is approximately $4.3 billion.</w:t>
      </w:r>
    </w:p>
    <w:p>
      <w:pPr>
        <w:spacing w:after="0" w:line="176"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The Company enters into interest rate exchange agreements with off-balance sheet risk in order to reduce its exposure to changes in interest rates on its variable rate long-term debt and/or take advantage of changes in interest rates. These interest rate exchange agreements include interest rate swaps and interest rate caps. At December 31, 1995, the Company had $1.6 billion of interest rate exchange agreements outstanding with commercial banks. These agreements, which expire over the next two years, effectively change the Company's interest rate on an equivalent amount of variable rate borrowings to a fixed rate of 6.3%.</w:t>
      </w:r>
    </w:p>
    <w:p>
      <w:pPr>
        <w:spacing w:after="0" w:line="167"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The Company enters into foreign currency exchange contracts in order to reduce its exposure to changes in foreign currency exchange rates that affect the value of its firm commitments and certain anticipated foreign currency cash flows. These contracts generally mature within the calendar year. The Company does not enter into foreign currency contracts for speculative purposes. To date, the</w:t>
      </w:r>
    </w:p>
    <w:p>
      <w:pPr>
        <w:spacing w:after="0" w:line="200" w:lineRule="exact"/>
        <w:rPr>
          <w:sz w:val="20"/>
          <w:szCs w:val="20"/>
          <w:color w:val="auto"/>
        </w:rPr>
      </w:pPr>
    </w:p>
    <w:p>
      <w:pPr>
        <w:spacing w:after="0" w:line="29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II-34</w:t>
      </w:r>
    </w:p>
    <w:p>
      <w:pPr>
        <w:sectPr>
          <w:pgSz w:w="11900" w:h="16838" w:orient="portrait"/>
          <w:cols w:equalWidth="0" w:num="1">
            <w:col w:w="10219"/>
          </w:cols>
          <w:pgMar w:left="240" w:top="452" w:right="1440" w:bottom="1440" w:gutter="0" w:footer="0" w:header="0"/>
        </w:sectPr>
      </w:pPr>
    </w:p>
    <w:bookmarkStart w:id="75" w:name="page76"/>
    <w:bookmarkEnd w:id="75"/>
    <w:p>
      <w:pPr>
        <w:jc w:val="center"/>
        <w:ind w:right="3179"/>
        <w:spacing w:after="0"/>
        <w:rPr>
          <w:sz w:val="20"/>
          <w:szCs w:val="20"/>
          <w:color w:val="auto"/>
        </w:rPr>
      </w:pPr>
      <w:r>
        <w:rPr>
          <w:rFonts w:ascii="Courier New" w:cs="Courier New" w:eastAsia="Courier New" w:hAnsi="Courier New"/>
          <w:sz w:val="15"/>
          <w:szCs w:val="15"/>
          <w:color w:val="auto"/>
        </w:rPr>
        <w:t>VIACOM INC. AND SUBSIDIARIES</w:t>
      </w: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343"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contracts utilized have been purchased options and forward contracts. A forward contract is an agreement between two parties to exchange a specified amount of foreign currency, at a specified exchange rate on a specified future date. An option contract provides the right, but not the obligation, to buy or sell currency at a fixed exchange rate on a future date. The contracts have principally hedged the British pound, the Australian dollar, the Japanese yen, the Candian dollar, the German deutschemark and the European Currency Unit/ British pound relationship. At December 31, 1995, the Company had outstanding contracts with a notional value of approximately $12.0 million which expire in 1996. Realized gains and losses on contracts that hedge anticipated future cash flows are recognized in "Other Items, Net" and were not material in each of the periods. Option premiums are amortized over the life of the contract. Deferred gains and losses on foreign currency exchange contracts as of December 31, 1995 were not material.</w:t>
      </w:r>
    </w:p>
    <w:p>
      <w:pPr>
        <w:spacing w:after="0" w:line="18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 continually monitors its positions with, and credit quality of, the financial institutions which are counterparties to its financial instruments. The Company is exposed to credit loss in the event of nonperformance by the counterparties to the agreements. However, the Company does not anticipate nonperformance by the counterparties. The Company's receivables do not represent significant concentrations of credit risk at December 31, 1995, due to the wide variety of customers, markets and geographic areas to which the Company's products and services are sold.</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SHAREHOLDERS' EQUITY</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On July 7, 1995 the CVRs matured. The Company paid approximately $81.9 million in cash, or approximately $1.44 per CVR, to settle its obligation under the CVRs.</w:t>
      </w:r>
    </w:p>
    <w:p>
      <w:pPr>
        <w:spacing w:after="0" w:line="175" w:lineRule="exact"/>
        <w:rPr>
          <w:sz w:val="20"/>
          <w:szCs w:val="20"/>
          <w:color w:val="auto"/>
        </w:rPr>
      </w:pPr>
    </w:p>
    <w:p>
      <w:pPr>
        <w:jc w:val="both"/>
        <w:ind w:right="3539"/>
        <w:spacing w:after="0" w:line="237" w:lineRule="auto"/>
        <w:rPr>
          <w:sz w:val="20"/>
          <w:szCs w:val="20"/>
          <w:color w:val="auto"/>
        </w:rPr>
      </w:pPr>
      <w:r>
        <w:rPr>
          <w:rFonts w:ascii="Courier New" w:cs="Courier New" w:eastAsia="Courier New" w:hAnsi="Courier New"/>
          <w:sz w:val="15"/>
          <w:szCs w:val="15"/>
          <w:color w:val="auto"/>
        </w:rPr>
        <w:t>On September 29, 1995 the VCRs matured. The Company issued approximately 6.1 million shares of Viacom Inc. Class B Common Stock, or .022665 of a share of Viacom Inc. Class B Common Stock per VCR, to settle its obligation under the VCRs.</w:t>
      </w:r>
    </w:p>
    <w:p>
      <w:pPr>
        <w:spacing w:after="0" w:line="17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During March 1994, Blockbuster purchased 22.7 million shares of Viacom Class B Common Stock at a price of $55 per share. The common stock was canceled upon consummation of the Blockbuster Merger.</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On October 22, 1993, Blockbuster purchased 24 million shares of cumulative convertible preferred stock, par value $.01 per share, of the Company ("Series A Preferred Stock") for $600 million. The Preferred Stock purchased by Blockbuster was canceled upon consummation of the Blockbuster Merger. On November 19, 1993, NYNEX Corporation ("NYNEX") purchased 24 million shares of cumulative convertible preferred stock, par value $.01 per share, of the Company ("Series B Preferred Stock," collectively with the Series A Preferred Stock, "Preferred Stock") for $1.2 billion. Series B Preferred Stock has a liquidation preference of $50 per share, an annual dividend rate of 5%, is convertible into shares of Viacom Class B Common Stock at a conversion price of $70 and does not have voting rights other than those required by law. The Series B Preferred Stock is redeemable by the Company at declining premiums after five years from issuance.</w:t>
      </w:r>
    </w:p>
    <w:p>
      <w:pPr>
        <w:spacing w:after="0" w:line="33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II-35</w:t>
      </w:r>
    </w:p>
    <w:p>
      <w:pPr>
        <w:sectPr>
          <w:pgSz w:w="11900" w:h="16838" w:orient="portrait"/>
          <w:cols w:equalWidth="0" w:num="1">
            <w:col w:w="10219"/>
          </w:cols>
          <w:pgMar w:left="240" w:top="452" w:right="1440" w:bottom="1440" w:gutter="0" w:footer="0" w:header="0"/>
        </w:sectPr>
      </w:pPr>
    </w:p>
    <w:bookmarkStart w:id="76" w:name="page77"/>
    <w:bookmarkEnd w:id="76"/>
    <w:p>
      <w:pPr>
        <w:jc w:val="center"/>
        <w:ind w:right="3179"/>
        <w:spacing w:after="0"/>
        <w:rPr>
          <w:sz w:val="20"/>
          <w:szCs w:val="20"/>
          <w:color w:val="auto"/>
        </w:rPr>
      </w:pPr>
      <w:r>
        <w:rPr>
          <w:rFonts w:ascii="Courier New" w:cs="Courier New" w:eastAsia="Courier New" w:hAnsi="Courier New"/>
          <w:sz w:val="15"/>
          <w:szCs w:val="15"/>
          <w:color w:val="auto"/>
        </w:rPr>
        <w:t>VIACOM INC. AND SUBSIDIARIES</w:t>
      </w: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343"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NAI holds approximately 25% and the public holds approximately 75% of the Company's outstanding Common Stock as of December 31, 1995. NAI owns 61% of the outstanding Viacom Class A Common Stock as of December 31, 1995.</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Long-Term Incentive Plans - The purpose of the Long-Term Incentive Plans (the "Plans") is to benefit and advance the interests of the Company by rewarding certain key employees for their contributions to the financial success of the Company and thereby motivating them to continue to make such contributions in the future. The Plans provide for grants of equity-based interests pursuant to awards of phantom shares, stock options, stock appreciation rights, restricted shares or other equity-based interests ("Awards"), and for subsequent payments of cash with respect to phantom shares or stock appreciation rights based, subject to certain limits, on their appreciation in value over stated periods of time.</w:t>
      </w:r>
    </w:p>
    <w:p>
      <w:pPr>
        <w:spacing w:after="0" w:line="180"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In addition to the 18.6 million stock option awards outstanding under various plans, as of December 31, 1995 there are phantom shares for 321,549 shares of common stock all of which are vested, at an average grant price of $29. The stock options generally vest over a four to six year period from the date of grant and expire 10 years after the date of grant.</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Each of the unexercised stock options to purchase Paramount Communications or Blockbuster common stock that was outstanding at the time of the respective mergers automatically became options to purchase the merger consideration applicable to the stock option under the same price and terms, except that, for employees of Paramount Communications who were employees on the date of the Paramount Merger, additional Viacom Class B Common Stock valued in July 1995, will be issued on exercise of such options as consideration for the cash portion of the blended purchase price per share of Paramount Communications that was not reflected in the Merger consideration because of the transaction structure. These options generally became vested upon the effective date of the Merger, and are exercisable over a three to five year period and expire 10 years after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II-36</w:t>
      </w:r>
    </w:p>
    <w:p>
      <w:pPr>
        <w:sectPr>
          <w:pgSz w:w="11900" w:h="16838" w:orient="portrait"/>
          <w:cols w:equalWidth="0" w:num="1">
            <w:col w:w="10219"/>
          </w:cols>
          <w:pgMar w:left="240" w:top="452" w:right="1440" w:bottom="1440" w:gutter="0" w:footer="0" w:header="0"/>
        </w:sectPr>
      </w:pPr>
    </w:p>
    <w:bookmarkStart w:id="77" w:name="page78"/>
    <w:bookmarkEnd w:id="77"/>
    <w:p>
      <w:pPr>
        <w:jc w:val="center"/>
        <w:ind w:right="3179"/>
        <w:spacing w:after="0"/>
        <w:rPr>
          <w:sz w:val="20"/>
          <w:szCs w:val="20"/>
          <w:color w:val="auto"/>
        </w:rPr>
      </w:pPr>
      <w:r>
        <w:rPr>
          <w:rFonts w:ascii="Courier New" w:cs="Courier New" w:eastAsia="Courier New" w:hAnsi="Courier New"/>
          <w:sz w:val="15"/>
          <w:szCs w:val="15"/>
          <w:color w:val="auto"/>
        </w:rPr>
        <w:t>VIACOM INC. AND SUBSIDIARIES</w:t>
      </w: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table summarizes the stock activity under the various plans: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20" w:type="dxa"/>
            <w:vAlign w:val="bottom"/>
            <w:gridSpan w:val="3"/>
          </w:tcPr>
          <w:p>
            <w:pPr>
              <w:jc w:val="center"/>
              <w:ind w:left="147"/>
              <w:spacing w:after="0"/>
              <w:rPr>
                <w:sz w:val="20"/>
                <w:szCs w:val="20"/>
                <w:color w:val="auto"/>
              </w:rPr>
            </w:pPr>
            <w:r>
              <w:rPr>
                <w:rFonts w:ascii="Courier New" w:cs="Courier New" w:eastAsia="Courier New" w:hAnsi="Courier New"/>
                <w:sz w:val="15"/>
                <w:szCs w:val="15"/>
                <w:color w:val="auto"/>
                <w:w w:val="96"/>
              </w:rPr>
              <w:t>PER SHARE</w:t>
            </w:r>
          </w:p>
        </w:tc>
      </w:tr>
      <w:tr>
        <w:trPr>
          <w:trHeight w:val="170"/>
        </w:trPr>
        <w:tc>
          <w:tcPr>
            <w:tcW w:w="9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80" w:type="dxa"/>
            <w:vAlign w:val="bottom"/>
          </w:tcPr>
          <w:p>
            <w:pPr>
              <w:ind w:left="260"/>
              <w:spacing w:after="0"/>
              <w:rPr>
                <w:sz w:val="20"/>
                <w:szCs w:val="20"/>
                <w:color w:val="auto"/>
              </w:rPr>
            </w:pPr>
            <w:r>
              <w:rPr>
                <w:rFonts w:ascii="Courier New" w:cs="Courier New" w:eastAsia="Courier New" w:hAnsi="Courier New"/>
                <w:sz w:val="15"/>
                <w:szCs w:val="15"/>
                <w:color w:val="auto"/>
              </w:rPr>
              <w:t>NUMBER OF</w:t>
            </w:r>
          </w:p>
        </w:tc>
        <w:tc>
          <w:tcPr>
            <w:tcW w:w="74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Courier New" w:cs="Courier New" w:eastAsia="Courier New" w:hAnsi="Courier New"/>
                <w:sz w:val="15"/>
                <w:szCs w:val="15"/>
                <w:color w:val="auto"/>
              </w:rPr>
              <w:t>OPTION</w:t>
            </w:r>
          </w:p>
        </w:tc>
      </w:tr>
      <w:tr>
        <w:trPr>
          <w:trHeight w:val="170"/>
        </w:trPr>
        <w:tc>
          <w:tcPr>
            <w:tcW w:w="9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SHARES</w:t>
            </w:r>
          </w:p>
        </w:tc>
        <w:tc>
          <w:tcPr>
            <w:tcW w:w="1720" w:type="dxa"/>
            <w:vAlign w:val="bottom"/>
            <w:gridSpan w:val="3"/>
          </w:tcPr>
          <w:p>
            <w:pPr>
              <w:jc w:val="center"/>
              <w:ind w:left="147"/>
              <w:spacing w:after="0"/>
              <w:rPr>
                <w:sz w:val="20"/>
                <w:szCs w:val="20"/>
                <w:color w:val="auto"/>
              </w:rPr>
            </w:pPr>
            <w:r>
              <w:rPr>
                <w:rFonts w:ascii="Courier New" w:cs="Courier New" w:eastAsia="Courier New" w:hAnsi="Courier New"/>
                <w:sz w:val="15"/>
                <w:szCs w:val="15"/>
                <w:color w:val="auto"/>
                <w:w w:val="98"/>
              </w:rPr>
              <w:t>PRICE RANGE</w:t>
            </w:r>
          </w:p>
        </w:tc>
      </w:tr>
      <w:tr>
        <w:trPr>
          <w:trHeight w:val="170"/>
        </w:trPr>
        <w:tc>
          <w:tcPr>
            <w:tcW w:w="9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3"/>
          </w:tcPr>
          <w:p>
            <w:pPr>
              <w:jc w:val="center"/>
              <w:ind w:left="14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960" w:type="dxa"/>
            <w:vAlign w:val="bottom"/>
          </w:tcPr>
          <w:p>
            <w:pPr>
              <w:spacing w:after="0"/>
              <w:rPr>
                <w:sz w:val="20"/>
                <w:szCs w:val="20"/>
                <w:color w:val="auto"/>
              </w:rPr>
            </w:pPr>
            <w:r>
              <w:rPr>
                <w:rFonts w:ascii="Courier New" w:cs="Courier New" w:eastAsia="Courier New" w:hAnsi="Courier New"/>
                <w:sz w:val="15"/>
                <w:szCs w:val="15"/>
                <w:color w:val="auto"/>
              </w:rPr>
              <w:t>BALANCE AT</w:t>
            </w:r>
          </w:p>
        </w:tc>
        <w:tc>
          <w:tcPr>
            <w:tcW w:w="2820" w:type="dxa"/>
            <w:vAlign w:val="bottom"/>
          </w:tcPr>
          <w:p>
            <w:pPr>
              <w:spacing w:after="0"/>
              <w:rPr>
                <w:sz w:val="20"/>
                <w:szCs w:val="20"/>
                <w:color w:val="auto"/>
              </w:rPr>
            </w:pPr>
            <w:r>
              <w:rPr>
                <w:rFonts w:ascii="Courier New" w:cs="Courier New" w:eastAsia="Courier New" w:hAnsi="Courier New"/>
                <w:sz w:val="15"/>
                <w:szCs w:val="15"/>
                <w:color w:val="auto"/>
              </w:rPr>
              <w:t>DECEMBER 31, 1992............</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3,557,591</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$ 20.75</w:t>
            </w:r>
          </w:p>
        </w:tc>
        <w:tc>
          <w:tcPr>
            <w:tcW w:w="9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5"/>
              </w:rPr>
              <w:t>to $31.875</w:t>
            </w:r>
          </w:p>
        </w:tc>
      </w:tr>
      <w:tr>
        <w:trPr>
          <w:trHeight w:val="170"/>
        </w:trPr>
        <w:tc>
          <w:tcPr>
            <w:tcW w:w="37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Granted...............................</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856,990</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43.25</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to</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55.25</w:t>
            </w:r>
          </w:p>
        </w:tc>
      </w:tr>
      <w:tr>
        <w:trPr>
          <w:trHeight w:val="170"/>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w w:val="96"/>
              </w:rPr>
              <w:t>Exercised</w:t>
            </w:r>
          </w:p>
        </w:tc>
        <w:tc>
          <w:tcPr>
            <w:tcW w:w="28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(346,378)</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20.75</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to</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w w:val="96"/>
              </w:rPr>
              <w:t>31.875</w:t>
            </w:r>
          </w:p>
        </w:tc>
      </w:tr>
      <w:tr>
        <w:trPr>
          <w:trHeight w:val="170"/>
        </w:trPr>
        <w:tc>
          <w:tcPr>
            <w:tcW w:w="37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Canceled..............................</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(95,146)</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20.75</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to</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55.25</w:t>
            </w:r>
          </w:p>
        </w:tc>
      </w:tr>
      <w:tr>
        <w:trPr>
          <w:trHeight w:val="170"/>
        </w:trPr>
        <w:tc>
          <w:tcPr>
            <w:tcW w:w="9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BALANCE AT</w:t>
            </w:r>
          </w:p>
        </w:tc>
        <w:tc>
          <w:tcPr>
            <w:tcW w:w="2820" w:type="dxa"/>
            <w:vAlign w:val="bottom"/>
          </w:tcPr>
          <w:p>
            <w:pPr>
              <w:spacing w:after="0"/>
              <w:rPr>
                <w:sz w:val="20"/>
                <w:szCs w:val="20"/>
                <w:color w:val="auto"/>
              </w:rPr>
            </w:pPr>
            <w:r>
              <w:rPr>
                <w:rFonts w:ascii="Courier New" w:cs="Courier New" w:eastAsia="Courier New" w:hAnsi="Courier New"/>
                <w:sz w:val="15"/>
                <w:szCs w:val="15"/>
                <w:color w:val="auto"/>
              </w:rPr>
              <w:t>DECEMBER 31, 1993............</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3,973,057</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20.75</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to</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55.25</w:t>
            </w:r>
          </w:p>
        </w:tc>
      </w:tr>
      <w:tr>
        <w:trPr>
          <w:trHeight w:val="170"/>
        </w:trPr>
        <w:tc>
          <w:tcPr>
            <w:tcW w:w="9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7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Granted...............................</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3,931,562</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34.75</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to</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w w:val="96"/>
              </w:rPr>
              <w:t>52.125</w:t>
            </w:r>
          </w:p>
        </w:tc>
      </w:tr>
      <w:tr>
        <w:trPr>
          <w:trHeight w:val="170"/>
        </w:trPr>
        <w:tc>
          <w:tcPr>
            <w:tcW w:w="37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Assumed in connection with the Mergers</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19,955,783</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1.45</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to</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44.94</w:t>
            </w:r>
          </w:p>
        </w:tc>
      </w:tr>
      <w:tr>
        <w:trPr>
          <w:trHeight w:val="170"/>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w w:val="96"/>
              </w:rPr>
              <w:t>Exercised</w:t>
            </w:r>
          </w:p>
        </w:tc>
        <w:tc>
          <w:tcPr>
            <w:tcW w:w="28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(1,336,751)</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6.67</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to</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37.07</w:t>
            </w:r>
          </w:p>
        </w:tc>
      </w:tr>
      <w:tr>
        <w:trPr>
          <w:trHeight w:val="170"/>
        </w:trPr>
        <w:tc>
          <w:tcPr>
            <w:tcW w:w="37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Canceled..............................</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(1,508,535)</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11.74</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to</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55.25</w:t>
            </w:r>
          </w:p>
        </w:tc>
      </w:tr>
      <w:tr>
        <w:trPr>
          <w:trHeight w:val="170"/>
        </w:trPr>
        <w:tc>
          <w:tcPr>
            <w:tcW w:w="9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BALANCE AT</w:t>
            </w:r>
          </w:p>
        </w:tc>
        <w:tc>
          <w:tcPr>
            <w:tcW w:w="2820" w:type="dxa"/>
            <w:vAlign w:val="bottom"/>
          </w:tcPr>
          <w:p>
            <w:pPr>
              <w:spacing w:after="0"/>
              <w:rPr>
                <w:sz w:val="20"/>
                <w:szCs w:val="20"/>
                <w:color w:val="auto"/>
              </w:rPr>
            </w:pPr>
            <w:r>
              <w:rPr>
                <w:rFonts w:ascii="Courier New" w:cs="Courier New" w:eastAsia="Courier New" w:hAnsi="Courier New"/>
                <w:sz w:val="15"/>
                <w:szCs w:val="15"/>
                <w:color w:val="auto"/>
              </w:rPr>
              <w:t>DECEMBER 31, 1994............</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25,015,116</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1.45</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to</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55.25</w:t>
            </w:r>
          </w:p>
        </w:tc>
      </w:tr>
      <w:tr>
        <w:trPr>
          <w:trHeight w:val="170"/>
        </w:trPr>
        <w:tc>
          <w:tcPr>
            <w:tcW w:w="9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7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Granted...............................</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295,184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39.875</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to</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50.50</w:t>
            </w:r>
          </w:p>
        </w:tc>
      </w:tr>
      <w:tr>
        <w:trPr>
          <w:trHeight w:val="170"/>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w w:val="96"/>
              </w:rPr>
              <w:t>Exercised</w:t>
            </w:r>
          </w:p>
        </w:tc>
        <w:tc>
          <w:tcPr>
            <w:tcW w:w="28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(5,312,711)</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1.52</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to</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47.26</w:t>
            </w:r>
          </w:p>
        </w:tc>
      </w:tr>
      <w:tr>
        <w:trPr>
          <w:trHeight w:val="170"/>
        </w:trPr>
        <w:tc>
          <w:tcPr>
            <w:tcW w:w="37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Canceled..............................</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(1,429,268)</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12.34</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to</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55.25</w:t>
            </w:r>
          </w:p>
        </w:tc>
      </w:tr>
      <w:tr>
        <w:trPr>
          <w:trHeight w:val="170"/>
        </w:trPr>
        <w:tc>
          <w:tcPr>
            <w:tcW w:w="9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BALANCE AT</w:t>
            </w:r>
          </w:p>
        </w:tc>
        <w:tc>
          <w:tcPr>
            <w:tcW w:w="2820" w:type="dxa"/>
            <w:vAlign w:val="bottom"/>
          </w:tcPr>
          <w:p>
            <w:pPr>
              <w:spacing w:after="0"/>
              <w:rPr>
                <w:sz w:val="20"/>
                <w:szCs w:val="20"/>
                <w:color w:val="auto"/>
              </w:rPr>
            </w:pPr>
            <w:r>
              <w:rPr>
                <w:rFonts w:ascii="Courier New" w:cs="Courier New" w:eastAsia="Courier New" w:hAnsi="Courier New"/>
                <w:sz w:val="15"/>
                <w:szCs w:val="15"/>
                <w:color w:val="auto"/>
              </w:rPr>
              <w:t>DECEMBER 31, 1995............</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18,568,321</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$1.52</w:t>
            </w:r>
          </w:p>
        </w:tc>
        <w:tc>
          <w:tcPr>
            <w:tcW w:w="9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to $55.25</w:t>
            </w:r>
          </w:p>
        </w:tc>
      </w:tr>
      <w:tr>
        <w:trPr>
          <w:trHeight w:val="170"/>
        </w:trPr>
        <w:tc>
          <w:tcPr>
            <w:tcW w:w="9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9"/>
        </w:trPr>
        <w:tc>
          <w:tcPr>
            <w:tcW w:w="3780" w:type="dxa"/>
            <w:vAlign w:val="bottom"/>
            <w:gridSpan w:val="2"/>
          </w:tcPr>
          <w:p>
            <w:pPr>
              <w:spacing w:after="0"/>
              <w:rPr>
                <w:sz w:val="20"/>
                <w:szCs w:val="20"/>
                <w:color w:val="auto"/>
              </w:rPr>
            </w:pPr>
            <w:r>
              <w:rPr>
                <w:rFonts w:ascii="Courier New" w:cs="Courier New" w:eastAsia="Courier New" w:hAnsi="Courier New"/>
                <w:sz w:val="15"/>
                <w:szCs w:val="15"/>
                <w:color w:val="auto"/>
              </w:rPr>
              <w:t>STOCK OPTIONS AVAILABLE FOR FUTURE GRANT:</w:t>
            </w: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December</w:t>
            </w:r>
          </w:p>
        </w:tc>
        <w:tc>
          <w:tcPr>
            <w:tcW w:w="2820" w:type="dxa"/>
            <w:vAlign w:val="bottom"/>
          </w:tcPr>
          <w:p>
            <w:pPr>
              <w:spacing w:after="0"/>
              <w:rPr>
                <w:sz w:val="20"/>
                <w:szCs w:val="20"/>
                <w:color w:val="auto"/>
              </w:rPr>
            </w:pPr>
            <w:r>
              <w:rPr>
                <w:rFonts w:ascii="Courier New" w:cs="Courier New" w:eastAsia="Courier New" w:hAnsi="Courier New"/>
                <w:sz w:val="15"/>
                <w:szCs w:val="15"/>
                <w:color w:val="auto"/>
              </w:rPr>
              <w:t>31, 1993.....................</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1,994,020</w:t>
            </w: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December</w:t>
            </w:r>
          </w:p>
        </w:tc>
        <w:tc>
          <w:tcPr>
            <w:tcW w:w="2820" w:type="dxa"/>
            <w:vAlign w:val="bottom"/>
          </w:tcPr>
          <w:p>
            <w:pPr>
              <w:spacing w:after="0"/>
              <w:rPr>
                <w:sz w:val="20"/>
                <w:szCs w:val="20"/>
                <w:color w:val="auto"/>
              </w:rPr>
            </w:pPr>
            <w:r>
              <w:rPr>
                <w:rFonts w:ascii="Courier New" w:cs="Courier New" w:eastAsia="Courier New" w:hAnsi="Courier New"/>
                <w:sz w:val="15"/>
                <w:szCs w:val="15"/>
                <w:color w:val="auto"/>
              </w:rPr>
              <w:t>31, 1994.....................</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6,143,638</w:t>
            </w: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December</w:t>
            </w:r>
          </w:p>
        </w:tc>
        <w:tc>
          <w:tcPr>
            <w:tcW w:w="2820" w:type="dxa"/>
            <w:vAlign w:val="bottom"/>
          </w:tcPr>
          <w:p>
            <w:pPr>
              <w:spacing w:after="0"/>
              <w:rPr>
                <w:sz w:val="20"/>
                <w:szCs w:val="20"/>
                <w:color w:val="auto"/>
              </w:rPr>
            </w:pPr>
            <w:r>
              <w:rPr>
                <w:rFonts w:ascii="Courier New" w:cs="Courier New" w:eastAsia="Courier New" w:hAnsi="Courier New"/>
                <w:sz w:val="15"/>
                <w:szCs w:val="15"/>
                <w:color w:val="auto"/>
              </w:rPr>
              <w:t>31, 1995.....................</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7,229,853</w:t>
            </w: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9"/>
        </w:trPr>
        <w:tc>
          <w:tcPr>
            <w:tcW w:w="5060" w:type="dxa"/>
            <w:vAlign w:val="bottom"/>
            <w:gridSpan w:val="3"/>
          </w:tcPr>
          <w:p>
            <w:pPr>
              <w:spacing w:after="0"/>
              <w:rPr>
                <w:sz w:val="20"/>
                <w:szCs w:val="20"/>
                <w:color w:val="auto"/>
              </w:rPr>
            </w:pPr>
            <w:r>
              <w:rPr>
                <w:rFonts w:ascii="Courier New" w:cs="Courier New" w:eastAsia="Courier New" w:hAnsi="Courier New"/>
                <w:sz w:val="15"/>
                <w:szCs w:val="15"/>
                <w:color w:val="auto"/>
              </w:rPr>
              <w:t>SHARES ISSUABLE UNDER EXERCISABLE STOCK OPTIONS:</w:t>
            </w: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December</w:t>
            </w:r>
          </w:p>
        </w:tc>
        <w:tc>
          <w:tcPr>
            <w:tcW w:w="2820" w:type="dxa"/>
            <w:vAlign w:val="bottom"/>
          </w:tcPr>
          <w:p>
            <w:pPr>
              <w:spacing w:after="0"/>
              <w:rPr>
                <w:sz w:val="20"/>
                <w:szCs w:val="20"/>
                <w:color w:val="auto"/>
              </w:rPr>
            </w:pPr>
            <w:r>
              <w:rPr>
                <w:rFonts w:ascii="Courier New" w:cs="Courier New" w:eastAsia="Courier New" w:hAnsi="Courier New"/>
                <w:sz w:val="15"/>
                <w:szCs w:val="15"/>
                <w:color w:val="auto"/>
              </w:rPr>
              <w:t>31, 1993.....................</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1,448,570</w:t>
            </w: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December</w:t>
            </w:r>
          </w:p>
        </w:tc>
        <w:tc>
          <w:tcPr>
            <w:tcW w:w="2820" w:type="dxa"/>
            <w:vAlign w:val="bottom"/>
          </w:tcPr>
          <w:p>
            <w:pPr>
              <w:spacing w:after="0"/>
              <w:rPr>
                <w:sz w:val="20"/>
                <w:szCs w:val="20"/>
                <w:color w:val="auto"/>
              </w:rPr>
            </w:pPr>
            <w:r>
              <w:rPr>
                <w:rFonts w:ascii="Courier New" w:cs="Courier New" w:eastAsia="Courier New" w:hAnsi="Courier New"/>
                <w:sz w:val="15"/>
                <w:szCs w:val="15"/>
                <w:color w:val="auto"/>
              </w:rPr>
              <w:t>31, 1994.....................</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18,110,234</w:t>
            </w: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December</w:t>
            </w:r>
          </w:p>
        </w:tc>
        <w:tc>
          <w:tcPr>
            <w:tcW w:w="2820" w:type="dxa"/>
            <w:vAlign w:val="bottom"/>
          </w:tcPr>
          <w:p>
            <w:pPr>
              <w:spacing w:after="0"/>
              <w:rPr>
                <w:sz w:val="20"/>
                <w:szCs w:val="20"/>
                <w:color w:val="auto"/>
              </w:rPr>
            </w:pPr>
            <w:r>
              <w:rPr>
                <w:rFonts w:ascii="Courier New" w:cs="Courier New" w:eastAsia="Courier New" w:hAnsi="Courier New"/>
                <w:sz w:val="15"/>
                <w:szCs w:val="15"/>
                <w:color w:val="auto"/>
              </w:rPr>
              <w:t>31, 1995.....................</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13,120,626</w:t>
            </w: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The Company has reserved a total of 1,311,211 shares of Viacom Class A Common Stock and 34,399,967 shares of Viacom Class B Common Stock principally for exercise of stock options and warrants, and the conversion of the Preferred Stock.</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INCOME TAXES</w:t>
      </w:r>
    </w:p>
    <w:p>
      <w:pPr>
        <w:spacing w:after="0" w:line="175" w:lineRule="exact"/>
        <w:rPr>
          <w:sz w:val="20"/>
          <w:szCs w:val="20"/>
          <w:color w:val="auto"/>
        </w:rPr>
      </w:pPr>
    </w:p>
    <w:p>
      <w:pPr>
        <w:ind w:right="3439"/>
        <w:spacing w:after="0" w:line="258" w:lineRule="auto"/>
        <w:rPr>
          <w:sz w:val="20"/>
          <w:szCs w:val="20"/>
          <w:color w:val="auto"/>
        </w:rPr>
      </w:pPr>
      <w:r>
        <w:rPr>
          <w:rFonts w:ascii="Courier New" w:cs="Courier New" w:eastAsia="Courier New" w:hAnsi="Courier New"/>
          <w:sz w:val="14"/>
          <w:szCs w:val="14"/>
          <w:color w:val="auto"/>
        </w:rPr>
        <w:t>During the first quarter of 1993, the Company adopted Statement of Financial Accounting Standards No. 109, "Accounting for Income Taxes" ("SFAS 109") on a prospective basis and recognized an increase to earnings of $10.4 million in 1993 as the cumulative effect of a change in accounting principle. SFAS 109 mandates the liability method for computing deferred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II-37</w:t>
      </w:r>
    </w:p>
    <w:p>
      <w:pPr>
        <w:sectPr>
          <w:pgSz w:w="11900" w:h="16838" w:orient="portrait"/>
          <w:cols w:equalWidth="0" w:num="1">
            <w:col w:w="10219"/>
          </w:cols>
          <w:pgMar w:left="240" w:top="452" w:right="1440" w:bottom="1440" w:gutter="0" w:footer="0" w:header="0"/>
        </w:sectPr>
      </w:pPr>
    </w:p>
    <w:bookmarkStart w:id="78" w:name="page79"/>
    <w:bookmarkEnd w:id="78"/>
    <w:p>
      <w:pPr>
        <w:jc w:val="center"/>
        <w:ind w:right="3179"/>
        <w:spacing w:after="0"/>
        <w:rPr>
          <w:sz w:val="20"/>
          <w:szCs w:val="20"/>
          <w:color w:val="auto"/>
        </w:rPr>
      </w:pPr>
      <w:r>
        <w:rPr>
          <w:rFonts w:ascii="Courier New" w:cs="Courier New" w:eastAsia="Courier New" w:hAnsi="Courier New"/>
          <w:sz w:val="15"/>
          <w:szCs w:val="15"/>
          <w:color w:val="auto"/>
        </w:rPr>
        <w:t>VIACOM INC. AND SUBSIDIARIES</w:t>
      </w: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343"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Earnings from continuing operations before income taxes are attributable to the following jurisdictions: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6"/>
              </w:rPr>
              <w:t>YEAR ENDED DECEMBER 31,</w:t>
            </w:r>
          </w:p>
        </w:tc>
      </w:tr>
      <w:tr>
        <w:trPr>
          <w:trHeight w:val="170"/>
        </w:trPr>
        <w:tc>
          <w:tcPr>
            <w:tcW w:w="2500" w:type="dxa"/>
            <w:vAlign w:val="bottom"/>
          </w:tcPr>
          <w:p>
            <w:pPr>
              <w:spacing w:after="0"/>
              <w:rPr>
                <w:sz w:val="14"/>
                <w:szCs w:val="14"/>
                <w:color w:val="auto"/>
              </w:rPr>
            </w:pPr>
          </w:p>
        </w:tc>
        <w:tc>
          <w:tcPr>
            <w:tcW w:w="330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500" w:type="dxa"/>
            <w:vAlign w:val="bottom"/>
          </w:tcPr>
          <w:p>
            <w:pPr>
              <w:spacing w:after="0"/>
              <w:rPr>
                <w:sz w:val="14"/>
                <w:szCs w:val="14"/>
                <w:color w:val="auto"/>
              </w:rPr>
            </w:pPr>
          </w:p>
        </w:tc>
        <w:tc>
          <w:tcPr>
            <w:tcW w:w="84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9"/>
              </w:rPr>
              <w:t>1995</w:t>
            </w:r>
          </w:p>
        </w:tc>
        <w:tc>
          <w:tcPr>
            <w:tcW w:w="1640" w:type="dxa"/>
            <w:vAlign w:val="bottom"/>
          </w:tcPr>
          <w:p>
            <w:pPr>
              <w:jc w:val="center"/>
              <w:ind w:left="407"/>
              <w:spacing w:after="0"/>
              <w:rPr>
                <w:sz w:val="20"/>
                <w:szCs w:val="20"/>
                <w:color w:val="auto"/>
              </w:rPr>
            </w:pPr>
            <w:r>
              <w:rPr>
                <w:rFonts w:ascii="Courier New" w:cs="Courier New" w:eastAsia="Courier New" w:hAnsi="Courier New"/>
                <w:sz w:val="15"/>
                <w:szCs w:val="15"/>
                <w:color w:val="auto"/>
                <w:w w:val="99"/>
              </w:rPr>
              <w:t>1994</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2500" w:type="dxa"/>
            <w:vAlign w:val="bottom"/>
          </w:tcPr>
          <w:p>
            <w:pPr>
              <w:spacing w:after="0"/>
              <w:rPr>
                <w:sz w:val="14"/>
                <w:szCs w:val="14"/>
                <w:color w:val="auto"/>
              </w:rPr>
            </w:pPr>
          </w:p>
        </w:tc>
        <w:tc>
          <w:tcPr>
            <w:tcW w:w="84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9"/>
              </w:rPr>
              <w:t>----</w:t>
            </w:r>
          </w:p>
        </w:tc>
        <w:tc>
          <w:tcPr>
            <w:tcW w:w="1640" w:type="dxa"/>
            <w:vAlign w:val="bottom"/>
          </w:tcPr>
          <w:p>
            <w:pPr>
              <w:jc w:val="center"/>
              <w:ind w:left="407"/>
              <w:spacing w:after="0"/>
              <w:rPr>
                <w:sz w:val="20"/>
                <w:szCs w:val="20"/>
                <w:color w:val="auto"/>
              </w:rPr>
            </w:pPr>
            <w:r>
              <w:rPr>
                <w:rFonts w:ascii="Courier New" w:cs="Courier New" w:eastAsia="Courier New" w:hAnsi="Courier New"/>
                <w:sz w:val="15"/>
                <w:szCs w:val="15"/>
                <w:color w:val="auto"/>
                <w:w w:val="99"/>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250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84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6"/>
              </w:rPr>
              <w:t>$416.3</w:t>
            </w:r>
          </w:p>
        </w:tc>
        <w:tc>
          <w:tcPr>
            <w:tcW w:w="1640" w:type="dxa"/>
            <w:vAlign w:val="bottom"/>
          </w:tcPr>
          <w:p>
            <w:pPr>
              <w:jc w:val="center"/>
              <w:ind w:left="407"/>
              <w:spacing w:after="0"/>
              <w:rPr>
                <w:sz w:val="20"/>
                <w:szCs w:val="20"/>
                <w:color w:val="auto"/>
              </w:rPr>
            </w:pPr>
            <w:r>
              <w:rPr>
                <w:rFonts w:ascii="Courier New" w:cs="Courier New" w:eastAsia="Courier New" w:hAnsi="Courier New"/>
                <w:sz w:val="15"/>
                <w:szCs w:val="15"/>
                <w:color w:val="auto"/>
                <w:w w:val="96"/>
              </w:rPr>
              <w:t>$179.4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$267.8</w:t>
            </w: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Foreign..................</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272.9</w:t>
            </w: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197.3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34.0</w:t>
            </w:r>
          </w:p>
        </w:tc>
      </w:tr>
      <w:tr>
        <w:trPr>
          <w:trHeight w:val="170"/>
        </w:trPr>
        <w:tc>
          <w:tcPr>
            <w:tcW w:w="2500" w:type="dxa"/>
            <w:vAlign w:val="bottom"/>
          </w:tcPr>
          <w:p>
            <w:pPr>
              <w:spacing w:after="0"/>
              <w:rPr>
                <w:sz w:val="14"/>
                <w:szCs w:val="14"/>
                <w:color w:val="auto"/>
              </w:rPr>
            </w:pPr>
          </w:p>
        </w:tc>
        <w:tc>
          <w:tcPr>
            <w:tcW w:w="84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6"/>
              </w:rPr>
              <w:t>------</w:t>
            </w:r>
          </w:p>
        </w:tc>
        <w:tc>
          <w:tcPr>
            <w:tcW w:w="1640" w:type="dxa"/>
            <w:vAlign w:val="bottom"/>
          </w:tcPr>
          <w:p>
            <w:pPr>
              <w:jc w:val="center"/>
              <w:ind w:left="407"/>
              <w:spacing w:after="0"/>
              <w:rPr>
                <w:sz w:val="20"/>
                <w:szCs w:val="20"/>
                <w:color w:val="auto"/>
              </w:rPr>
            </w:pPr>
            <w:r>
              <w:rPr>
                <w:rFonts w:ascii="Courier New" w:cs="Courier New" w:eastAsia="Courier New" w:hAnsi="Courier New"/>
                <w:sz w:val="15"/>
                <w:szCs w:val="15"/>
                <w:color w:val="auto"/>
                <w:w w:val="96"/>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5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6"/>
              </w:rPr>
              <w:t>$689.2</w:t>
            </w:r>
          </w:p>
        </w:tc>
        <w:tc>
          <w:tcPr>
            <w:tcW w:w="1640" w:type="dxa"/>
            <w:vAlign w:val="bottom"/>
          </w:tcPr>
          <w:p>
            <w:pPr>
              <w:jc w:val="center"/>
              <w:ind w:left="407"/>
              <w:spacing w:after="0"/>
              <w:rPr>
                <w:sz w:val="20"/>
                <w:szCs w:val="20"/>
                <w:color w:val="auto"/>
              </w:rPr>
            </w:pPr>
            <w:r>
              <w:rPr>
                <w:rFonts w:ascii="Courier New" w:cs="Courier New" w:eastAsia="Courier New" w:hAnsi="Courier New"/>
                <w:sz w:val="15"/>
                <w:szCs w:val="15"/>
                <w:color w:val="auto"/>
                <w:w w:val="96"/>
              </w:rPr>
              <w:t>$376.7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$301.8</w:t>
            </w:r>
          </w:p>
        </w:tc>
      </w:tr>
      <w:tr>
        <w:trPr>
          <w:trHeight w:val="170"/>
        </w:trPr>
        <w:tc>
          <w:tcPr>
            <w:tcW w:w="2500" w:type="dxa"/>
            <w:vAlign w:val="bottom"/>
          </w:tcPr>
          <w:p>
            <w:pPr>
              <w:spacing w:after="0"/>
              <w:rPr>
                <w:sz w:val="14"/>
                <w:szCs w:val="14"/>
                <w:color w:val="auto"/>
              </w:rPr>
            </w:pPr>
          </w:p>
        </w:tc>
        <w:tc>
          <w:tcPr>
            <w:tcW w:w="84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6"/>
              </w:rPr>
              <w:t>======</w:t>
            </w:r>
          </w:p>
        </w:tc>
        <w:tc>
          <w:tcPr>
            <w:tcW w:w="1640" w:type="dxa"/>
            <w:vAlign w:val="bottom"/>
          </w:tcPr>
          <w:p>
            <w:pPr>
              <w:jc w:val="center"/>
              <w:ind w:left="407"/>
              <w:spacing w:after="0"/>
              <w:rPr>
                <w:sz w:val="20"/>
                <w:szCs w:val="20"/>
                <w:color w:val="auto"/>
              </w:rPr>
            </w:pPr>
            <w:r>
              <w:rPr>
                <w:rFonts w:ascii="Courier New" w:cs="Courier New" w:eastAsia="Courier New" w:hAnsi="Courier New"/>
                <w:sz w:val="15"/>
                <w:szCs w:val="15"/>
                <w:color w:val="auto"/>
                <w:w w:val="96"/>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ind w:right="3879"/>
        <w:spacing w:after="0" w:line="235" w:lineRule="auto"/>
        <w:rPr>
          <w:sz w:val="20"/>
          <w:szCs w:val="20"/>
          <w:color w:val="auto"/>
        </w:rPr>
      </w:pPr>
      <w:r>
        <w:rPr>
          <w:rFonts w:ascii="Courier New" w:cs="Courier New" w:eastAsia="Courier New" w:hAnsi="Courier New"/>
          <w:sz w:val="15"/>
          <w:szCs w:val="15"/>
          <w:color w:val="auto"/>
        </w:rPr>
        <w:t>Components of the provision for income taxes on earnings from continuing operations before income taxes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w w:val="96"/>
              </w:rPr>
              <w:t>YEAR ENDED DECEMBER 31,</w:t>
            </w:r>
          </w:p>
        </w:tc>
        <w:tc>
          <w:tcPr>
            <w:tcW w:w="580" w:type="dxa"/>
            <w:vAlign w:val="bottom"/>
          </w:tcPr>
          <w:p>
            <w:pPr>
              <w:spacing w:after="0"/>
              <w:rPr>
                <w:sz w:val="14"/>
                <w:szCs w:val="14"/>
                <w:color w:val="auto"/>
              </w:rPr>
            </w:pPr>
          </w:p>
        </w:tc>
      </w:tr>
      <w:tr>
        <w:trPr>
          <w:trHeight w:val="170"/>
        </w:trPr>
        <w:tc>
          <w:tcPr>
            <w:tcW w:w="2420" w:type="dxa"/>
            <w:vAlign w:val="bottom"/>
          </w:tcPr>
          <w:p>
            <w:pPr>
              <w:spacing w:after="0"/>
              <w:rPr>
                <w:sz w:val="14"/>
                <w:szCs w:val="14"/>
                <w:color w:val="auto"/>
              </w:rPr>
            </w:pPr>
          </w:p>
        </w:tc>
        <w:tc>
          <w:tcPr>
            <w:tcW w:w="348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206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9"/>
              </w:rPr>
              <w:t>1994</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2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9"/>
              </w:rPr>
              <w:t>----</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420" w:type="dxa"/>
            <w:vAlign w:val="bottom"/>
          </w:tcPr>
          <w:p>
            <w:pPr>
              <w:jc w:val="right"/>
              <w:ind w:right="1647"/>
              <w:spacing w:after="0"/>
              <w:rPr>
                <w:sz w:val="20"/>
                <w:szCs w:val="20"/>
                <w:color w:val="auto"/>
              </w:rPr>
            </w:pPr>
            <w:r>
              <w:rPr>
                <w:rFonts w:ascii="Courier New" w:cs="Courier New" w:eastAsia="Courier New" w:hAnsi="Courier New"/>
                <w:sz w:val="15"/>
                <w:szCs w:val="15"/>
                <w:color w:val="auto"/>
                <w:w w:val="94"/>
              </w:rPr>
              <w:t>Current:</w:t>
            </w:r>
          </w:p>
        </w:tc>
        <w:tc>
          <w:tcPr>
            <w:tcW w:w="8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2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Federal...............</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$83.7</w:t>
            </w:r>
          </w:p>
        </w:tc>
        <w:tc>
          <w:tcPr>
            <w:tcW w:w="20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$139.1</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$89.5</w:t>
            </w:r>
          </w:p>
        </w:tc>
      </w:tr>
      <w:tr>
        <w:trPr>
          <w:trHeight w:val="170"/>
        </w:trPr>
        <w:tc>
          <w:tcPr>
            <w:tcW w:w="2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State and local.......</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46.5</w:t>
            </w:r>
          </w:p>
        </w:tc>
        <w:tc>
          <w:tcPr>
            <w:tcW w:w="20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78.3</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10.4</w:t>
            </w:r>
          </w:p>
        </w:tc>
      </w:tr>
      <w:tr>
        <w:trPr>
          <w:trHeight w:val="170"/>
        </w:trPr>
        <w:tc>
          <w:tcPr>
            <w:tcW w:w="2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Foreign...............</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64.1</w:t>
            </w:r>
          </w:p>
        </w:tc>
        <w:tc>
          <w:tcPr>
            <w:tcW w:w="20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65.8</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70"/>
        </w:trPr>
        <w:tc>
          <w:tcPr>
            <w:tcW w:w="2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194.3</w:t>
            </w:r>
          </w:p>
        </w:tc>
        <w:tc>
          <w:tcPr>
            <w:tcW w:w="20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283.2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105.5</w:t>
            </w:r>
          </w:p>
        </w:tc>
      </w:tr>
      <w:tr>
        <w:trPr>
          <w:trHeight w:val="170"/>
        </w:trPr>
        <w:tc>
          <w:tcPr>
            <w:tcW w:w="24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6"/>
              </w:rPr>
              <w:t>Deferred................</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222.7</w:t>
            </w:r>
          </w:p>
        </w:tc>
        <w:tc>
          <w:tcPr>
            <w:tcW w:w="20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24.3</w:t>
            </w:r>
          </w:p>
        </w:tc>
      </w:tr>
      <w:tr>
        <w:trPr>
          <w:trHeight w:val="170"/>
        </w:trPr>
        <w:tc>
          <w:tcPr>
            <w:tcW w:w="2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9"/>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$417.0</w:t>
            </w:r>
          </w:p>
        </w:tc>
        <w:tc>
          <w:tcPr>
            <w:tcW w:w="20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$279.7</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$129.8</w:t>
            </w:r>
          </w:p>
        </w:tc>
      </w:tr>
      <w:tr>
        <w:trPr>
          <w:trHeight w:val="170"/>
        </w:trPr>
        <w:tc>
          <w:tcPr>
            <w:tcW w:w="2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Earnings (loss) accounted for under the equity method of accounting are shown net of tax on the Company's Statement of Operations. The tax provision (benefits) relating to earnings (loss) from equity investments in 1995, 1994 and 1993 are $(22.7) million, $9.8 million and $(.6) million, respectively, which represents an effective tax rate of 29.6%, 35.0% and 19.4%, respectively. The difference between the effective tax rates and the federal statutory tax rate of 35% is principally due to the effect of nondeductible goodwill amortization and state and local taxes related to equity earnings (loss). See Notes 4 and 7 for tax benefits relating to the Discontinued Operations and Extraordinary Losses, respectively. In addition to the amounts reflected in the table above, $35.8 million and $13.3 million of income tax benefit in 1995 and 1994, respectively, was recorded as a component of shareholders' equity as a result of exercised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II-38</w:t>
      </w:r>
    </w:p>
    <w:p>
      <w:pPr>
        <w:sectPr>
          <w:pgSz w:w="11900" w:h="16838" w:orient="portrait"/>
          <w:cols w:equalWidth="0" w:num="1">
            <w:col w:w="10219"/>
          </w:cols>
          <w:pgMar w:left="240" w:top="452" w:right="1440" w:bottom="1440" w:gutter="0" w:footer="0" w:header="0"/>
        </w:sectPr>
      </w:pPr>
    </w:p>
    <w:bookmarkStart w:id="79" w:name="page80"/>
    <w:bookmarkEnd w:id="79"/>
    <w:p>
      <w:pPr>
        <w:jc w:val="center"/>
        <w:ind w:right="3179"/>
        <w:spacing w:after="0"/>
        <w:rPr>
          <w:sz w:val="20"/>
          <w:szCs w:val="20"/>
          <w:color w:val="auto"/>
        </w:rPr>
      </w:pPr>
      <w:r>
        <w:rPr>
          <w:rFonts w:ascii="Courier New" w:cs="Courier New" w:eastAsia="Courier New" w:hAnsi="Courier New"/>
          <w:sz w:val="15"/>
          <w:szCs w:val="15"/>
          <w:color w:val="auto"/>
        </w:rPr>
        <w:t>VIACOM INC. AND SUBSIDIARIES</w:t>
      </w: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343"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 reconciliation of the U.S. Federal statutory tax rate to the Company's effective tax rate on earnings from continuing operations before income taxes is summarized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276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3480" w:type="dxa"/>
            <w:vAlign w:val="bottom"/>
          </w:tcPr>
          <w:p>
            <w:pPr>
              <w:spacing w:after="0"/>
              <w:rPr>
                <w:sz w:val="14"/>
                <w:szCs w:val="14"/>
                <w:color w:val="auto"/>
              </w:rPr>
            </w:pPr>
          </w:p>
        </w:tc>
        <w:tc>
          <w:tcPr>
            <w:tcW w:w="27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80" w:type="dxa"/>
            <w:vAlign w:val="bottom"/>
          </w:tcPr>
          <w:p>
            <w:pPr>
              <w:spacing w:after="0"/>
              <w:rPr>
                <w:sz w:val="14"/>
                <w:szCs w:val="14"/>
                <w:color w:val="auto"/>
              </w:rPr>
            </w:pP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1995</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3480" w:type="dxa"/>
            <w:vAlign w:val="bottom"/>
          </w:tcPr>
          <w:p>
            <w:pPr>
              <w:spacing w:after="0"/>
              <w:rPr>
                <w:sz w:val="14"/>
                <w:szCs w:val="14"/>
                <w:color w:val="auto"/>
              </w:rPr>
            </w:pP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480" w:type="dxa"/>
            <w:vAlign w:val="bottom"/>
          </w:tcPr>
          <w:p>
            <w:pPr>
              <w:spacing w:after="0"/>
              <w:rPr>
                <w:sz w:val="20"/>
                <w:szCs w:val="20"/>
                <w:color w:val="auto"/>
              </w:rPr>
            </w:pPr>
            <w:r>
              <w:rPr>
                <w:rFonts w:ascii="Courier New" w:cs="Courier New" w:eastAsia="Courier New" w:hAnsi="Courier New"/>
                <w:sz w:val="15"/>
                <w:szCs w:val="15"/>
                <w:color w:val="auto"/>
              </w:rPr>
              <w:t>Statutory U.S. tax rate.............</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35.0%</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State and local taxes, net</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of federal tax benefit............</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5.3</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6.6</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Effect of foreign operations........</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Amortization of intangibles.........</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22.5</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25.9</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Divestiture tax versus book.........</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Income tax reserve adjustment.......</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Effect of changes in statutory rate.</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2.1</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5.1</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w:t>
            </w:r>
          </w:p>
        </w:tc>
      </w:tr>
      <w:tr>
        <w:trPr>
          <w:trHeight w:val="170"/>
        </w:trPr>
        <w:tc>
          <w:tcPr>
            <w:tcW w:w="3480" w:type="dxa"/>
            <w:vAlign w:val="bottom"/>
          </w:tcPr>
          <w:p>
            <w:pPr>
              <w:spacing w:after="0"/>
              <w:rPr>
                <w:sz w:val="14"/>
                <w:szCs w:val="14"/>
                <w:color w:val="auto"/>
              </w:rPr>
            </w:pP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Effective tax rate on earnings from</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continuing operations...............</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60.5%</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74.3%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43.0%</w:t>
            </w:r>
          </w:p>
        </w:tc>
      </w:tr>
      <w:tr>
        <w:trPr>
          <w:trHeight w:val="170"/>
        </w:trPr>
        <w:tc>
          <w:tcPr>
            <w:tcW w:w="3480" w:type="dxa"/>
            <w:vAlign w:val="bottom"/>
          </w:tcPr>
          <w:p>
            <w:pPr>
              <w:spacing w:after="0"/>
              <w:rPr>
                <w:sz w:val="14"/>
                <w:szCs w:val="1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The annual effective tax rate of 43% for 1993 includes a reduction of certain prior year tax reserves in the amount of $22 million based on the favorable settlement of federal and state and local audits.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II-39</w:t>
      </w:r>
    </w:p>
    <w:p>
      <w:pPr>
        <w:sectPr>
          <w:pgSz w:w="11900" w:h="16838" w:orient="portrait"/>
          <w:cols w:equalWidth="0" w:num="1">
            <w:col w:w="10219"/>
          </w:cols>
          <w:pgMar w:left="240" w:top="452" w:right="1440" w:bottom="1440" w:gutter="0" w:footer="0" w:header="0"/>
        </w:sectPr>
      </w:pPr>
    </w:p>
    <w:bookmarkStart w:id="80" w:name="page81"/>
    <w:bookmarkEnd w:id="80"/>
    <w:p>
      <w:pPr>
        <w:jc w:val="center"/>
        <w:ind w:right="3179"/>
        <w:spacing w:after="0"/>
        <w:rPr>
          <w:sz w:val="20"/>
          <w:szCs w:val="20"/>
          <w:color w:val="auto"/>
        </w:rPr>
      </w:pPr>
      <w:r>
        <w:rPr>
          <w:rFonts w:ascii="Courier New" w:cs="Courier New" w:eastAsia="Courier New" w:hAnsi="Courier New"/>
          <w:sz w:val="15"/>
          <w:szCs w:val="15"/>
          <w:color w:val="auto"/>
        </w:rPr>
        <w:t>VIACOM INC. AND SUBSIDIARIES</w:t>
      </w: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343"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The following is a summary of the components of the deferred tax accounts in accordance with SFAS 109:</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00" w:type="dxa"/>
            <w:vAlign w:val="bottom"/>
          </w:tcPr>
          <w:p>
            <w:pPr>
              <w:spacing w:after="0"/>
              <w:rPr>
                <w:sz w:val="14"/>
                <w:szCs w:val="14"/>
                <w:color w:val="auto"/>
              </w:rPr>
            </w:pPr>
          </w:p>
        </w:tc>
        <w:tc>
          <w:tcPr>
            <w:tcW w:w="21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4800" w:type="dxa"/>
            <w:vAlign w:val="bottom"/>
          </w:tcPr>
          <w:p>
            <w:pPr>
              <w:spacing w:after="0"/>
              <w:rPr>
                <w:sz w:val="14"/>
                <w:szCs w:val="14"/>
                <w:color w:val="auto"/>
              </w:rPr>
            </w:pPr>
          </w:p>
        </w:tc>
        <w:tc>
          <w:tcPr>
            <w:tcW w:w="2160" w:type="dxa"/>
            <w:vAlign w:val="bottom"/>
            <w:gridSpan w:val="4"/>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1995</w:t>
            </w:r>
          </w:p>
        </w:tc>
        <w:tc>
          <w:tcPr>
            <w:tcW w:w="34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4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Current deferred tax assets and (liabilities):</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Recognition of revenue.............................</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68.4</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22.5</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Sales return and allowances........................</w:t>
            </w:r>
          </w:p>
        </w:tc>
        <w:tc>
          <w:tcPr>
            <w:tcW w:w="30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100.6</w:t>
            </w:r>
          </w:p>
        </w:tc>
        <w:tc>
          <w:tcPr>
            <w:tcW w:w="34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96.6</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Publishing costs...................................</w:t>
            </w:r>
          </w:p>
        </w:tc>
        <w:tc>
          <w:tcPr>
            <w:tcW w:w="30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37.8</w:t>
            </w:r>
          </w:p>
        </w:tc>
        <w:tc>
          <w:tcPr>
            <w:tcW w:w="34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72.2</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Employee compensation and other payroll related</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expenses.........................................</w:t>
            </w:r>
          </w:p>
        </w:tc>
        <w:tc>
          <w:tcPr>
            <w:tcW w:w="30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37.5</w:t>
            </w:r>
          </w:p>
        </w:tc>
        <w:tc>
          <w:tcPr>
            <w:tcW w:w="34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24.1</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Other differences between tax and financial statement</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values...........................................</w:t>
            </w:r>
          </w:p>
        </w:tc>
        <w:tc>
          <w:tcPr>
            <w:tcW w:w="30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w:t>
            </w:r>
          </w:p>
        </w:tc>
        <w:tc>
          <w:tcPr>
            <w:tcW w:w="34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(21.6)</w:t>
            </w:r>
          </w:p>
        </w:tc>
      </w:tr>
      <w:tr>
        <w:trPr>
          <w:trHeight w:val="170"/>
        </w:trPr>
        <w:tc>
          <w:tcPr>
            <w:tcW w:w="4800" w:type="dxa"/>
            <w:vAlign w:val="bottom"/>
          </w:tcPr>
          <w:p>
            <w:pPr>
              <w:spacing w:after="0"/>
              <w:rPr>
                <w:sz w:val="14"/>
                <w:szCs w:val="14"/>
                <w:color w:val="auto"/>
              </w:rPr>
            </w:pPr>
          </w:p>
        </w:tc>
        <w:tc>
          <w:tcPr>
            <w:tcW w:w="11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Gross current deferred net tax assets...........</w:t>
            </w:r>
          </w:p>
        </w:tc>
        <w:tc>
          <w:tcPr>
            <w:tcW w:w="30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246.4</w:t>
            </w:r>
          </w:p>
        </w:tc>
        <w:tc>
          <w:tcPr>
            <w:tcW w:w="34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193.8</w:t>
            </w:r>
          </w:p>
        </w:tc>
      </w:tr>
      <w:tr>
        <w:trPr>
          <w:trHeight w:val="170"/>
        </w:trPr>
        <w:tc>
          <w:tcPr>
            <w:tcW w:w="4800" w:type="dxa"/>
            <w:vAlign w:val="bottom"/>
          </w:tcPr>
          <w:p>
            <w:pPr>
              <w:spacing w:after="0"/>
              <w:rPr>
                <w:sz w:val="14"/>
                <w:szCs w:val="14"/>
                <w:color w:val="auto"/>
              </w:rPr>
            </w:pPr>
          </w:p>
        </w:tc>
        <w:tc>
          <w:tcPr>
            <w:tcW w:w="11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800" w:type="dxa"/>
            <w:vAlign w:val="bottom"/>
          </w:tcPr>
          <w:p>
            <w:pPr>
              <w:spacing w:after="0"/>
              <w:rPr>
                <w:sz w:val="20"/>
                <w:szCs w:val="20"/>
                <w:color w:val="auto"/>
              </w:rPr>
            </w:pPr>
            <w:r>
              <w:rPr>
                <w:rFonts w:ascii="Courier New" w:cs="Courier New" w:eastAsia="Courier New" w:hAnsi="Courier New"/>
                <w:sz w:val="15"/>
                <w:szCs w:val="15"/>
                <w:color w:val="auto"/>
              </w:rPr>
              <w:t>Noncurrent deferred tax assets and (liabilities):</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Depreciation/amortization of fixed assets and</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80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9"/>
              </w:rPr>
              <w:t>intangibles.......................................</w:t>
            </w:r>
          </w:p>
        </w:tc>
        <w:tc>
          <w:tcPr>
            <w:tcW w:w="3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(138.5)</w:t>
            </w:r>
          </w:p>
        </w:tc>
        <w:tc>
          <w:tcPr>
            <w:tcW w:w="34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(9.8)</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Reserves including restructuring and relocation</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80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9"/>
              </w:rPr>
              <w:t>charges...........................................</w:t>
            </w:r>
          </w:p>
        </w:tc>
        <w:tc>
          <w:tcPr>
            <w:tcW w:w="30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285.1</w:t>
            </w:r>
          </w:p>
        </w:tc>
        <w:tc>
          <w:tcPr>
            <w:tcW w:w="34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334.4</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Program costs......................................</w:t>
            </w:r>
          </w:p>
        </w:tc>
        <w:tc>
          <w:tcPr>
            <w:tcW w:w="3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(17.4)</w:t>
            </w:r>
          </w:p>
        </w:tc>
        <w:tc>
          <w:tcPr>
            <w:tcW w:w="34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(67.9)</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Acquired net operating loss and tax credit</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carryforwards....................................</w:t>
            </w:r>
          </w:p>
        </w:tc>
        <w:tc>
          <w:tcPr>
            <w:tcW w:w="30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105.4</w:t>
            </w:r>
          </w:p>
        </w:tc>
        <w:tc>
          <w:tcPr>
            <w:tcW w:w="34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100.3</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Amortization of discount on 8% Merger Debentures...</w:t>
            </w:r>
          </w:p>
        </w:tc>
        <w:tc>
          <w:tcPr>
            <w:tcW w:w="30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78.5</w:t>
            </w:r>
          </w:p>
        </w:tc>
        <w:tc>
          <w:tcPr>
            <w:tcW w:w="34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85.7</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Recognition of revenue.............................</w:t>
            </w:r>
          </w:p>
        </w:tc>
        <w:tc>
          <w:tcPr>
            <w:tcW w:w="30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24.8</w:t>
            </w:r>
          </w:p>
        </w:tc>
        <w:tc>
          <w:tcPr>
            <w:tcW w:w="34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89.9</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Other differences between tax and financial statement</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values...........................................</w:t>
            </w:r>
          </w:p>
        </w:tc>
        <w:tc>
          <w:tcPr>
            <w:tcW w:w="30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125.0</w:t>
            </w:r>
          </w:p>
        </w:tc>
        <w:tc>
          <w:tcPr>
            <w:tcW w:w="34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72.8</w:t>
            </w:r>
          </w:p>
        </w:tc>
      </w:tr>
      <w:tr>
        <w:trPr>
          <w:trHeight w:val="170"/>
        </w:trPr>
        <w:tc>
          <w:tcPr>
            <w:tcW w:w="4800" w:type="dxa"/>
            <w:vAlign w:val="bottom"/>
          </w:tcPr>
          <w:p>
            <w:pPr>
              <w:spacing w:after="0"/>
              <w:rPr>
                <w:sz w:val="14"/>
                <w:szCs w:val="14"/>
                <w:color w:val="auto"/>
              </w:rPr>
            </w:pPr>
          </w:p>
        </w:tc>
        <w:tc>
          <w:tcPr>
            <w:tcW w:w="11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Gross noncurrent deferred net tax assets.........</w:t>
            </w:r>
          </w:p>
        </w:tc>
        <w:tc>
          <w:tcPr>
            <w:tcW w:w="30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462.9</w:t>
            </w:r>
          </w:p>
        </w:tc>
        <w:tc>
          <w:tcPr>
            <w:tcW w:w="34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605.4</w:t>
            </w:r>
          </w:p>
        </w:tc>
      </w:tr>
      <w:tr>
        <w:trPr>
          <w:trHeight w:val="170"/>
        </w:trPr>
        <w:tc>
          <w:tcPr>
            <w:tcW w:w="4800" w:type="dxa"/>
            <w:vAlign w:val="bottom"/>
          </w:tcPr>
          <w:p>
            <w:pPr>
              <w:spacing w:after="0"/>
              <w:rPr>
                <w:sz w:val="14"/>
                <w:szCs w:val="14"/>
                <w:color w:val="auto"/>
              </w:rPr>
            </w:pPr>
          </w:p>
        </w:tc>
        <w:tc>
          <w:tcPr>
            <w:tcW w:w="11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Valuation allowance................................</w:t>
            </w:r>
          </w:p>
        </w:tc>
        <w:tc>
          <w:tcPr>
            <w:tcW w:w="3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(81.8)</w:t>
            </w:r>
          </w:p>
        </w:tc>
        <w:tc>
          <w:tcPr>
            <w:tcW w:w="34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(75.7)</w:t>
            </w:r>
          </w:p>
        </w:tc>
      </w:tr>
      <w:tr>
        <w:trPr>
          <w:trHeight w:val="170"/>
        </w:trPr>
        <w:tc>
          <w:tcPr>
            <w:tcW w:w="4800" w:type="dxa"/>
            <w:vAlign w:val="bottom"/>
          </w:tcPr>
          <w:p>
            <w:pPr>
              <w:spacing w:after="0"/>
              <w:rPr>
                <w:sz w:val="14"/>
                <w:szCs w:val="14"/>
                <w:color w:val="auto"/>
              </w:rPr>
            </w:pPr>
          </w:p>
        </w:tc>
        <w:tc>
          <w:tcPr>
            <w:tcW w:w="11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Total net deferred tax assets (liabilities)....</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627.5</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723.5</w:t>
            </w:r>
          </w:p>
        </w:tc>
      </w:tr>
      <w:tr>
        <w:trPr>
          <w:trHeight w:val="170"/>
        </w:trPr>
        <w:tc>
          <w:tcPr>
            <w:tcW w:w="4800" w:type="dxa"/>
            <w:vAlign w:val="bottom"/>
          </w:tcPr>
          <w:p>
            <w:pPr>
              <w:spacing w:after="0"/>
              <w:rPr>
                <w:sz w:val="14"/>
                <w:szCs w:val="14"/>
                <w:color w:val="auto"/>
              </w:rPr>
            </w:pPr>
          </w:p>
        </w:tc>
        <w:tc>
          <w:tcPr>
            <w:tcW w:w="11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ind w:right="3439"/>
        <w:spacing w:after="0" w:line="260" w:lineRule="auto"/>
        <w:rPr>
          <w:sz w:val="20"/>
          <w:szCs w:val="20"/>
          <w:color w:val="auto"/>
        </w:rPr>
      </w:pPr>
      <w:r>
        <w:rPr>
          <w:rFonts w:ascii="Courier New" w:cs="Courier New" w:eastAsia="Courier New" w:hAnsi="Courier New"/>
          <w:sz w:val="14"/>
          <w:szCs w:val="14"/>
          <w:color w:val="auto"/>
        </w:rPr>
        <w:t>As of December 31, 1995 and December 31, 1994, the Company had total deferred tax assets of $865.2 million and $898.5 million, respectively, and total deferred tax liabilities of $155.9 million and $99.3 million, respectively.</w:t>
      </w:r>
    </w:p>
    <w:p>
      <w:pPr>
        <w:spacing w:after="0" w:line="163"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As of December 31, 1995, the Company had net operating loss carryforwards of approximately $202.0 million and capital loss carryforwards of approximately $4.8 million which expire in various years from 1996 through 2010. The Company has foreign tax credit and investment tax credit carryforwards of approximately $22.3 million which expire by the year 2000. In addition, the Company has alternative minimum tax credit carryforwards of approximately $7.0 million that may be carried forward indefinitely.</w:t>
      </w:r>
    </w:p>
    <w:p>
      <w:pPr>
        <w:spacing w:after="0" w:line="177"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The 1995 and 1994 net deferred tax asset is reduced by a valuation allowance of $81.8 million and $75.7 million, respectively, principally relating to tax benefits of net operating loss and tax credit carryforwards which are not expected to be recognized as a result of limitations applied where there is a change of ownership. The $6.1 million increase during 1995 in the deferred tax valuation allowance primarily relates to an increase in the amount of acquired tax credit carryforwards for which a full valuation allowance has been recorded.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II-40</w:t>
      </w:r>
    </w:p>
    <w:p>
      <w:pPr>
        <w:sectPr>
          <w:pgSz w:w="11900" w:h="16838" w:orient="portrait"/>
          <w:cols w:equalWidth="0" w:num="1">
            <w:col w:w="10219"/>
          </w:cols>
          <w:pgMar w:left="240" w:top="452" w:right="1440" w:bottom="1440" w:gutter="0" w:footer="0" w:header="0"/>
        </w:sectPr>
      </w:pPr>
    </w:p>
    <w:bookmarkStart w:id="81" w:name="page82"/>
    <w:bookmarkEnd w:id="81"/>
    <w:p>
      <w:pPr>
        <w:jc w:val="center"/>
        <w:ind w:right="3170"/>
        <w:spacing w:after="0"/>
        <w:rPr>
          <w:sz w:val="20"/>
          <w:szCs w:val="20"/>
          <w:color w:val="auto"/>
        </w:rPr>
      </w:pPr>
      <w:r>
        <w:rPr>
          <w:rFonts w:ascii="Courier New" w:cs="Courier New" w:eastAsia="Courier New" w:hAnsi="Courier New"/>
          <w:sz w:val="15"/>
          <w:szCs w:val="15"/>
          <w:color w:val="auto"/>
        </w:rPr>
        <w:t>VIACOM INC. AND SUBSIDIARIES</w:t>
      </w:r>
    </w:p>
    <w:p>
      <w:pPr>
        <w:ind w:left="1150"/>
        <w:spacing w:after="0"/>
        <w:rPr>
          <w:sz w:val="20"/>
          <w:szCs w:val="20"/>
          <w:color w:val="auto"/>
        </w:rPr>
      </w:pPr>
      <w:r>
        <w:rPr>
          <w:rFonts w:ascii="Courier New" w:cs="Courier New" w:eastAsia="Courier New" w:hAnsi="Courier New"/>
          <w:sz w:val="15"/>
          <w:szCs w:val="15"/>
          <w:color w:val="auto"/>
        </w:rPr>
        <w:t>NOTES TO CONSOLIDATED FINANCIAL STATEMENTS (continued)</w:t>
      </w:r>
    </w:p>
    <w:p>
      <w:pPr>
        <w:ind w:left="115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343"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The Company's share of the undistributed earnings of foreign subsidiaries not included in its consolidated Federal income tax return that could be subject to additional income taxes if remitted, was approximately $1.1 billion and $881 million at December 31, 1995 and December 31, 1994, respectively. No provision has been recorded for the U.S. or foreign taxes that could result from the remittance of such undistributed earnings since the Company intends to reinvest these earnings outside the United States indefinitely and it is not practicable to estimate the amount of such taxes.</w:t>
      </w:r>
    </w:p>
    <w:p>
      <w:pPr>
        <w:spacing w:after="0" w:line="347" w:lineRule="exact"/>
        <w:rPr>
          <w:sz w:val="20"/>
          <w:szCs w:val="20"/>
          <w:color w:val="auto"/>
        </w:rPr>
      </w:pPr>
    </w:p>
    <w:p>
      <w:pPr>
        <w:ind w:left="350" w:right="5639" w:hanging="350"/>
        <w:spacing w:after="0" w:line="235" w:lineRule="auto"/>
        <w:tabs>
          <w:tab w:leader="none" w:pos="35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PENSION PLANS, OTHER POSTRETIREMENT BENEFITS AND POSTEMPLOYMENT BENEFITS</w:t>
      </w:r>
    </w:p>
    <w:p>
      <w:pPr>
        <w:spacing w:after="0" w:line="176"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The Company and certain of its subsidiaries have non-contributory pension plans covering specific groups of employees. The Company continues to maintain the pension plans of the former Paramount Communications. The benefits for these plans are based primarily on an employee's years of service and pay near retirement. Participant employees are vested in the plans after five years of service. The Company's policy for all pension plans is to fund amounts in accordance with the Employee Retirement Income Security Act of 1974. Plan assets consist principally of common stocks, marketable bonds and United States government securities.</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Net periodic pension cost consists of the following components: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40" w:type="dxa"/>
            <w:vAlign w:val="bottom"/>
            <w:gridSpan w:val="4"/>
          </w:tcPr>
          <w:p>
            <w:pPr>
              <w:jc w:val="right"/>
              <w:ind w:right="18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3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4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1995</w:t>
            </w:r>
          </w:p>
        </w:tc>
        <w:tc>
          <w:tcPr>
            <w:tcW w:w="320" w:type="dxa"/>
            <w:vAlign w:val="bottom"/>
          </w:tcPr>
          <w:p>
            <w:pPr>
              <w:spacing w:after="0"/>
              <w:rPr>
                <w:sz w:val="14"/>
                <w:szCs w:val="14"/>
                <w:color w:val="auto"/>
              </w:rPr>
            </w:pP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1994</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3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560" w:type="dxa"/>
            <w:vAlign w:val="bottom"/>
          </w:tcPr>
          <w:p>
            <w:pPr>
              <w:spacing w:after="0"/>
              <w:rPr>
                <w:sz w:val="20"/>
                <w:szCs w:val="20"/>
                <w:color w:val="auto"/>
              </w:rPr>
            </w:pPr>
            <w:r>
              <w:rPr>
                <w:rFonts w:ascii="Courier New" w:cs="Courier New" w:eastAsia="Courier New" w:hAnsi="Courier New"/>
                <w:sz w:val="15"/>
                <w:szCs w:val="15"/>
                <w:color w:val="auto"/>
              </w:rPr>
              <w:t>Service cost - benefits earned during</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35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the period..........................</w:t>
            </w:r>
          </w:p>
        </w:tc>
        <w:tc>
          <w:tcPr>
            <w:tcW w:w="3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22.1</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$ 5.4</w:t>
            </w:r>
          </w:p>
        </w:tc>
      </w:tr>
      <w:tr>
        <w:trPr>
          <w:trHeight w:val="339"/>
        </w:trPr>
        <w:tc>
          <w:tcPr>
            <w:tcW w:w="3560" w:type="dxa"/>
            <w:vAlign w:val="bottom"/>
          </w:tcPr>
          <w:p>
            <w:pPr>
              <w:spacing w:after="0"/>
              <w:rPr>
                <w:sz w:val="20"/>
                <w:szCs w:val="20"/>
                <w:color w:val="auto"/>
              </w:rPr>
            </w:pPr>
            <w:r>
              <w:rPr>
                <w:rFonts w:ascii="Courier New" w:cs="Courier New" w:eastAsia="Courier New" w:hAnsi="Courier New"/>
                <w:sz w:val="15"/>
                <w:szCs w:val="15"/>
                <w:color w:val="auto"/>
              </w:rPr>
              <w:t>Interest cost on projected benefit</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35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obligation..........................</w:t>
            </w:r>
          </w:p>
        </w:tc>
        <w:tc>
          <w:tcPr>
            <w:tcW w:w="30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48.9</w:t>
            </w:r>
          </w:p>
        </w:tc>
        <w:tc>
          <w:tcPr>
            <w:tcW w:w="320" w:type="dxa"/>
            <w:vAlign w:val="bottom"/>
          </w:tcPr>
          <w:p>
            <w:pPr>
              <w:spacing w:after="0"/>
              <w:rPr>
                <w:sz w:val="14"/>
                <w:szCs w:val="14"/>
                <w:color w:val="auto"/>
              </w:rPr>
            </w:pP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33.4</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Return on plan assets:</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5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Actual...............................</w:t>
            </w:r>
          </w:p>
        </w:tc>
        <w:tc>
          <w:tcPr>
            <w:tcW w:w="3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(108.9)</w:t>
            </w:r>
          </w:p>
        </w:tc>
        <w:tc>
          <w:tcPr>
            <w:tcW w:w="320" w:type="dxa"/>
            <w:vAlign w:val="bottom"/>
          </w:tcPr>
          <w:p>
            <w:pPr>
              <w:spacing w:after="0"/>
              <w:rPr>
                <w:sz w:val="14"/>
                <w:szCs w:val="14"/>
                <w:color w:val="auto"/>
              </w:rPr>
            </w:pP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0"/>
        </w:trPr>
        <w:tc>
          <w:tcPr>
            <w:tcW w:w="35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Deferred.............................</w:t>
            </w:r>
          </w:p>
        </w:tc>
        <w:tc>
          <w:tcPr>
            <w:tcW w:w="30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67.2</w:t>
            </w:r>
          </w:p>
        </w:tc>
        <w:tc>
          <w:tcPr>
            <w:tcW w:w="320" w:type="dxa"/>
            <w:vAlign w:val="bottom"/>
          </w:tcPr>
          <w:p>
            <w:pPr>
              <w:spacing w:after="0"/>
              <w:rPr>
                <w:sz w:val="14"/>
                <w:szCs w:val="14"/>
                <w:color w:val="auto"/>
              </w:rPr>
            </w:pP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(37.7)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0"/>
        </w:trPr>
        <w:tc>
          <w:tcPr>
            <w:tcW w:w="35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Net amortizations......................</w:t>
            </w:r>
          </w:p>
        </w:tc>
        <w:tc>
          <w:tcPr>
            <w:tcW w:w="3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w:t>
            </w:r>
          </w:p>
        </w:tc>
        <w:tc>
          <w:tcPr>
            <w:tcW w:w="320" w:type="dxa"/>
            <w:vAlign w:val="bottom"/>
          </w:tcPr>
          <w:p>
            <w:pPr>
              <w:spacing w:after="0"/>
              <w:rPr>
                <w:sz w:val="14"/>
                <w:szCs w:val="14"/>
                <w:color w:val="auto"/>
              </w:rPr>
            </w:pP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w:t>
            </w:r>
          </w:p>
        </w:tc>
      </w:tr>
      <w:tr>
        <w:trPr>
          <w:trHeight w:val="170"/>
        </w:trPr>
        <w:tc>
          <w:tcPr>
            <w:tcW w:w="356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5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Net pension cost.......................</w:t>
            </w:r>
          </w:p>
        </w:tc>
        <w:tc>
          <w:tcPr>
            <w:tcW w:w="3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21.3</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$ 7.1</w:t>
            </w:r>
          </w:p>
        </w:tc>
      </w:tr>
      <w:tr>
        <w:trPr>
          <w:trHeight w:val="170"/>
        </w:trPr>
        <w:tc>
          <w:tcPr>
            <w:tcW w:w="3560" w:type="dxa"/>
            <w:vAlign w:val="bottom"/>
          </w:tcPr>
          <w:p>
            <w:pPr>
              <w:spacing w:after="0"/>
              <w:rPr>
                <w:sz w:val="14"/>
                <w:szCs w:val="14"/>
                <w:color w:val="auto"/>
              </w:rPr>
            </w:pPr>
          </w:p>
        </w:tc>
        <w:tc>
          <w:tcPr>
            <w:tcW w:w="11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II-41</w:t>
      </w:r>
    </w:p>
    <w:p>
      <w:pPr>
        <w:sectPr>
          <w:pgSz w:w="11900" w:h="16838" w:orient="portrait"/>
          <w:cols w:equalWidth="0" w:num="1">
            <w:col w:w="10229"/>
          </w:cols>
          <w:pgMar w:left="230" w:top="452" w:right="1440" w:bottom="1440" w:gutter="0" w:footer="0" w:header="0"/>
        </w:sectPr>
      </w:pPr>
    </w:p>
    <w:bookmarkStart w:id="82" w:name="page83"/>
    <w:bookmarkEnd w:id="82"/>
    <w:p>
      <w:pPr>
        <w:jc w:val="center"/>
        <w:ind w:right="3179"/>
        <w:spacing w:after="0"/>
        <w:rPr>
          <w:sz w:val="20"/>
          <w:szCs w:val="20"/>
          <w:color w:val="auto"/>
        </w:rPr>
      </w:pPr>
      <w:r>
        <w:rPr>
          <w:rFonts w:ascii="Courier New" w:cs="Courier New" w:eastAsia="Courier New" w:hAnsi="Courier New"/>
          <w:sz w:val="15"/>
          <w:szCs w:val="15"/>
          <w:color w:val="auto"/>
        </w:rPr>
        <w:t>VIACOM INC. AND SUBSIDIARIES</w:t>
      </w: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funded status of the pension plans for the periods indicated is as follows: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rPr>
              <w:t>DECEMBER 31,</w:t>
            </w:r>
          </w:p>
        </w:tc>
        <w:tc>
          <w:tcPr>
            <w:tcW w:w="124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564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60" w:type="dxa"/>
            <w:vAlign w:val="bottom"/>
          </w:tcPr>
          <w:p>
            <w:pPr>
              <w:jc w:val="right"/>
              <w:ind w:right="1027"/>
              <w:spacing w:after="0"/>
              <w:rPr>
                <w:sz w:val="20"/>
                <w:szCs w:val="20"/>
                <w:color w:val="auto"/>
              </w:rPr>
            </w:pPr>
            <w:r>
              <w:rPr>
                <w:rFonts w:ascii="Courier New" w:cs="Courier New" w:eastAsia="Courier New" w:hAnsi="Courier New"/>
                <w:sz w:val="15"/>
                <w:szCs w:val="15"/>
                <w:color w:val="auto"/>
                <w:w w:val="94"/>
              </w:rPr>
              <w:t>1995</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1994</w:t>
            </w:r>
          </w:p>
        </w:tc>
        <w:tc>
          <w:tcPr>
            <w:tcW w:w="124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w:t>
            </w:r>
          </w:p>
        </w:tc>
        <w:tc>
          <w:tcPr>
            <w:tcW w:w="1460" w:type="dxa"/>
            <w:vAlign w:val="bottom"/>
          </w:tcPr>
          <w:p>
            <w:pPr>
              <w:spacing w:after="0"/>
              <w:rPr>
                <w:sz w:val="14"/>
                <w:szCs w:val="14"/>
                <w:color w:val="auto"/>
              </w:rPr>
            </w:pPr>
          </w:p>
        </w:tc>
        <w:tc>
          <w:tcPr>
            <w:tcW w:w="2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14"/>
                <w:szCs w:val="14"/>
                <w:color w:val="auto"/>
              </w:rPr>
            </w:pPr>
          </w:p>
        </w:tc>
        <w:tc>
          <w:tcPr>
            <w:tcW w:w="14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ACCUMULATED</w:t>
            </w: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ASSETS EXCEED</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ACCUMULATED</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ASSETS EXCEED</w:t>
            </w:r>
          </w:p>
        </w:tc>
      </w:tr>
      <w:tr>
        <w:trPr>
          <w:trHeight w:val="170"/>
        </w:trPr>
        <w:tc>
          <w:tcPr>
            <w:tcW w:w="308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BENEFITS EXCEED</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ACCUMULATED</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BENEFITS EXCEED</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ACCUMULATED</w:t>
            </w:r>
          </w:p>
        </w:tc>
      </w:tr>
      <w:tr>
        <w:trPr>
          <w:trHeight w:val="170"/>
        </w:trPr>
        <w:tc>
          <w:tcPr>
            <w:tcW w:w="3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ASSETS</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BENEFITS</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ASSETS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BENEFITS</w:t>
            </w:r>
          </w:p>
        </w:tc>
      </w:tr>
      <w:tr>
        <w:trPr>
          <w:trHeight w:val="170"/>
        </w:trPr>
        <w:tc>
          <w:tcPr>
            <w:tcW w:w="3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480" w:type="dxa"/>
            <w:vAlign w:val="bottom"/>
            <w:gridSpan w:val="3"/>
          </w:tcPr>
          <w:p>
            <w:pPr>
              <w:spacing w:after="0"/>
              <w:rPr>
                <w:sz w:val="20"/>
                <w:szCs w:val="20"/>
                <w:color w:val="auto"/>
              </w:rPr>
            </w:pPr>
            <w:r>
              <w:rPr>
                <w:rFonts w:ascii="Courier New" w:cs="Courier New" w:eastAsia="Courier New" w:hAnsi="Courier New"/>
                <w:sz w:val="15"/>
                <w:szCs w:val="15"/>
                <w:color w:val="auto"/>
              </w:rPr>
              <w:t>Actuarial present value of benefit obligations:</w:t>
            </w:r>
          </w:p>
        </w:tc>
        <w:tc>
          <w:tcPr>
            <w:tcW w:w="1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Accumulated benefit obligation:</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39"/>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Vested.........................</w:t>
            </w:r>
          </w:p>
        </w:tc>
        <w:tc>
          <w:tcPr>
            <w:tcW w:w="5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(96.9)</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(454.6)</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(32.3)</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(386.6)</w:t>
            </w:r>
          </w:p>
        </w:tc>
      </w:tr>
      <w:tr>
        <w:trPr>
          <w:trHeight w:val="339"/>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Non-vested.....................</w:t>
            </w:r>
          </w:p>
        </w:tc>
        <w:tc>
          <w:tcPr>
            <w:tcW w:w="520" w:type="dxa"/>
            <w:vAlign w:val="bottom"/>
          </w:tcPr>
          <w:p>
            <w:pPr>
              <w:spacing w:after="0"/>
              <w:rPr>
                <w:sz w:val="24"/>
                <w:szCs w:val="2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(3.4)</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(15.5)</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(27.8)</w:t>
            </w:r>
          </w:p>
        </w:tc>
      </w:tr>
      <w:tr>
        <w:trPr>
          <w:trHeight w:val="170"/>
        </w:trPr>
        <w:tc>
          <w:tcPr>
            <w:tcW w:w="3080" w:type="dxa"/>
            <w:vAlign w:val="bottom"/>
          </w:tcPr>
          <w:p>
            <w:pPr>
              <w:spacing w:after="0"/>
              <w:rPr>
                <w:sz w:val="14"/>
                <w:szCs w:val="14"/>
                <w:color w:val="auto"/>
              </w:rPr>
            </w:pPr>
          </w:p>
        </w:tc>
        <w:tc>
          <w:tcPr>
            <w:tcW w:w="14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Total..........................</w:t>
            </w: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 (100.3)</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(470.1)</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(33.0)</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(414.4)</w:t>
            </w:r>
          </w:p>
        </w:tc>
      </w:tr>
      <w:tr>
        <w:trPr>
          <w:trHeight w:val="170"/>
        </w:trPr>
        <w:tc>
          <w:tcPr>
            <w:tcW w:w="3080" w:type="dxa"/>
            <w:vAlign w:val="bottom"/>
          </w:tcPr>
          <w:p>
            <w:pPr>
              <w:spacing w:after="0"/>
              <w:rPr>
                <w:sz w:val="14"/>
                <w:szCs w:val="14"/>
                <w:color w:val="auto"/>
              </w:rPr>
            </w:pPr>
          </w:p>
        </w:tc>
        <w:tc>
          <w:tcPr>
            <w:tcW w:w="14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Projected benefit obligation......</w:t>
            </w: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 (132.1)</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(542.0)</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(45.4)</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(480.2)</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Plan assets at fair value.........</w:t>
            </w:r>
          </w:p>
        </w:tc>
        <w:tc>
          <w:tcPr>
            <w:tcW w:w="52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43.0</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503.9</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8.7</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439.3</w:t>
            </w:r>
          </w:p>
        </w:tc>
      </w:tr>
      <w:tr>
        <w:trPr>
          <w:trHeight w:val="170"/>
        </w:trPr>
        <w:tc>
          <w:tcPr>
            <w:tcW w:w="3080" w:type="dxa"/>
            <w:vAlign w:val="bottom"/>
          </w:tcPr>
          <w:p>
            <w:pPr>
              <w:spacing w:after="0"/>
              <w:rPr>
                <w:sz w:val="14"/>
                <w:szCs w:val="14"/>
                <w:color w:val="auto"/>
              </w:rPr>
            </w:pPr>
          </w:p>
        </w:tc>
        <w:tc>
          <w:tcPr>
            <w:tcW w:w="14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Projected benefit obligation in</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excess of plan assets.............</w:t>
            </w:r>
          </w:p>
        </w:tc>
        <w:tc>
          <w:tcPr>
            <w:tcW w:w="52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(89.1)</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(38.1)</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(36.7)</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(40.9)</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Unrecognized net (gain) losses....</w:t>
            </w:r>
          </w:p>
        </w:tc>
        <w:tc>
          <w:tcPr>
            <w:tcW w:w="52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18.7</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2.4</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(4.7)</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Unrecognized prior service cost...</w:t>
            </w:r>
          </w:p>
        </w:tc>
        <w:tc>
          <w:tcPr>
            <w:tcW w:w="52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3.2</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(12.7)</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5.5</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Unrecognized transition obligation</w:t>
            </w:r>
          </w:p>
        </w:tc>
        <w:tc>
          <w:tcPr>
            <w:tcW w:w="52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(9.8)</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1.8</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Adjustment to recognize minimum</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liability.........................</w:t>
            </w:r>
          </w:p>
        </w:tc>
        <w:tc>
          <w:tcPr>
            <w:tcW w:w="52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(8.5)</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14"/>
                <w:szCs w:val="14"/>
                <w:color w:val="auto"/>
              </w:rPr>
            </w:pPr>
          </w:p>
        </w:tc>
        <w:tc>
          <w:tcPr>
            <w:tcW w:w="14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Pension liability at year end.....</w:t>
            </w:r>
          </w:p>
        </w:tc>
        <w:tc>
          <w:tcPr>
            <w:tcW w:w="5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(72.2)</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(58.2)</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(35.0)</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(50.5)</w:t>
            </w:r>
          </w:p>
        </w:tc>
      </w:tr>
      <w:tr>
        <w:trPr>
          <w:trHeight w:val="170"/>
        </w:trPr>
        <w:tc>
          <w:tcPr>
            <w:tcW w:w="3080" w:type="dxa"/>
            <w:vAlign w:val="bottom"/>
          </w:tcPr>
          <w:p>
            <w:pPr>
              <w:spacing w:after="0"/>
              <w:rPr>
                <w:sz w:val="14"/>
                <w:szCs w:val="14"/>
                <w:color w:val="auto"/>
              </w:rPr>
            </w:pPr>
          </w:p>
        </w:tc>
        <w:tc>
          <w:tcPr>
            <w:tcW w:w="14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assumptions were used in accounting for the pension plans: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00" w:type="dxa"/>
            <w:vAlign w:val="bottom"/>
          </w:tcPr>
          <w:p>
            <w:pPr>
              <w:spacing w:after="0"/>
              <w:rPr>
                <w:sz w:val="14"/>
                <w:szCs w:val="1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1995</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1994</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3700" w:type="dxa"/>
            <w:vAlign w:val="bottom"/>
          </w:tcPr>
          <w:p>
            <w:pPr>
              <w:spacing w:after="0"/>
              <w:rPr>
                <w:sz w:val="14"/>
                <w:szCs w:val="1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Discount rate...........................</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7.25%</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Return on plan assets...................</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9.5%</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9.0-10.0%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Rate of increase in future compensation.</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5.0-5.5%</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5.0-6.0%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bl>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In addition, the Company contributes to multiemployer pension plans which provide benefits to certain employees under collective bargaining agreements. The pension expense for these plans was $18.0 million (1995) and $10.9 million (1994).</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 sponsors a welfare plan which provides certain postretirement health care and life insurance benefits to substantially all of the Paramount Communications employees and their covered dependents who generally have worked 10 years and are eligible for early or normal retirement under the provisions of the Paramount Communications retirement plan. The welfare plan is contributory and contains cost-sharing features such as deductible and coinsurance which are adjusted annually. The plan is not funded. The Company continues to fund these benefits as claims are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II-42</w:t>
      </w:r>
    </w:p>
    <w:p>
      <w:pPr>
        <w:sectPr>
          <w:pgSz w:w="11900" w:h="16838" w:orient="portrait"/>
          <w:cols w:equalWidth="0" w:num="1">
            <w:col w:w="10219"/>
          </w:cols>
          <w:pgMar w:left="240" w:top="452" w:right="1440" w:bottom="1440" w:gutter="0" w:footer="0" w:header="0"/>
        </w:sectPr>
      </w:pPr>
    </w:p>
    <w:bookmarkStart w:id="83" w:name="page84"/>
    <w:bookmarkEnd w:id="83"/>
    <w:p>
      <w:pPr>
        <w:jc w:val="center"/>
        <w:ind w:right="3179"/>
        <w:spacing w:after="0"/>
        <w:rPr>
          <w:sz w:val="20"/>
          <w:szCs w:val="20"/>
          <w:color w:val="auto"/>
        </w:rPr>
      </w:pPr>
      <w:r>
        <w:rPr>
          <w:rFonts w:ascii="Courier New" w:cs="Courier New" w:eastAsia="Courier New" w:hAnsi="Courier New"/>
          <w:sz w:val="15"/>
          <w:szCs w:val="15"/>
          <w:color w:val="auto"/>
        </w:rPr>
        <w:t>VIACOM INC. AND SUBSIDIARIES</w:t>
      </w: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components of the amount recognized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19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4880" w:type="dxa"/>
            <w:vAlign w:val="bottom"/>
          </w:tcPr>
          <w:p>
            <w:pPr>
              <w:spacing w:after="0"/>
              <w:rPr>
                <w:sz w:val="14"/>
                <w:szCs w:val="14"/>
                <w:color w:val="auto"/>
              </w:rPr>
            </w:pPr>
          </w:p>
        </w:tc>
        <w:tc>
          <w:tcPr>
            <w:tcW w:w="19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1995</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488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Accumulated postretirement benefit obligation</w:t>
            </w: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attributable to:</w:t>
            </w: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Current retirees....................................</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98.5</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88.9</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Fully eligible active plan participants.............</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15.7</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17.8</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Other active plan participants......................</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40.5</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35.1</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Unrecognized net gain...............................</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13.6</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21.4</w:t>
            </w:r>
          </w:p>
        </w:tc>
      </w:tr>
      <w:tr>
        <w:trPr>
          <w:trHeight w:val="170"/>
        </w:trPr>
        <w:tc>
          <w:tcPr>
            <w:tcW w:w="488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Accumulated postretirement benefit obligation.......</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$ 168.3</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$ 163.2</w:t>
            </w:r>
          </w:p>
        </w:tc>
      </w:tr>
      <w:tr>
        <w:trPr>
          <w:trHeight w:val="170"/>
        </w:trPr>
        <w:tc>
          <w:tcPr>
            <w:tcW w:w="488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900" w:type="dxa"/>
            <w:vAlign w:val="bottom"/>
            <w:gridSpan w:val="2"/>
          </w:tcPr>
          <w:p>
            <w:pPr>
              <w:spacing w:after="0"/>
              <w:rPr>
                <w:sz w:val="20"/>
                <w:szCs w:val="20"/>
                <w:color w:val="auto"/>
              </w:rPr>
            </w:pPr>
            <w:r>
              <w:rPr>
                <w:rFonts w:ascii="Courier New" w:cs="Courier New" w:eastAsia="Courier New" w:hAnsi="Courier New"/>
                <w:sz w:val="15"/>
                <w:szCs w:val="15"/>
                <w:color w:val="auto"/>
              </w:rPr>
              <w:t>The components of net periodic postretirement benefit cost</w:t>
            </w:r>
          </w:p>
        </w:tc>
        <w:tc>
          <w:tcPr>
            <w:tcW w:w="960" w:type="dxa"/>
            <w:vAlign w:val="bottom"/>
          </w:tcPr>
          <w:p>
            <w:pPr>
              <w:spacing w:after="0"/>
              <w:rPr>
                <w:sz w:val="24"/>
                <w:szCs w:val="24"/>
                <w:color w:val="auto"/>
              </w:rPr>
            </w:pP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are as follows:</w:t>
            </w: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9"/>
        </w:trPr>
        <w:tc>
          <w:tcPr>
            <w:tcW w:w="4880" w:type="dxa"/>
            <w:vAlign w:val="bottom"/>
          </w:tcPr>
          <w:p>
            <w:pPr>
              <w:spacing w:after="0"/>
              <w:rPr>
                <w:sz w:val="24"/>
                <w:szCs w:val="24"/>
                <w:color w:val="auto"/>
              </w:rPr>
            </w:pPr>
          </w:p>
        </w:tc>
        <w:tc>
          <w:tcPr>
            <w:tcW w:w="19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4880" w:type="dxa"/>
            <w:vAlign w:val="bottom"/>
          </w:tcPr>
          <w:p>
            <w:pPr>
              <w:spacing w:after="0"/>
              <w:rPr>
                <w:sz w:val="14"/>
                <w:szCs w:val="14"/>
                <w:color w:val="auto"/>
              </w:rPr>
            </w:pPr>
          </w:p>
        </w:tc>
        <w:tc>
          <w:tcPr>
            <w:tcW w:w="19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1995</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488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Service costs-benefits earned........................</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$ 3.8</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$ 4.4</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Interest cost on accumulated postretirement</w:t>
            </w: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benefit obligation................................</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10.8</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9.5</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Amortization of gain.................................</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Net periodic postretirement benefit cost.............</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$13.2</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$13.9</w:t>
            </w:r>
          </w:p>
        </w:tc>
      </w:tr>
      <w:tr>
        <w:trPr>
          <w:trHeight w:val="170"/>
        </w:trPr>
        <w:tc>
          <w:tcPr>
            <w:tcW w:w="488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880" w:type="dxa"/>
            <w:vAlign w:val="bottom"/>
          </w:tcPr>
          <w:p>
            <w:pPr>
              <w:spacing w:after="0"/>
              <w:rPr>
                <w:sz w:val="24"/>
                <w:szCs w:val="2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1995</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488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The following assumptions were used in accounting for</w:t>
            </w: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post retirement benefits:</w:t>
            </w: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w w:val="98"/>
              </w:rPr>
              <w:t>Projected health care cost trend rate...............</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0"/>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Ultimate trend rate...............................</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r>
        <w:trPr>
          <w:trHeight w:val="170"/>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Year ultimate trend rate is achieved..............</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2001</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Discount rate.....................................</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7.25%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Effect of a 1% point increase in the health</w:t>
            </w: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care cost trend rate:</w:t>
            </w: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Postretirement benefit obligation.................</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$20.6</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w:t>
            </w:r>
          </w:p>
        </w:tc>
      </w:tr>
      <w:tr>
        <w:trPr>
          <w:trHeight w:val="170"/>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Aggregate of service and interest cost............</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$ 2.4</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$ 2.6</w:t>
            </w:r>
          </w:p>
        </w:tc>
      </w:tr>
    </w:tbl>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In addition, the Company contributed to multiemployer plans which provide health and welfare benefits to active as well as retired employees. The Company had costs of $12.1 million and $10.0 million related to these benefits during the years ended December 31, 1995 and 1994.</w:t>
      </w:r>
    </w:p>
    <w:p>
      <w:pPr>
        <w:spacing w:after="0" w:line="17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In 1994, the Company adopted Statement of Financial Accounting Standards No. 112, "Employers' Accounting For Postemployment Benefits" ("SFAS 112"). SFAS 112 did not have a significant effect on the Company's consolidated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II-43</w:t>
      </w:r>
    </w:p>
    <w:p>
      <w:pPr>
        <w:sectPr>
          <w:pgSz w:w="11900" w:h="16838" w:orient="portrait"/>
          <w:cols w:equalWidth="0" w:num="1">
            <w:col w:w="10219"/>
          </w:cols>
          <w:pgMar w:left="240" w:top="452" w:right="1440" w:bottom="1440" w:gutter="0" w:footer="0" w:header="0"/>
        </w:sectPr>
      </w:pPr>
    </w:p>
    <w:bookmarkStart w:id="84" w:name="page85"/>
    <w:bookmarkEnd w:id="84"/>
    <w:p>
      <w:pPr>
        <w:jc w:val="center"/>
        <w:ind w:right="3179"/>
        <w:spacing w:after="0"/>
        <w:rPr>
          <w:sz w:val="20"/>
          <w:szCs w:val="20"/>
          <w:color w:val="auto"/>
        </w:rPr>
      </w:pPr>
      <w:r>
        <w:rPr>
          <w:rFonts w:ascii="Courier New" w:cs="Courier New" w:eastAsia="Courier New" w:hAnsi="Courier New"/>
          <w:sz w:val="15"/>
          <w:szCs w:val="15"/>
          <w:color w:val="auto"/>
        </w:rPr>
        <w:t>VIACOM INC. AND SUBSIDIARIES</w:t>
      </w: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COMMITMENTS AND CONTINGENCIES</w:t>
      </w:r>
    </w:p>
    <w:p>
      <w:pPr>
        <w:spacing w:after="0" w:line="17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The Company has long-term noncancelable lease commitments for retail and office space and equipment, transponders, studio facilities and vehicles.</w:t>
      </w:r>
    </w:p>
    <w:p>
      <w:pPr>
        <w:spacing w:after="0" w:line="176"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At December 31, 1995, minimum rental payments under noncancelable leases are as follows:</w:t>
      </w:r>
    </w:p>
    <w:p>
      <w:pPr>
        <w:spacing w:after="0" w:line="170"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2"/>
              </w:rPr>
              <w:t>LEASES</w:t>
            </w:r>
          </w:p>
        </w:tc>
      </w:tr>
      <w:tr>
        <w:trPr>
          <w:trHeight w:val="170"/>
        </w:trPr>
        <w:tc>
          <w:tcPr>
            <w:tcW w:w="3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OPERATING</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CAPITAL</w:t>
            </w:r>
          </w:p>
        </w:tc>
      </w:tr>
      <w:tr>
        <w:trPr>
          <w:trHeight w:val="170"/>
        </w:trPr>
        <w:tc>
          <w:tcPr>
            <w:tcW w:w="3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1996</w:t>
            </w:r>
          </w:p>
        </w:tc>
        <w:tc>
          <w:tcPr>
            <w:tcW w:w="340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$ 502.5</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90.3</w:t>
            </w:r>
          </w:p>
        </w:tc>
      </w:tr>
      <w:tr>
        <w:trPr>
          <w:trHeight w:val="170"/>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1997</w:t>
            </w:r>
          </w:p>
        </w:tc>
        <w:tc>
          <w:tcPr>
            <w:tcW w:w="340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452.4</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89.0</w:t>
            </w:r>
          </w:p>
        </w:tc>
      </w:tr>
      <w:tr>
        <w:trPr>
          <w:trHeight w:val="170"/>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1998</w:t>
            </w:r>
          </w:p>
        </w:tc>
        <w:tc>
          <w:tcPr>
            <w:tcW w:w="340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409.9</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90.5</w:t>
            </w:r>
          </w:p>
        </w:tc>
      </w:tr>
      <w:tr>
        <w:trPr>
          <w:trHeight w:val="170"/>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1999</w:t>
            </w:r>
          </w:p>
        </w:tc>
        <w:tc>
          <w:tcPr>
            <w:tcW w:w="340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356.0</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92.3</w:t>
            </w:r>
          </w:p>
        </w:tc>
      </w:tr>
      <w:tr>
        <w:trPr>
          <w:trHeight w:val="170"/>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2000</w:t>
            </w:r>
          </w:p>
        </w:tc>
        <w:tc>
          <w:tcPr>
            <w:tcW w:w="340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299.0</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70.1</w:t>
            </w:r>
          </w:p>
        </w:tc>
      </w:tr>
      <w:tr>
        <w:trPr>
          <w:trHeight w:val="170"/>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2001</w:t>
            </w:r>
          </w:p>
        </w:tc>
        <w:tc>
          <w:tcPr>
            <w:tcW w:w="340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9"/>
              </w:rPr>
              <w:t>and thereafter....................</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1,598.1</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218.5</w:t>
            </w:r>
          </w:p>
        </w:tc>
      </w:tr>
      <w:tr>
        <w:trPr>
          <w:trHeight w:val="170"/>
        </w:trPr>
        <w:tc>
          <w:tcPr>
            <w:tcW w:w="3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760" w:type="dxa"/>
            <w:vAlign w:val="bottom"/>
            <w:gridSpan w:val="2"/>
          </w:tcPr>
          <w:p>
            <w:pPr>
              <w:spacing w:after="0"/>
              <w:rPr>
                <w:sz w:val="20"/>
                <w:szCs w:val="20"/>
                <w:color w:val="auto"/>
              </w:rPr>
            </w:pPr>
            <w:r>
              <w:rPr>
                <w:rFonts w:ascii="Courier New" w:cs="Courier New" w:eastAsia="Courier New" w:hAnsi="Courier New"/>
                <w:sz w:val="15"/>
                <w:szCs w:val="15"/>
                <w:color w:val="auto"/>
              </w:rPr>
              <w:t>Total minimum lease payments...........</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$3,617.9</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650.7</w:t>
            </w:r>
          </w:p>
        </w:tc>
      </w:tr>
      <w:tr>
        <w:trPr>
          <w:trHeight w:val="170"/>
        </w:trPr>
        <w:tc>
          <w:tcPr>
            <w:tcW w:w="3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70"/>
        </w:trPr>
        <w:tc>
          <w:tcPr>
            <w:tcW w:w="3760" w:type="dxa"/>
            <w:vAlign w:val="bottom"/>
            <w:gridSpan w:val="2"/>
          </w:tcPr>
          <w:p>
            <w:pPr>
              <w:spacing w:after="0"/>
              <w:rPr>
                <w:sz w:val="20"/>
                <w:szCs w:val="20"/>
                <w:color w:val="auto"/>
              </w:rPr>
            </w:pPr>
            <w:r>
              <w:rPr>
                <w:rFonts w:ascii="Courier New" w:cs="Courier New" w:eastAsia="Courier New" w:hAnsi="Courier New"/>
                <w:sz w:val="15"/>
                <w:szCs w:val="15"/>
                <w:color w:val="auto"/>
              </w:rPr>
              <w:t>Less amounts representing interest.....</w:t>
            </w:r>
          </w:p>
        </w:tc>
        <w:tc>
          <w:tcPr>
            <w:tcW w:w="110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228.8</w:t>
            </w:r>
          </w:p>
        </w:tc>
      </w:tr>
      <w:tr>
        <w:trPr>
          <w:trHeight w:val="170"/>
        </w:trPr>
        <w:tc>
          <w:tcPr>
            <w:tcW w:w="3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760" w:type="dxa"/>
            <w:vAlign w:val="bottom"/>
            <w:gridSpan w:val="2"/>
          </w:tcPr>
          <w:p>
            <w:pPr>
              <w:spacing w:after="0"/>
              <w:rPr>
                <w:sz w:val="20"/>
                <w:szCs w:val="20"/>
                <w:color w:val="auto"/>
              </w:rPr>
            </w:pPr>
            <w:r>
              <w:rPr>
                <w:rFonts w:ascii="Courier New" w:cs="Courier New" w:eastAsia="Courier New" w:hAnsi="Courier New"/>
                <w:sz w:val="15"/>
                <w:szCs w:val="15"/>
                <w:color w:val="auto"/>
              </w:rPr>
              <w:t>Present value of net minimum payments..</w:t>
            </w:r>
          </w:p>
        </w:tc>
        <w:tc>
          <w:tcPr>
            <w:tcW w:w="110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$ 421.9</w:t>
            </w:r>
          </w:p>
        </w:tc>
      </w:tr>
      <w:tr>
        <w:trPr>
          <w:trHeight w:val="170"/>
        </w:trPr>
        <w:tc>
          <w:tcPr>
            <w:tcW w:w="3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 has also entered into capital leases for transponders with future minimum commitments commencing in future periods of approximately $262.5 million payable over the next thirteen years. Such commitments are contingent upon the successful operation of satellites. Future minimum capital lease payments have not been reduced by future minimum sublease rentals of $122.9 million. Rent expense amounted to $487.8 million (1995), $240.2 million (1994) and $74.2 million (1993).</w:t>
      </w:r>
    </w:p>
    <w:p>
      <w:pPr>
        <w:spacing w:after="0" w:line="17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commitments of the Company for program license fees, which are not reflected in the balance sheet as of December 31, 1995 and are estimated to aggregate approximately $2.2 billion, principally reflect commitments under Showtime Networks Inc.'s ("SNI's") exclusive arrangements with several motion picture companies. This estimate is based upon a number of factors. A majority of such fees are payable over several years, as part of normal programming expenditures of SNI. These commitments are contingent upon delivery of motion pictures which are not yet available for premium television exhibition and, in many cases, have not yet been produced.</w:t>
      </w:r>
    </w:p>
    <w:p>
      <w:pPr>
        <w:spacing w:after="0" w:line="179"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There are various lawsuits and claims pending against the Company. Management believes that any ultimate liability resulting from those actions or claims will not have a material adverse effect on the Company's results of operations, financial position or cash flows.</w:t>
      </w:r>
    </w:p>
    <w:p>
      <w:pPr>
        <w:spacing w:after="0" w:line="176"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Certain subsidiaries and affiliates of the Company from time to time receive claims from federal and state environmental regulatory agencies and other entities asserting that they are or may be liable for environmental cleanup costs and related damages, principally relating to discontinued operations conducted by its former mining and manufacturing businesses (acquired as part of the Mergers). The Company has recorded a liability at approximately the mid-point of its estimated range of environmental exposure. Such liability was not reduced by potential insurance recoveries and reflects management's estimate of cost sharing at multiparty sites. The estimated range of the potential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II-44</w:t>
      </w:r>
    </w:p>
    <w:p>
      <w:pPr>
        <w:sectPr>
          <w:pgSz w:w="11900" w:h="16838" w:orient="portrait"/>
          <w:cols w:equalWidth="0" w:num="1">
            <w:col w:w="10219"/>
          </w:cols>
          <w:pgMar w:left="240" w:top="452" w:right="1440" w:bottom="1440" w:gutter="0" w:footer="0" w:header="0"/>
        </w:sectPr>
      </w:pPr>
    </w:p>
    <w:bookmarkStart w:id="85" w:name="page86"/>
    <w:bookmarkEnd w:id="85"/>
    <w:p>
      <w:pPr>
        <w:jc w:val="center"/>
        <w:ind w:right="3199"/>
        <w:spacing w:after="0"/>
        <w:rPr>
          <w:sz w:val="20"/>
          <w:szCs w:val="20"/>
          <w:color w:val="auto"/>
        </w:rPr>
      </w:pPr>
      <w:r>
        <w:rPr>
          <w:rFonts w:ascii="Courier New" w:cs="Courier New" w:eastAsia="Courier New" w:hAnsi="Courier New"/>
          <w:sz w:val="15"/>
          <w:szCs w:val="15"/>
          <w:color w:val="auto"/>
        </w:rPr>
        <w:t>VIACOM INC. AND SUBSIDIARIES</w:t>
      </w: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343"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liability was calculated based upon currently available facts, existing technology and presently enacted laws and regulations. On the basis of its experience and the information currently available to it, the Company believes that the claims it has received will not have a material adverse effect on its results of operations, financial position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II-45</w:t>
      </w:r>
    </w:p>
    <w:p>
      <w:pPr>
        <w:sectPr>
          <w:pgSz w:w="11900" w:h="16838" w:orient="portrait"/>
          <w:cols w:equalWidth="0" w:num="1">
            <w:col w:w="10219"/>
          </w:cols>
          <w:pgMar w:left="240" w:top="452" w:right="1440" w:bottom="1440" w:gutter="0" w:footer="0" w:header="0"/>
        </w:sectPr>
      </w:pPr>
    </w:p>
    <w:bookmarkStart w:id="86" w:name="page87"/>
    <w:bookmarkEnd w:id="86"/>
    <w:p>
      <w:pPr>
        <w:jc w:val="center"/>
        <w:ind w:right="3179"/>
        <w:spacing w:after="0"/>
        <w:rPr>
          <w:sz w:val="20"/>
          <w:szCs w:val="20"/>
          <w:color w:val="auto"/>
        </w:rPr>
      </w:pPr>
      <w:r>
        <w:rPr>
          <w:rFonts w:ascii="Courier New" w:cs="Courier New" w:eastAsia="Courier New" w:hAnsi="Courier New"/>
          <w:sz w:val="15"/>
          <w:szCs w:val="15"/>
          <w:color w:val="auto"/>
        </w:rPr>
        <w:t>VIACOM INC. AND SUBSIDIARIES</w:t>
      </w: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(continued)</w:t>
      </w:r>
    </w:p>
    <w:tbl>
      <w:tblPr>
        <w:tblLayout w:type="fixed"/>
        <w:tblInd w:w="0" w:type="dxa"/>
        <w:tblCellMar>
          <w:top w:w="0" w:type="dxa"/>
          <w:left w:w="0" w:type="dxa"/>
          <w:bottom w:w="0" w:type="dxa"/>
          <w:right w:w="0" w:type="dxa"/>
        </w:tblCellMar>
      </w:tblPr>
      <w:tr>
        <w:trPr>
          <w:trHeight w:val="169"/>
        </w:trPr>
        <w:tc>
          <w:tcPr>
            <w:tcW w:w="59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(Tabular dollars in millions, except per share amounts)</w:t>
            </w:r>
          </w:p>
        </w:tc>
        <w:tc>
          <w:tcPr>
            <w:tcW w:w="700" w:type="dxa"/>
            <w:vAlign w:val="bottom"/>
          </w:tcPr>
          <w:p>
            <w:pPr>
              <w:spacing w:after="0"/>
              <w:rPr>
                <w:sz w:val="14"/>
                <w:szCs w:val="14"/>
                <w:color w:val="auto"/>
              </w:rPr>
            </w:pPr>
          </w:p>
        </w:tc>
      </w:tr>
      <w:tr>
        <w:trPr>
          <w:trHeight w:val="509"/>
        </w:trPr>
        <w:tc>
          <w:tcPr>
            <w:tcW w:w="3080" w:type="dxa"/>
            <w:vAlign w:val="bottom"/>
          </w:tcPr>
          <w:p>
            <w:pPr>
              <w:spacing w:after="0"/>
              <w:rPr>
                <w:sz w:val="20"/>
                <w:szCs w:val="20"/>
                <w:color w:val="auto"/>
              </w:rPr>
            </w:pPr>
            <w:r>
              <w:rPr>
                <w:rFonts w:ascii="Courier New" w:cs="Courier New" w:eastAsia="Courier New" w:hAnsi="Courier New"/>
                <w:sz w:val="15"/>
                <w:szCs w:val="15"/>
                <w:color w:val="auto"/>
              </w:rPr>
              <w:t>13) BUSINESS SEGMENTS</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3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160" w:type="dxa"/>
            <w:vAlign w:val="bottom"/>
            <w:gridSpan w:val="5"/>
          </w:tcPr>
          <w:p>
            <w:pPr>
              <w:jc w:val="right"/>
              <w:ind w:right="187"/>
              <w:spacing w:after="0"/>
              <w:rPr>
                <w:sz w:val="20"/>
                <w:szCs w:val="20"/>
                <w:color w:val="auto"/>
              </w:rPr>
            </w:pPr>
            <w:r>
              <w:rPr>
                <w:rFonts w:ascii="Courier New" w:cs="Courier New" w:eastAsia="Courier New" w:hAnsi="Courier New"/>
                <w:sz w:val="15"/>
                <w:szCs w:val="15"/>
                <w:color w:val="auto"/>
              </w:rPr>
              <w:t>YEAR ENDED OR AT DECEMBER 31,</w:t>
            </w:r>
          </w:p>
        </w:tc>
      </w:tr>
      <w:tr>
        <w:trPr>
          <w:trHeight w:val="170"/>
        </w:trPr>
        <w:tc>
          <w:tcPr>
            <w:tcW w:w="3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160" w:type="dxa"/>
            <w:vAlign w:val="bottom"/>
            <w:gridSpan w:val="5"/>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4"/>
              </w:rPr>
              <w:t>1995</w:t>
            </w:r>
          </w:p>
        </w:tc>
        <w:tc>
          <w:tcPr>
            <w:tcW w:w="26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1994</w:t>
            </w:r>
          </w:p>
        </w:tc>
        <w:tc>
          <w:tcPr>
            <w:tcW w:w="34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3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4"/>
              </w:rPr>
              <w:t>----</w:t>
            </w:r>
          </w:p>
        </w:tc>
        <w:tc>
          <w:tcPr>
            <w:tcW w:w="26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Networks and Broadcasting........</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$ 2,137.4</w:t>
            </w: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$ 1,855.1</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$1,403.0</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Entertainment....................</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3,650.4</w:t>
            </w:r>
          </w:p>
        </w:tc>
        <w:tc>
          <w:tcPr>
            <w:tcW w:w="2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2,285.2</w:t>
            </w:r>
          </w:p>
        </w:tc>
        <w:tc>
          <w:tcPr>
            <w:tcW w:w="3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209.1</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Video and Music/Theme Parks......</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3,333.4</w:t>
            </w:r>
          </w:p>
        </w:tc>
        <w:tc>
          <w:tcPr>
            <w:tcW w:w="2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1,070.4</w:t>
            </w:r>
          </w:p>
        </w:tc>
        <w:tc>
          <w:tcPr>
            <w:tcW w:w="3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Publishing.......................</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2,171.1</w:t>
            </w:r>
          </w:p>
        </w:tc>
        <w:tc>
          <w:tcPr>
            <w:tcW w:w="2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1,786.4</w:t>
            </w:r>
          </w:p>
        </w:tc>
        <w:tc>
          <w:tcPr>
            <w:tcW w:w="3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Cable Television.................</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444.4</w:t>
            </w:r>
          </w:p>
        </w:tc>
        <w:tc>
          <w:tcPr>
            <w:tcW w:w="2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406.2</w:t>
            </w:r>
          </w:p>
        </w:tc>
        <w:tc>
          <w:tcPr>
            <w:tcW w:w="3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416.0</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Intercompany elimination.........</w:t>
            </w:r>
          </w:p>
        </w:tc>
        <w:tc>
          <w:tcPr>
            <w:tcW w:w="4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(48.0)</w:t>
            </w:r>
          </w:p>
        </w:tc>
        <w:tc>
          <w:tcPr>
            <w:tcW w:w="2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(40.1)</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(23.2)</w:t>
            </w:r>
          </w:p>
        </w:tc>
      </w:tr>
      <w:tr>
        <w:trPr>
          <w:trHeight w:val="170"/>
        </w:trPr>
        <w:tc>
          <w:tcPr>
            <w:tcW w:w="3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w:t>
            </w:r>
          </w:p>
        </w:tc>
        <w:tc>
          <w:tcPr>
            <w:tcW w:w="2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 revenues..............</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$11,688.7</w:t>
            </w: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$ 7,363.2</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$2,004.9</w:t>
            </w:r>
          </w:p>
        </w:tc>
      </w:tr>
      <w:tr>
        <w:trPr>
          <w:trHeight w:val="170"/>
        </w:trPr>
        <w:tc>
          <w:tcPr>
            <w:tcW w:w="3080" w:type="dxa"/>
            <w:vAlign w:val="bottom"/>
          </w:tcPr>
          <w:p>
            <w:pPr>
              <w:spacing w:after="0"/>
              <w:rPr>
                <w:sz w:val="14"/>
                <w:szCs w:val="14"/>
                <w:color w:val="auto"/>
              </w:rPr>
            </w:pP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Networks and Broadcasting........</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561.3</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357.1</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314.4</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Entertainment....................</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307.3</w:t>
            </w:r>
          </w:p>
        </w:tc>
        <w:tc>
          <w:tcPr>
            <w:tcW w:w="2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(88.4)</w:t>
            </w:r>
          </w:p>
        </w:tc>
        <w:tc>
          <w:tcPr>
            <w:tcW w:w="3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32.5</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Video and Music/Theme Parks......</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501.5</w:t>
            </w:r>
          </w:p>
        </w:tc>
        <w:tc>
          <w:tcPr>
            <w:tcW w:w="2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199.5</w:t>
            </w:r>
          </w:p>
        </w:tc>
        <w:tc>
          <w:tcPr>
            <w:tcW w:w="3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Publishing.......................</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186.3</w:t>
            </w:r>
          </w:p>
        </w:tc>
        <w:tc>
          <w:tcPr>
            <w:tcW w:w="2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193.9</w:t>
            </w:r>
          </w:p>
        </w:tc>
        <w:tc>
          <w:tcPr>
            <w:tcW w:w="3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Cable Television.................</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101.1</w:t>
            </w:r>
          </w:p>
        </w:tc>
        <w:tc>
          <w:tcPr>
            <w:tcW w:w="2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78.8</w:t>
            </w:r>
          </w:p>
        </w:tc>
        <w:tc>
          <w:tcPr>
            <w:tcW w:w="3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110.2</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Corporate........................</w:t>
            </w:r>
          </w:p>
        </w:tc>
        <w:tc>
          <w:tcPr>
            <w:tcW w:w="4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(164.2)</w:t>
            </w:r>
          </w:p>
        </w:tc>
        <w:tc>
          <w:tcPr>
            <w:tcW w:w="2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(132.6)</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(72.1)</w:t>
            </w:r>
          </w:p>
        </w:tc>
      </w:tr>
      <w:tr>
        <w:trPr>
          <w:trHeight w:val="170"/>
        </w:trPr>
        <w:tc>
          <w:tcPr>
            <w:tcW w:w="3080" w:type="dxa"/>
            <w:vAlign w:val="bottom"/>
          </w:tcPr>
          <w:p>
            <w:pPr>
              <w:spacing w:after="0"/>
              <w:rPr>
                <w:sz w:val="14"/>
                <w:szCs w:val="14"/>
                <w:color w:val="auto"/>
              </w:rPr>
            </w:pPr>
          </w:p>
        </w:tc>
        <w:tc>
          <w:tcPr>
            <w:tcW w:w="13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 operating income.......</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$ 1,493.3</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608.3</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385.0</w:t>
            </w:r>
          </w:p>
        </w:tc>
      </w:tr>
      <w:tr>
        <w:trPr>
          <w:trHeight w:val="170"/>
        </w:trPr>
        <w:tc>
          <w:tcPr>
            <w:tcW w:w="3080" w:type="dxa"/>
            <w:vAlign w:val="bottom"/>
          </w:tcPr>
          <w:p>
            <w:pPr>
              <w:spacing w:after="0"/>
              <w:rPr>
                <w:sz w:val="14"/>
                <w:szCs w:val="14"/>
                <w:color w:val="auto"/>
              </w:rPr>
            </w:pP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Networks and Broadcasting........</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117.0</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96.2</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68.2</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Entertainment....................</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138.6</w:t>
            </w:r>
          </w:p>
        </w:tc>
        <w:tc>
          <w:tcPr>
            <w:tcW w:w="2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94.4</w:t>
            </w:r>
          </w:p>
        </w:tc>
        <w:tc>
          <w:tcPr>
            <w:tcW w:w="3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9.5</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Video and Music/Theme Parks......</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321.5</w:t>
            </w:r>
          </w:p>
        </w:tc>
        <w:tc>
          <w:tcPr>
            <w:tcW w:w="2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90.4</w:t>
            </w:r>
          </w:p>
        </w:tc>
        <w:tc>
          <w:tcPr>
            <w:tcW w:w="3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Publishing.......................</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153.9</w:t>
            </w:r>
          </w:p>
        </w:tc>
        <w:tc>
          <w:tcPr>
            <w:tcW w:w="2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103.0</w:t>
            </w:r>
          </w:p>
        </w:tc>
        <w:tc>
          <w:tcPr>
            <w:tcW w:w="3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Cable Television.................</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81.8</w:t>
            </w:r>
          </w:p>
        </w:tc>
        <w:tc>
          <w:tcPr>
            <w:tcW w:w="2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76.4</w:t>
            </w:r>
          </w:p>
        </w:tc>
        <w:tc>
          <w:tcPr>
            <w:tcW w:w="3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71.5</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Corporate........................</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7.6</w:t>
            </w:r>
          </w:p>
        </w:tc>
        <w:tc>
          <w:tcPr>
            <w:tcW w:w="2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5.3</w:t>
            </w:r>
          </w:p>
        </w:tc>
        <w:tc>
          <w:tcPr>
            <w:tcW w:w="3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w:t>
            </w:r>
          </w:p>
        </w:tc>
      </w:tr>
      <w:tr>
        <w:trPr>
          <w:trHeight w:val="170"/>
        </w:trPr>
        <w:tc>
          <w:tcPr>
            <w:tcW w:w="3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w:t>
            </w:r>
          </w:p>
        </w:tc>
        <w:tc>
          <w:tcPr>
            <w:tcW w:w="2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tcPr>
          <w:p>
            <w:pPr>
              <w:ind w:left="340"/>
              <w:spacing w:after="0"/>
              <w:rPr>
                <w:sz w:val="20"/>
                <w:szCs w:val="20"/>
                <w:color w:val="auto"/>
              </w:rPr>
            </w:pPr>
            <w:r>
              <w:rPr>
                <w:rFonts w:ascii="Courier New" w:cs="Courier New" w:eastAsia="Courier New" w:hAnsi="Courier New"/>
                <w:sz w:val="15"/>
                <w:szCs w:val="15"/>
                <w:color w:val="auto"/>
              </w:rPr>
              <w:t>Total depreciation and</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amortization...............</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820.4</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465.7</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153.1</w:t>
            </w:r>
          </w:p>
        </w:tc>
      </w:tr>
      <w:tr>
        <w:trPr>
          <w:trHeight w:val="170"/>
        </w:trPr>
        <w:tc>
          <w:tcPr>
            <w:tcW w:w="3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w:t>
            </w:r>
          </w:p>
        </w:tc>
        <w:tc>
          <w:tcPr>
            <w:tcW w:w="2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3080" w:type="dxa"/>
            <w:vAlign w:val="bottom"/>
          </w:tcPr>
          <w:p>
            <w:pPr>
              <w:spacing w:after="0"/>
              <w:rPr>
                <w:sz w:val="20"/>
                <w:szCs w:val="20"/>
                <w:color w:val="auto"/>
              </w:rPr>
            </w:pPr>
            <w:r>
              <w:rPr>
                <w:rFonts w:ascii="Courier New" w:cs="Courier New" w:eastAsia="Courier New" w:hAnsi="Courier New"/>
                <w:sz w:val="15"/>
                <w:szCs w:val="15"/>
                <w:color w:val="auto"/>
              </w:rPr>
              <w:t>IDENTIFIABLE ASSETS AT YEAR END:</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Networks and Broadcasting........</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$ 4,417.8</w:t>
            </w: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$ 4,115.2</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$2,538.6</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Entertainment....................</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7,920.1</w:t>
            </w:r>
          </w:p>
        </w:tc>
        <w:tc>
          <w:tcPr>
            <w:tcW w:w="2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8,171.8</w:t>
            </w:r>
          </w:p>
        </w:tc>
        <w:tc>
          <w:tcPr>
            <w:tcW w:w="3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845.6</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Video and Music/Theme Parks......</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9,646.3</w:t>
            </w:r>
          </w:p>
        </w:tc>
        <w:tc>
          <w:tcPr>
            <w:tcW w:w="2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9,189.6</w:t>
            </w:r>
          </w:p>
        </w:tc>
        <w:tc>
          <w:tcPr>
            <w:tcW w:w="3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Publishing.......................</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5,343.7</w:t>
            </w:r>
          </w:p>
        </w:tc>
        <w:tc>
          <w:tcPr>
            <w:tcW w:w="2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5,194.7</w:t>
            </w:r>
          </w:p>
        </w:tc>
        <w:tc>
          <w:tcPr>
            <w:tcW w:w="3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Cable Television.................</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1,063.6</w:t>
            </w:r>
          </w:p>
        </w:tc>
        <w:tc>
          <w:tcPr>
            <w:tcW w:w="2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1,030.1</w:t>
            </w:r>
          </w:p>
        </w:tc>
        <w:tc>
          <w:tcPr>
            <w:tcW w:w="3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963.0</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Corporate........................</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634.5</w:t>
            </w:r>
          </w:p>
        </w:tc>
        <w:tc>
          <w:tcPr>
            <w:tcW w:w="2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572.3</w:t>
            </w:r>
          </w:p>
        </w:tc>
        <w:tc>
          <w:tcPr>
            <w:tcW w:w="3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2,069.7</w:t>
            </w:r>
          </w:p>
        </w:tc>
      </w:tr>
      <w:tr>
        <w:trPr>
          <w:trHeight w:val="170"/>
        </w:trPr>
        <w:tc>
          <w:tcPr>
            <w:tcW w:w="3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w:t>
            </w:r>
          </w:p>
        </w:tc>
        <w:tc>
          <w:tcPr>
            <w:tcW w:w="2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w:t>
            </w:r>
          </w:p>
        </w:tc>
        <w:tc>
          <w:tcPr>
            <w:tcW w:w="3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3080" w:type="dxa"/>
            <w:vAlign w:val="bottom"/>
          </w:tcPr>
          <w:p>
            <w:pPr>
              <w:ind w:left="340"/>
              <w:spacing w:after="0"/>
              <w:rPr>
                <w:sz w:val="20"/>
                <w:szCs w:val="20"/>
                <w:color w:val="auto"/>
              </w:rPr>
            </w:pPr>
            <w:r>
              <w:rPr>
                <w:rFonts w:ascii="Courier New" w:cs="Courier New" w:eastAsia="Courier New" w:hAnsi="Courier New"/>
                <w:sz w:val="15"/>
                <w:szCs w:val="15"/>
                <w:color w:val="auto"/>
              </w:rPr>
              <w:t>Total identifiable assets at</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year end...................</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$29,026.0</w:t>
            </w: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$28,273.7</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$6,416.9</w:t>
            </w:r>
          </w:p>
        </w:tc>
      </w:tr>
      <w:tr>
        <w:trPr>
          <w:trHeight w:val="170"/>
        </w:trPr>
        <w:tc>
          <w:tcPr>
            <w:tcW w:w="3080" w:type="dxa"/>
            <w:vAlign w:val="bottom"/>
          </w:tcPr>
          <w:p>
            <w:pPr>
              <w:spacing w:after="0"/>
              <w:rPr>
                <w:sz w:val="14"/>
                <w:szCs w:val="14"/>
                <w:color w:val="auto"/>
              </w:rPr>
            </w:pP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509"/>
        </w:trPr>
        <w:tc>
          <w:tcPr>
            <w:tcW w:w="308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Networks and Broadcasting........</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58.2</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53.8</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40.7</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Entertainment....................</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58.1</w:t>
            </w:r>
          </w:p>
        </w:tc>
        <w:tc>
          <w:tcPr>
            <w:tcW w:w="2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19.6</w:t>
            </w:r>
          </w:p>
        </w:tc>
        <w:tc>
          <w:tcPr>
            <w:tcW w:w="3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Video and Music/Theme Parks......</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388.5</w:t>
            </w:r>
          </w:p>
        </w:tc>
        <w:tc>
          <w:tcPr>
            <w:tcW w:w="2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145.9</w:t>
            </w:r>
          </w:p>
        </w:tc>
        <w:tc>
          <w:tcPr>
            <w:tcW w:w="3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Publishing.......................</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52.4</w:t>
            </w:r>
          </w:p>
        </w:tc>
        <w:tc>
          <w:tcPr>
            <w:tcW w:w="2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34.5</w:t>
            </w:r>
          </w:p>
        </w:tc>
        <w:tc>
          <w:tcPr>
            <w:tcW w:w="3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Cable Television.................</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119.3</w:t>
            </w:r>
          </w:p>
        </w:tc>
        <w:tc>
          <w:tcPr>
            <w:tcW w:w="2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99.8</w:t>
            </w:r>
          </w:p>
        </w:tc>
        <w:tc>
          <w:tcPr>
            <w:tcW w:w="3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79.5</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Corporate........................</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54.1</w:t>
            </w:r>
          </w:p>
        </w:tc>
        <w:tc>
          <w:tcPr>
            <w:tcW w:w="2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11.3</w:t>
            </w:r>
          </w:p>
        </w:tc>
        <w:tc>
          <w:tcPr>
            <w:tcW w:w="3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9.9</w:t>
            </w:r>
          </w:p>
        </w:tc>
      </w:tr>
      <w:tr>
        <w:trPr>
          <w:trHeight w:val="170"/>
        </w:trPr>
        <w:tc>
          <w:tcPr>
            <w:tcW w:w="3080" w:type="dxa"/>
            <w:vAlign w:val="bottom"/>
          </w:tcPr>
          <w:p>
            <w:pPr>
              <w:spacing w:after="0"/>
              <w:rPr>
                <w:sz w:val="14"/>
                <w:szCs w:val="14"/>
                <w:color w:val="auto"/>
              </w:rPr>
            </w:pP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 capital expenditures...</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730.6</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364.9</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135.0</w:t>
            </w:r>
          </w:p>
        </w:tc>
      </w:tr>
      <w:tr>
        <w:trPr>
          <w:trHeight w:val="170"/>
        </w:trPr>
        <w:tc>
          <w:tcPr>
            <w:tcW w:w="3080" w:type="dxa"/>
            <w:vAlign w:val="bottom"/>
          </w:tcPr>
          <w:p>
            <w:pPr>
              <w:spacing w:after="0"/>
              <w:rPr>
                <w:sz w:val="14"/>
                <w:szCs w:val="14"/>
                <w:color w:val="auto"/>
              </w:rPr>
            </w:pP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II-46</w:t>
      </w:r>
    </w:p>
    <w:p>
      <w:pPr>
        <w:sectPr>
          <w:pgSz w:w="11900" w:h="16838" w:orient="portrait"/>
          <w:cols w:equalWidth="0" w:num="1">
            <w:col w:w="10219"/>
          </w:cols>
          <w:pgMar w:left="240" w:top="622" w:right="1440" w:bottom="1440" w:gutter="0" w:footer="0" w:header="0"/>
        </w:sectPr>
      </w:pPr>
    </w:p>
    <w:bookmarkStart w:id="87" w:name="page88"/>
    <w:bookmarkEnd w:id="87"/>
    <w:p>
      <w:pPr>
        <w:jc w:val="center"/>
        <w:ind w:right="3179"/>
        <w:spacing w:after="0"/>
        <w:rPr>
          <w:sz w:val="20"/>
          <w:szCs w:val="20"/>
          <w:color w:val="auto"/>
        </w:rPr>
      </w:pPr>
      <w:r>
        <w:rPr>
          <w:rFonts w:ascii="Courier New" w:cs="Courier New" w:eastAsia="Courier New" w:hAnsi="Courier New"/>
          <w:sz w:val="15"/>
          <w:szCs w:val="15"/>
          <w:color w:val="auto"/>
        </w:rPr>
        <w:t>VIACOM INC. AND SUBSIDIARIES</w:t>
      </w: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(continued)</w:t>
      </w:r>
    </w:p>
    <w:tbl>
      <w:tblPr>
        <w:tblLayout w:type="fixed"/>
        <w:tblInd w:w="0" w:type="dxa"/>
        <w:tblCellMar>
          <w:top w:w="0" w:type="dxa"/>
          <w:left w:w="0" w:type="dxa"/>
          <w:bottom w:w="0" w:type="dxa"/>
          <w:right w:w="0" w:type="dxa"/>
        </w:tblCellMar>
      </w:tblPr>
      <w:tr>
        <w:trPr>
          <w:trHeight w:val="169"/>
        </w:trPr>
        <w:tc>
          <w:tcPr>
            <w:tcW w:w="6900" w:type="dxa"/>
            <w:vAlign w:val="bottom"/>
            <w:gridSpan w:val="5"/>
          </w:tcPr>
          <w:p>
            <w:pPr>
              <w:jc w:val="right"/>
              <w:ind w:right="847"/>
              <w:spacing w:after="0"/>
              <w:rPr>
                <w:sz w:val="20"/>
                <w:szCs w:val="20"/>
                <w:color w:val="auto"/>
              </w:rPr>
            </w:pPr>
            <w:r>
              <w:rPr>
                <w:rFonts w:ascii="Courier New" w:cs="Courier New" w:eastAsia="Courier New" w:hAnsi="Courier New"/>
                <w:sz w:val="15"/>
                <w:szCs w:val="15"/>
                <w:color w:val="auto"/>
              </w:rPr>
              <w:t>(Tabular dollars in millions, except per share amounts)</w:t>
            </w: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509"/>
        </w:trPr>
        <w:tc>
          <w:tcPr>
            <w:tcW w:w="4260" w:type="dxa"/>
            <w:vAlign w:val="bottom"/>
          </w:tcPr>
          <w:p>
            <w:pPr>
              <w:spacing w:after="0"/>
              <w:rPr>
                <w:sz w:val="20"/>
                <w:szCs w:val="20"/>
                <w:color w:val="auto"/>
              </w:rPr>
            </w:pPr>
            <w:r>
              <w:rPr>
                <w:rFonts w:ascii="Courier New" w:cs="Courier New" w:eastAsia="Courier New" w:hAnsi="Courier New"/>
                <w:sz w:val="15"/>
                <w:szCs w:val="15"/>
                <w:color w:val="auto"/>
              </w:rPr>
              <w:t>14) OPERATIONS BY GEOGRAPHIC AREA</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509"/>
        </w:trPr>
        <w:tc>
          <w:tcPr>
            <w:tcW w:w="4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40" w:type="dxa"/>
            <w:vAlign w:val="bottom"/>
            <w:gridSpan w:val="5"/>
          </w:tcPr>
          <w:p>
            <w:pPr>
              <w:jc w:val="right"/>
              <w:ind w:right="287"/>
              <w:spacing w:after="0"/>
              <w:rPr>
                <w:sz w:val="20"/>
                <w:szCs w:val="20"/>
                <w:color w:val="auto"/>
              </w:rPr>
            </w:pPr>
            <w:r>
              <w:rPr>
                <w:rFonts w:ascii="Courier New" w:cs="Courier New" w:eastAsia="Courier New" w:hAnsi="Courier New"/>
                <w:sz w:val="15"/>
                <w:szCs w:val="15"/>
                <w:color w:val="auto"/>
              </w:rPr>
              <w:t>YEAR ENDED OR AT DECEMBER 31,</w:t>
            </w:r>
          </w:p>
        </w:tc>
      </w:tr>
      <w:tr>
        <w:trPr>
          <w:trHeight w:val="170"/>
        </w:trPr>
        <w:tc>
          <w:tcPr>
            <w:tcW w:w="4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40" w:type="dxa"/>
            <w:vAlign w:val="bottom"/>
            <w:gridSpan w:val="5"/>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4"/>
              </w:rPr>
              <w:t>1995</w:t>
            </w:r>
          </w:p>
        </w:tc>
        <w:tc>
          <w:tcPr>
            <w:tcW w:w="320" w:type="dxa"/>
            <w:vAlign w:val="bottom"/>
          </w:tcPr>
          <w:p>
            <w:pPr>
              <w:spacing w:after="0"/>
              <w:rPr>
                <w:sz w:val="14"/>
                <w:szCs w:val="1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1994</w:t>
            </w:r>
          </w:p>
        </w:tc>
        <w:tc>
          <w:tcPr>
            <w:tcW w:w="3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4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4"/>
              </w:rPr>
              <w:t>----</w:t>
            </w:r>
          </w:p>
        </w:tc>
        <w:tc>
          <w:tcPr>
            <w:tcW w:w="320" w:type="dxa"/>
            <w:vAlign w:val="bottom"/>
          </w:tcPr>
          <w:p>
            <w:pPr>
              <w:spacing w:after="0"/>
              <w:rPr>
                <w:sz w:val="14"/>
                <w:szCs w:val="1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2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9"/>
        </w:trPr>
        <w:tc>
          <w:tcPr>
            <w:tcW w:w="4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United States...............................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9,526.2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6,002.6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1,857.5</w:t>
            </w:r>
          </w:p>
        </w:tc>
      </w:tr>
      <w:tr>
        <w:trPr>
          <w:trHeight w:val="170"/>
        </w:trPr>
        <w:tc>
          <w:tcPr>
            <w:tcW w:w="4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United States export sales..................</w:t>
            </w: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215.2</w:t>
            </w:r>
          </w:p>
        </w:tc>
        <w:tc>
          <w:tcPr>
            <w:tcW w:w="3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137.4</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25.2</w:t>
            </w:r>
          </w:p>
        </w:tc>
      </w:tr>
      <w:tr>
        <w:trPr>
          <w:trHeight w:val="170"/>
        </w:trPr>
        <w:tc>
          <w:tcPr>
            <w:tcW w:w="4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International...............................</w:t>
            </w: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1,947.3</w:t>
            </w:r>
          </w:p>
        </w:tc>
        <w:tc>
          <w:tcPr>
            <w:tcW w:w="3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1,223.2</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122.2</w:t>
            </w:r>
          </w:p>
        </w:tc>
      </w:tr>
      <w:tr>
        <w:trPr>
          <w:trHeight w:val="170"/>
        </w:trPr>
        <w:tc>
          <w:tcPr>
            <w:tcW w:w="4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w:t>
            </w:r>
          </w:p>
        </w:tc>
        <w:tc>
          <w:tcPr>
            <w:tcW w:w="3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4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Total revenues........................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11,688.7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7,363.2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2,004.9</w:t>
            </w:r>
          </w:p>
        </w:tc>
      </w:tr>
      <w:tr>
        <w:trPr>
          <w:trHeight w:val="170"/>
        </w:trPr>
        <w:tc>
          <w:tcPr>
            <w:tcW w:w="4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w:t>
            </w:r>
          </w:p>
        </w:tc>
        <w:tc>
          <w:tcPr>
            <w:tcW w:w="3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42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4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United States...............................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1,287.8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423.8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341.8</w:t>
            </w:r>
          </w:p>
        </w:tc>
      </w:tr>
      <w:tr>
        <w:trPr>
          <w:trHeight w:val="170"/>
        </w:trPr>
        <w:tc>
          <w:tcPr>
            <w:tcW w:w="4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International...............................</w:t>
            </w: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205.5</w:t>
            </w:r>
          </w:p>
        </w:tc>
        <w:tc>
          <w:tcPr>
            <w:tcW w:w="3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184.5</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43.2</w:t>
            </w:r>
          </w:p>
        </w:tc>
      </w:tr>
      <w:tr>
        <w:trPr>
          <w:trHeight w:val="170"/>
        </w:trPr>
        <w:tc>
          <w:tcPr>
            <w:tcW w:w="4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w:t>
            </w:r>
          </w:p>
        </w:tc>
        <w:tc>
          <w:tcPr>
            <w:tcW w:w="3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4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Total operating income................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1,493.3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608.3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385.0</w:t>
            </w:r>
          </w:p>
        </w:tc>
      </w:tr>
      <w:tr>
        <w:trPr>
          <w:trHeight w:val="170"/>
        </w:trPr>
        <w:tc>
          <w:tcPr>
            <w:tcW w:w="4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w:t>
            </w:r>
          </w:p>
        </w:tc>
        <w:tc>
          <w:tcPr>
            <w:tcW w:w="3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4260" w:type="dxa"/>
            <w:vAlign w:val="bottom"/>
          </w:tcPr>
          <w:p>
            <w:pPr>
              <w:spacing w:after="0"/>
              <w:rPr>
                <w:sz w:val="20"/>
                <w:szCs w:val="20"/>
                <w:color w:val="auto"/>
              </w:rPr>
            </w:pPr>
            <w:r>
              <w:rPr>
                <w:rFonts w:ascii="Courier New" w:cs="Courier New" w:eastAsia="Courier New" w:hAnsi="Courier New"/>
                <w:sz w:val="15"/>
                <w:szCs w:val="15"/>
                <w:color w:val="auto"/>
              </w:rPr>
              <w:t>Identifiable assets at year end:</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4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United States...............................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26,146.6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25,876.1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6,301.2</w:t>
            </w:r>
          </w:p>
        </w:tc>
      </w:tr>
      <w:tr>
        <w:trPr>
          <w:trHeight w:val="170"/>
        </w:trPr>
        <w:tc>
          <w:tcPr>
            <w:tcW w:w="4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Other.......................................</w:t>
            </w: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2,879.4</w:t>
            </w:r>
          </w:p>
        </w:tc>
        <w:tc>
          <w:tcPr>
            <w:tcW w:w="3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2,397.6</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115.7</w:t>
            </w:r>
          </w:p>
        </w:tc>
      </w:tr>
      <w:tr>
        <w:trPr>
          <w:trHeight w:val="170"/>
        </w:trPr>
        <w:tc>
          <w:tcPr>
            <w:tcW w:w="4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w:t>
            </w:r>
          </w:p>
        </w:tc>
        <w:tc>
          <w:tcPr>
            <w:tcW w:w="3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4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Total identifiable assets.............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29,026.0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28,273.7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6,416.9</w:t>
            </w:r>
          </w:p>
        </w:tc>
      </w:tr>
      <w:tr>
        <w:trPr>
          <w:trHeight w:val="170"/>
        </w:trPr>
        <w:tc>
          <w:tcPr>
            <w:tcW w:w="4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w:t>
            </w:r>
          </w:p>
        </w:tc>
        <w:tc>
          <w:tcPr>
            <w:tcW w:w="3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Intercompany transfers between geographic areas are not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II-47</w:t>
      </w:r>
    </w:p>
    <w:p>
      <w:pPr>
        <w:sectPr>
          <w:pgSz w:w="11900" w:h="16838" w:orient="portrait"/>
          <w:cols w:equalWidth="0" w:num="1">
            <w:col w:w="10219"/>
          </w:cols>
          <w:pgMar w:left="240" w:top="452" w:right="1440" w:bottom="1440" w:gutter="0" w:footer="0" w:header="0"/>
        </w:sectPr>
      </w:pPr>
    </w:p>
    <w:bookmarkStart w:id="88" w:name="page89"/>
    <w:bookmarkEnd w:id="88"/>
    <w:p>
      <w:pPr>
        <w:jc w:val="center"/>
        <w:ind w:right="3170"/>
        <w:spacing w:after="0"/>
        <w:rPr>
          <w:sz w:val="20"/>
          <w:szCs w:val="20"/>
          <w:color w:val="auto"/>
        </w:rPr>
      </w:pPr>
      <w:r>
        <w:rPr>
          <w:rFonts w:ascii="Courier New" w:cs="Courier New" w:eastAsia="Courier New" w:hAnsi="Courier New"/>
          <w:sz w:val="15"/>
          <w:szCs w:val="15"/>
          <w:color w:val="auto"/>
        </w:rPr>
        <w:t>VIACOM INC. AND SUBSIDIARIES</w:t>
      </w:r>
    </w:p>
    <w:p>
      <w:pPr>
        <w:ind w:left="1150"/>
        <w:spacing w:after="0"/>
        <w:rPr>
          <w:sz w:val="20"/>
          <w:szCs w:val="20"/>
          <w:color w:val="auto"/>
        </w:rPr>
      </w:pPr>
      <w:r>
        <w:rPr>
          <w:rFonts w:ascii="Courier New" w:cs="Courier New" w:eastAsia="Courier New" w:hAnsi="Courier New"/>
          <w:sz w:val="15"/>
          <w:szCs w:val="15"/>
          <w:color w:val="auto"/>
        </w:rPr>
        <w:t>NOTES TO CONSOLIDATED FINANCIAL STATEMENTS (continued)</w:t>
      </w:r>
    </w:p>
    <w:p>
      <w:pPr>
        <w:ind w:left="115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15) QUARTERLY FINANCIAL DATA (unaudited):</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Summarized quarterly financial data for 1995 and 1994 appears below:</w:t>
      </w:r>
    </w:p>
    <w:p>
      <w:pPr>
        <w:spacing w:after="0" w:line="33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FIRST</w:t>
            </w:r>
          </w:p>
        </w:tc>
        <w:tc>
          <w:tcPr>
            <w:tcW w:w="2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SECOND</w:t>
            </w:r>
          </w:p>
        </w:tc>
        <w:tc>
          <w:tcPr>
            <w:tcW w:w="18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THIRD</w:t>
            </w:r>
          </w:p>
        </w:tc>
        <w:tc>
          <w:tcPr>
            <w:tcW w:w="18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Courier New" w:cs="Courier New" w:eastAsia="Courier New" w:hAnsi="Courier New"/>
                <w:sz w:val="15"/>
                <w:szCs w:val="15"/>
                <w:color w:val="auto"/>
              </w:rPr>
              <w:t>FOURTH</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8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QUARTER</w:t>
            </w:r>
          </w:p>
        </w:tc>
        <w:tc>
          <w:tcPr>
            <w:tcW w:w="2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QUARTER</w:t>
            </w:r>
          </w:p>
        </w:tc>
        <w:tc>
          <w:tcPr>
            <w:tcW w:w="18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1"/>
              </w:rPr>
              <w:t>QUARTER</w:t>
            </w:r>
          </w:p>
        </w:tc>
        <w:tc>
          <w:tcPr>
            <w:tcW w:w="18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Courier New" w:cs="Courier New" w:eastAsia="Courier New" w:hAnsi="Courier New"/>
                <w:sz w:val="15"/>
                <w:szCs w:val="15"/>
                <w:color w:val="auto"/>
              </w:rPr>
              <w:t>QUARTER</w:t>
            </w:r>
          </w:p>
        </w:tc>
        <w:tc>
          <w:tcPr>
            <w:tcW w:w="9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5"/>
              </w:rPr>
              <w:t>TOTAL YEAR</w:t>
            </w:r>
          </w:p>
        </w:tc>
      </w:tr>
      <w:tr>
        <w:trPr>
          <w:trHeight w:val="170"/>
        </w:trPr>
        <w:tc>
          <w:tcPr>
            <w:tcW w:w="8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1"/>
              </w:rPr>
              <w:t>-------</w:t>
            </w:r>
          </w:p>
        </w:tc>
        <w:tc>
          <w:tcPr>
            <w:tcW w:w="18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2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9"/>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Revenue (1)...........................</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2,695.6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2,865.2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3,062.4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3,065.5</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11,688.7</w:t>
            </w:r>
          </w:p>
        </w:tc>
      </w:tr>
      <w:tr>
        <w:trPr>
          <w:trHeight w:val="170"/>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 (1)..................</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335.1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388.2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489.6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280.4</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1,493.3</w:t>
            </w:r>
          </w:p>
        </w:tc>
      </w:tr>
      <w:tr>
        <w:trPr>
          <w:trHeight w:val="170"/>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w w:val="98"/>
              </w:rPr>
              <w:t>Net earnings from continuing operations</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(2)...................................</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63.6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4.5</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214.9</w:t>
            </w:r>
          </w:p>
        </w:tc>
      </w:tr>
      <w:tr>
        <w:trPr>
          <w:trHeight w:val="170"/>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Net earnings (2)......................</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4.5</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222.5</w:t>
            </w:r>
          </w:p>
        </w:tc>
      </w:tr>
      <w:tr>
        <w:trPr>
          <w:trHeight w:val="170"/>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Net earnings attributable to common</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stock.................................</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(10.5)</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162.5</w:t>
            </w:r>
          </w:p>
        </w:tc>
      </w:tr>
      <w:tr>
        <w:trPr>
          <w:trHeight w:val="170"/>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Primary and fully diluted net earnings</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per common share:</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34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Net earnings from continuing</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34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operations........................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(.03)</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0"/>
        </w:trPr>
        <w:tc>
          <w:tcPr>
            <w:tcW w:w="34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Net earnings........................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(.03)</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70"/>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Weighted average number of common</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shares:</w:t>
            </w:r>
          </w:p>
        </w:tc>
        <w:tc>
          <w:tcPr>
            <w:tcW w:w="2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Primary</w:t>
            </w:r>
          </w:p>
        </w:tc>
        <w:tc>
          <w:tcPr>
            <w:tcW w:w="26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(3).........................</w:t>
            </w:r>
          </w:p>
        </w:tc>
        <w:tc>
          <w:tcPr>
            <w:tcW w:w="16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384.9</w:t>
            </w:r>
          </w:p>
        </w:tc>
        <w:tc>
          <w:tcPr>
            <w:tcW w:w="2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386.1</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376.1</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369.2</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375.1</w:t>
            </w:r>
          </w:p>
        </w:tc>
      </w:tr>
      <w:tr>
        <w:trPr>
          <w:trHeight w:val="170"/>
        </w:trPr>
        <w:tc>
          <w:tcPr>
            <w:tcW w:w="34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Fully diluted (3)...................</w:t>
            </w:r>
          </w:p>
        </w:tc>
        <w:tc>
          <w:tcPr>
            <w:tcW w:w="16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385.3</w:t>
            </w:r>
          </w:p>
        </w:tc>
        <w:tc>
          <w:tcPr>
            <w:tcW w:w="2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386.8</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376.4</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369.2</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375.5</w:t>
            </w: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2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Revenue (4) ..........................</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837.8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1,612.6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2,135.4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2,777.4</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7,363.2</w:t>
            </w:r>
          </w:p>
        </w:tc>
      </w:tr>
      <w:tr>
        <w:trPr>
          <w:trHeight w:val="170"/>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 (4)..................</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(306.7)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185.8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422.8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306.4</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608.3</w:t>
            </w:r>
          </w:p>
        </w:tc>
      </w:tr>
      <w:tr>
        <w:trPr>
          <w:trHeight w:val="170"/>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Net earnings (loss) from continuing</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operations before extraordinary losses</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and cumulative effect of change</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34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 accounting principle (4) (5).....</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(435.5)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265.6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335.1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(34.7)</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130.5</w:t>
            </w:r>
          </w:p>
        </w:tc>
      </w:tr>
      <w:tr>
        <w:trPr>
          <w:trHeight w:val="170"/>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Net earnings (loss) (4) (5)...........</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(431.6)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244.1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327.3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(50.2)</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89.6</w:t>
            </w:r>
          </w:p>
        </w:tc>
      </w:tr>
      <w:tr>
        <w:trPr>
          <w:trHeight w:val="170"/>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Net earnings (loss) attributable to</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(4) (5)..................</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(454.1)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221.6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312.3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(65.2)</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14.6</w:t>
            </w:r>
          </w:p>
        </w:tc>
      </w:tr>
    </w:tbl>
    <w:p>
      <w:pPr>
        <w:spacing w:after="0" w:line="200" w:lineRule="exact"/>
        <w:rPr>
          <w:sz w:val="20"/>
          <w:szCs w:val="20"/>
          <w:color w:val="auto"/>
        </w:rPr>
      </w:pPr>
    </w:p>
    <w:p>
      <w:pPr>
        <w:sectPr>
          <w:pgSz w:w="11900" w:h="16838" w:orient="portrait"/>
          <w:cols w:equalWidth="0" w:num="1">
            <w:col w:w="10229"/>
          </w:cols>
          <w:pgMar w:left="230" w:top="452" w:right="1440" w:bottom="0" w:gutter="0" w:footer="0" w:header="0"/>
        </w:sectPr>
      </w:pP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Net earnings (loss) per common share:</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Primary:</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3520" w:type="dxa"/>
            <w:vAlign w:val="bottom"/>
          </w:tcPr>
          <w:p>
            <w:pPr>
              <w:ind w:left="160"/>
              <w:spacing w:after="0"/>
              <w:rPr>
                <w:sz w:val="20"/>
                <w:szCs w:val="20"/>
                <w:color w:val="auto"/>
              </w:rPr>
            </w:pPr>
            <w:r>
              <w:rPr>
                <w:rFonts w:ascii="Courier New" w:cs="Courier New" w:eastAsia="Courier New" w:hAnsi="Courier New"/>
                <w:sz w:val="15"/>
                <w:szCs w:val="15"/>
                <w:color w:val="auto"/>
              </w:rPr>
              <w:t>Net earnings (loss) from continuing</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3520" w:type="dxa"/>
            <w:vAlign w:val="bottom"/>
          </w:tcPr>
          <w:p>
            <w:pPr>
              <w:ind w:left="160"/>
              <w:spacing w:after="0"/>
              <w:rPr>
                <w:sz w:val="20"/>
                <w:szCs w:val="20"/>
                <w:color w:val="auto"/>
              </w:rPr>
            </w:pPr>
            <w:r>
              <w:rPr>
                <w:rFonts w:ascii="Courier New" w:cs="Courier New" w:eastAsia="Courier New" w:hAnsi="Courier New"/>
                <w:sz w:val="15"/>
                <w:szCs w:val="15"/>
                <w:color w:val="auto"/>
              </w:rPr>
              <w:t>operations before extraordinary</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3520" w:type="dxa"/>
            <w:vAlign w:val="bottom"/>
          </w:tcPr>
          <w:p>
            <w:pPr>
              <w:ind w:left="160"/>
              <w:spacing w:after="0"/>
              <w:rPr>
                <w:sz w:val="20"/>
                <w:szCs w:val="20"/>
                <w:color w:val="auto"/>
              </w:rPr>
            </w:pPr>
            <w:r>
              <w:rPr>
                <w:rFonts w:ascii="Courier New" w:cs="Courier New" w:eastAsia="Courier New" w:hAnsi="Courier New"/>
                <w:sz w:val="15"/>
                <w:szCs w:val="15"/>
                <w:color w:val="auto"/>
                <w:w w:val="97"/>
              </w:rPr>
              <w:t>losses and cumulative effect of change</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3520" w:type="dxa"/>
            <w:vAlign w:val="bottom"/>
          </w:tcPr>
          <w:p>
            <w:pPr>
              <w:ind w:left="340"/>
              <w:spacing w:after="0"/>
              <w:rPr>
                <w:sz w:val="20"/>
                <w:szCs w:val="20"/>
                <w:color w:val="auto"/>
              </w:rPr>
            </w:pPr>
            <w:r>
              <w:rPr>
                <w:rFonts w:ascii="Courier New" w:cs="Courier New" w:eastAsia="Courier New" w:hAnsi="Courier New"/>
                <w:sz w:val="15"/>
                <w:szCs w:val="15"/>
                <w:color w:val="auto"/>
              </w:rPr>
              <w:t>in accounting principle...........</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ind w:left="120"/>
              <w:spacing w:after="0"/>
              <w:rPr>
                <w:sz w:val="20"/>
                <w:szCs w:val="20"/>
                <w:color w:val="auto"/>
              </w:rPr>
            </w:pPr>
            <w:r>
              <w:rPr>
                <w:rFonts w:ascii="Courier New" w:cs="Courier New" w:eastAsia="Courier New" w:hAnsi="Courier New"/>
                <w:sz w:val="15"/>
                <w:szCs w:val="15"/>
                <w:color w:val="auto"/>
                <w:w w:val="96"/>
              </w:rPr>
              <w:t>(3.62)</w:t>
            </w:r>
          </w:p>
        </w:tc>
      </w:tr>
      <w:tr>
        <w:trPr>
          <w:trHeight w:val="170"/>
        </w:trPr>
        <w:tc>
          <w:tcPr>
            <w:tcW w:w="3520" w:type="dxa"/>
            <w:vAlign w:val="bottom"/>
          </w:tcPr>
          <w:p>
            <w:pPr>
              <w:ind w:left="160"/>
              <w:spacing w:after="0"/>
              <w:rPr>
                <w:sz w:val="20"/>
                <w:szCs w:val="20"/>
                <w:color w:val="auto"/>
              </w:rPr>
            </w:pPr>
            <w:r>
              <w:rPr>
                <w:rFonts w:ascii="Courier New" w:cs="Courier New" w:eastAsia="Courier New" w:hAnsi="Courier New"/>
                <w:sz w:val="15"/>
                <w:szCs w:val="15"/>
                <w:color w:val="auto"/>
              </w:rPr>
              <w:t>Net earnings (loss).................</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ind w:left="120"/>
              <w:spacing w:after="0"/>
              <w:rPr>
                <w:sz w:val="20"/>
                <w:szCs w:val="20"/>
                <w:color w:val="auto"/>
              </w:rPr>
            </w:pPr>
            <w:r>
              <w:rPr>
                <w:rFonts w:ascii="Courier New" w:cs="Courier New" w:eastAsia="Courier New" w:hAnsi="Courier New"/>
                <w:sz w:val="15"/>
                <w:szCs w:val="15"/>
                <w:color w:val="auto"/>
                <w:w w:val="96"/>
              </w:rPr>
              <w:t>(3.59)</w:t>
            </w:r>
          </w:p>
        </w:tc>
      </w:tr>
      <w:tr>
        <w:trPr>
          <w:trHeight w:val="170"/>
        </w:trPr>
        <w:tc>
          <w:tcPr>
            <w:tcW w:w="3520" w:type="dxa"/>
            <w:vAlign w:val="bottom"/>
          </w:tcPr>
          <w:p>
            <w:pPr>
              <w:ind w:left="160"/>
              <w:spacing w:after="0"/>
              <w:rPr>
                <w:sz w:val="20"/>
                <w:szCs w:val="20"/>
                <w:color w:val="auto"/>
              </w:rPr>
            </w:pPr>
            <w:r>
              <w:rPr>
                <w:rFonts w:ascii="Courier New" w:cs="Courier New" w:eastAsia="Courier New" w:hAnsi="Courier New"/>
                <w:sz w:val="15"/>
                <w:szCs w:val="15"/>
                <w:color w:val="auto"/>
              </w:rPr>
              <w:t>Weighted average number of common</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3520" w:type="dxa"/>
            <w:vAlign w:val="bottom"/>
          </w:tcPr>
          <w:p>
            <w:pPr>
              <w:ind w:left="340"/>
              <w:spacing w:after="0"/>
              <w:rPr>
                <w:sz w:val="20"/>
                <w:szCs w:val="20"/>
                <w:color w:val="auto"/>
              </w:rPr>
            </w:pPr>
            <w:r>
              <w:rPr>
                <w:rFonts w:ascii="Courier New" w:cs="Courier New" w:eastAsia="Courier New" w:hAnsi="Courier New"/>
                <w:sz w:val="15"/>
                <w:szCs w:val="15"/>
                <w:color w:val="auto"/>
                <w:w w:val="97"/>
              </w:rPr>
              <w:t>shares..............................</w:t>
            </w:r>
          </w:p>
        </w:tc>
        <w:tc>
          <w:tcPr>
            <w:tcW w:w="22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Courier New" w:cs="Courier New" w:eastAsia="Courier New" w:hAnsi="Courier New"/>
                <w:sz w:val="15"/>
                <w:szCs w:val="15"/>
                <w:color w:val="auto"/>
              </w:rPr>
              <w:t>126.4</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Fully diluted:</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3520" w:type="dxa"/>
            <w:vAlign w:val="bottom"/>
          </w:tcPr>
          <w:p>
            <w:pPr>
              <w:ind w:left="160"/>
              <w:spacing w:after="0"/>
              <w:rPr>
                <w:sz w:val="20"/>
                <w:szCs w:val="20"/>
                <w:color w:val="auto"/>
              </w:rPr>
            </w:pPr>
            <w:r>
              <w:rPr>
                <w:rFonts w:ascii="Courier New" w:cs="Courier New" w:eastAsia="Courier New" w:hAnsi="Courier New"/>
                <w:sz w:val="15"/>
                <w:szCs w:val="15"/>
                <w:color w:val="auto"/>
              </w:rPr>
              <w:t>Net earnings (loss) from continuing</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37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operations before extraordinary losses</w:t>
            </w:r>
          </w:p>
        </w:tc>
        <w:tc>
          <w:tcPr>
            <w:tcW w:w="660" w:type="dxa"/>
            <w:vAlign w:val="bottom"/>
          </w:tcPr>
          <w:p>
            <w:pPr>
              <w:spacing w:after="0"/>
              <w:rPr>
                <w:sz w:val="14"/>
                <w:szCs w:val="14"/>
                <w:color w:val="auto"/>
              </w:rPr>
            </w:pPr>
          </w:p>
        </w:tc>
      </w:tr>
      <w:tr>
        <w:trPr>
          <w:trHeight w:val="170"/>
        </w:trPr>
        <w:tc>
          <w:tcPr>
            <w:tcW w:w="3520" w:type="dxa"/>
            <w:vAlign w:val="bottom"/>
          </w:tcPr>
          <w:p>
            <w:pPr>
              <w:ind w:left="260"/>
              <w:spacing w:after="0"/>
              <w:rPr>
                <w:sz w:val="20"/>
                <w:szCs w:val="20"/>
                <w:color w:val="auto"/>
              </w:rPr>
            </w:pPr>
            <w:r>
              <w:rPr>
                <w:rFonts w:ascii="Courier New" w:cs="Courier New" w:eastAsia="Courier New" w:hAnsi="Courier New"/>
                <w:sz w:val="15"/>
                <w:szCs w:val="15"/>
                <w:color w:val="auto"/>
              </w:rPr>
              <w:t>and cumulative effect of change</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3520" w:type="dxa"/>
            <w:vAlign w:val="bottom"/>
          </w:tcPr>
          <w:p>
            <w:pPr>
              <w:ind w:left="260"/>
              <w:spacing w:after="0"/>
              <w:rPr>
                <w:sz w:val="20"/>
                <w:szCs w:val="20"/>
                <w:color w:val="auto"/>
              </w:rPr>
            </w:pPr>
            <w:r>
              <w:rPr>
                <w:rFonts w:ascii="Courier New" w:cs="Courier New" w:eastAsia="Courier New" w:hAnsi="Courier New"/>
                <w:sz w:val="15"/>
                <w:szCs w:val="15"/>
                <w:color w:val="auto"/>
              </w:rPr>
              <w:t>in accounting</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3520" w:type="dxa"/>
            <w:vAlign w:val="bottom"/>
          </w:tcPr>
          <w:p>
            <w:pPr>
              <w:ind w:left="260"/>
              <w:spacing w:after="0"/>
              <w:rPr>
                <w:sz w:val="20"/>
                <w:szCs w:val="20"/>
                <w:color w:val="auto"/>
              </w:rPr>
            </w:pPr>
            <w:r>
              <w:rPr>
                <w:rFonts w:ascii="Courier New" w:cs="Courier New" w:eastAsia="Courier New" w:hAnsi="Courier New"/>
                <w:sz w:val="15"/>
                <w:szCs w:val="15"/>
                <w:color w:val="auto"/>
              </w:rPr>
              <w:t>principle (6)......................</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ind w:left="120"/>
              <w:spacing w:after="0"/>
              <w:rPr>
                <w:sz w:val="20"/>
                <w:szCs w:val="20"/>
                <w:color w:val="auto"/>
              </w:rPr>
            </w:pPr>
            <w:r>
              <w:rPr>
                <w:rFonts w:ascii="Courier New" w:cs="Courier New" w:eastAsia="Courier New" w:hAnsi="Courier New"/>
                <w:sz w:val="15"/>
                <w:szCs w:val="15"/>
                <w:color w:val="auto"/>
                <w:w w:val="96"/>
              </w:rPr>
              <w:t>(3.62)</w:t>
            </w:r>
          </w:p>
        </w:tc>
      </w:tr>
      <w:tr>
        <w:trPr>
          <w:trHeight w:val="170"/>
        </w:trPr>
        <w:tc>
          <w:tcPr>
            <w:tcW w:w="3520" w:type="dxa"/>
            <w:vAlign w:val="bottom"/>
          </w:tcPr>
          <w:p>
            <w:pPr>
              <w:ind w:left="160"/>
              <w:spacing w:after="0"/>
              <w:rPr>
                <w:sz w:val="20"/>
                <w:szCs w:val="20"/>
                <w:color w:val="auto"/>
              </w:rPr>
            </w:pPr>
            <w:r>
              <w:rPr>
                <w:rFonts w:ascii="Courier New" w:cs="Courier New" w:eastAsia="Courier New" w:hAnsi="Courier New"/>
                <w:sz w:val="15"/>
                <w:szCs w:val="15"/>
                <w:color w:val="auto"/>
              </w:rPr>
              <w:t>Net earnings (loss) (6).............</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ind w:left="120"/>
              <w:spacing w:after="0"/>
              <w:rPr>
                <w:sz w:val="20"/>
                <w:szCs w:val="20"/>
                <w:color w:val="auto"/>
              </w:rPr>
            </w:pPr>
            <w:r>
              <w:rPr>
                <w:rFonts w:ascii="Courier New" w:cs="Courier New" w:eastAsia="Courier New" w:hAnsi="Courier New"/>
                <w:sz w:val="15"/>
                <w:szCs w:val="15"/>
                <w:color w:val="auto"/>
                <w:w w:val="96"/>
              </w:rPr>
              <w:t>(3.59)</w:t>
            </w:r>
          </w:p>
        </w:tc>
      </w:tr>
      <w:tr>
        <w:trPr>
          <w:trHeight w:val="170"/>
        </w:trPr>
        <w:tc>
          <w:tcPr>
            <w:tcW w:w="3520" w:type="dxa"/>
            <w:vAlign w:val="bottom"/>
          </w:tcPr>
          <w:p>
            <w:pPr>
              <w:ind w:left="160"/>
              <w:spacing w:after="0"/>
              <w:rPr>
                <w:sz w:val="20"/>
                <w:szCs w:val="20"/>
                <w:color w:val="auto"/>
              </w:rPr>
            </w:pPr>
            <w:r>
              <w:rPr>
                <w:rFonts w:ascii="Courier New" w:cs="Courier New" w:eastAsia="Courier New" w:hAnsi="Courier New"/>
                <w:sz w:val="15"/>
                <w:szCs w:val="15"/>
                <w:color w:val="auto"/>
              </w:rPr>
              <w:t>Weighted average number of common</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3520" w:type="dxa"/>
            <w:vAlign w:val="bottom"/>
          </w:tcPr>
          <w:p>
            <w:pPr>
              <w:ind w:left="340"/>
              <w:spacing w:after="0"/>
              <w:rPr>
                <w:sz w:val="20"/>
                <w:szCs w:val="20"/>
                <w:color w:val="auto"/>
              </w:rPr>
            </w:pPr>
            <w:r>
              <w:rPr>
                <w:rFonts w:ascii="Courier New" w:cs="Courier New" w:eastAsia="Courier New" w:hAnsi="Courier New"/>
                <w:sz w:val="15"/>
                <w:szCs w:val="15"/>
                <w:color w:val="auto"/>
              </w:rPr>
              <w:t>shares............................</w:t>
            </w:r>
          </w:p>
        </w:tc>
        <w:tc>
          <w:tcPr>
            <w:tcW w:w="22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Courier New" w:cs="Courier New" w:eastAsia="Courier New" w:hAnsi="Courier New"/>
                <w:sz w:val="15"/>
                <w:szCs w:val="15"/>
                <w:color w:val="auto"/>
              </w:rPr>
              <w:t>126.4</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1.69</w:t>
            </w:r>
          </w:p>
        </w:tc>
        <w:tc>
          <w:tcPr>
            <w:tcW w:w="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1.45</w:t>
            </w:r>
          </w:p>
        </w:tc>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0"/>
        </w:trPr>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1.55</w:t>
            </w:r>
          </w:p>
        </w:tc>
        <w:tc>
          <w:tcPr>
            <w:tcW w:w="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1.41</w:t>
            </w:r>
          </w:p>
        </w:tc>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r>
      <w:tr>
        <w:trPr>
          <w:trHeight w:val="339"/>
        </w:trPr>
        <w:tc>
          <w:tcPr>
            <w:tcW w:w="220" w:type="dxa"/>
            <w:vAlign w:val="bottom"/>
          </w:tcPr>
          <w:p>
            <w:pPr>
              <w:spacing w:after="0"/>
              <w:rPr>
                <w:sz w:val="24"/>
                <w:szCs w:val="24"/>
                <w:color w:val="auto"/>
              </w:rPr>
            </w:pP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143.5</w:t>
            </w:r>
          </w:p>
        </w:tc>
        <w:tc>
          <w:tcPr>
            <w:tcW w:w="300" w:type="dxa"/>
            <w:vAlign w:val="bottom"/>
          </w:tcPr>
          <w:p>
            <w:pPr>
              <w:spacing w:after="0"/>
              <w:rPr>
                <w:sz w:val="24"/>
                <w:szCs w:val="2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221.1</w:t>
            </w:r>
          </w:p>
        </w:tc>
        <w:tc>
          <w:tcPr>
            <w:tcW w:w="320" w:type="dxa"/>
            <w:vAlign w:val="bottom"/>
          </w:tcPr>
          <w:p>
            <w:pPr>
              <w:spacing w:after="0"/>
              <w:rPr>
                <w:sz w:val="24"/>
                <w:szCs w:val="24"/>
                <w:color w:val="auto"/>
              </w:rPr>
            </w:pP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358.2</w:t>
            </w: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220.0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1.57</w:t>
            </w:r>
          </w:p>
        </w:tc>
        <w:tc>
          <w:tcPr>
            <w:tcW w:w="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1.36</w:t>
            </w:r>
          </w:p>
        </w:tc>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0"/>
        </w:trPr>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1.44</w:t>
            </w:r>
          </w:p>
        </w:tc>
        <w:tc>
          <w:tcPr>
            <w:tcW w:w="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1.32</w:t>
            </w:r>
          </w:p>
        </w:tc>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r>
      <w:tr>
        <w:trPr>
          <w:trHeight w:val="339"/>
        </w:trPr>
        <w:tc>
          <w:tcPr>
            <w:tcW w:w="220" w:type="dxa"/>
            <w:vAlign w:val="bottom"/>
          </w:tcPr>
          <w:p>
            <w:pPr>
              <w:spacing w:after="0"/>
              <w:rPr>
                <w:sz w:val="24"/>
                <w:szCs w:val="24"/>
                <w:color w:val="auto"/>
              </w:rPr>
            </w:pP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169.7</w:t>
            </w:r>
          </w:p>
        </w:tc>
        <w:tc>
          <w:tcPr>
            <w:tcW w:w="300" w:type="dxa"/>
            <w:vAlign w:val="bottom"/>
          </w:tcPr>
          <w:p>
            <w:pPr>
              <w:spacing w:after="0"/>
              <w:rPr>
                <w:sz w:val="24"/>
                <w:szCs w:val="2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247.2</w:t>
            </w:r>
          </w:p>
        </w:tc>
        <w:tc>
          <w:tcPr>
            <w:tcW w:w="320" w:type="dxa"/>
            <w:vAlign w:val="bottom"/>
          </w:tcPr>
          <w:p>
            <w:pPr>
              <w:spacing w:after="0"/>
              <w:rPr>
                <w:sz w:val="24"/>
                <w:szCs w:val="24"/>
                <w:color w:val="auto"/>
              </w:rPr>
            </w:pP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358.2</w:t>
            </w: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220.4</w:t>
            </w:r>
          </w:p>
        </w:tc>
      </w:tr>
    </w:tbl>
    <w:p>
      <w:pPr>
        <w:spacing w:after="0" w:line="200" w:lineRule="exact"/>
        <w:rPr>
          <w:sz w:val="20"/>
          <w:szCs w:val="20"/>
          <w:color w:val="auto"/>
        </w:rPr>
      </w:pPr>
    </w:p>
    <w:p>
      <w:pPr>
        <w:sectPr>
          <w:pgSz w:w="11900" w:h="16838" w:orient="portrait"/>
          <w:cols w:equalWidth="0" w:num="2">
            <w:col w:w="4410" w:space="180"/>
            <w:col w:w="5639"/>
          </w:cols>
          <w:pgMar w:left="230" w:top="452" w:right="1440" w:bottom="0" w:gutter="0" w:footer="0" w:header="0"/>
          <w:type w:val="continuous"/>
        </w:sectPr>
      </w:pPr>
    </w:p>
    <w:p>
      <w:pPr>
        <w:spacing w:after="0" w:line="144"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The timing of the Company's results of operations is affected by the seasonality of the educational publishing business, the typical timing of major motion picture releases, the summer operation of the theme parks, the positive effect of the holiday season on advertising and video store revenues, and the impact of the broadcasting television season on television production.</w:t>
      </w:r>
    </w:p>
    <w:p>
      <w:pPr>
        <w:spacing w:after="0" w:line="178" w:lineRule="exact"/>
        <w:rPr>
          <w:sz w:val="20"/>
          <w:szCs w:val="20"/>
          <w:color w:val="auto"/>
        </w:rPr>
      </w:pPr>
    </w:p>
    <w:p>
      <w:pPr>
        <w:jc w:val="both"/>
        <w:ind w:left="450" w:right="3539" w:hanging="450"/>
        <w:spacing w:after="0" w:line="237" w:lineRule="auto"/>
        <w:tabs>
          <w:tab w:leader="none" w:pos="4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quarter of 1995 included $250.0 million of revenues and $68.0 million of operating income resulting from the conforming of accounting principles pertaining to the television programming libraries of Viacom Entertainment, Spelling and Paramount.</w:t>
      </w:r>
    </w:p>
    <w:p>
      <w:pPr>
        <w:spacing w:after="0" w:line="6" w:lineRule="exact"/>
        <w:rPr>
          <w:rFonts w:ascii="Courier New" w:cs="Courier New" w:eastAsia="Courier New" w:hAnsi="Courier New"/>
          <w:sz w:val="15"/>
          <w:szCs w:val="15"/>
          <w:color w:val="auto"/>
        </w:rPr>
      </w:pPr>
    </w:p>
    <w:p>
      <w:pPr>
        <w:ind w:left="450" w:right="3699" w:hanging="450"/>
        <w:spacing w:after="0" w:line="235" w:lineRule="auto"/>
        <w:tabs>
          <w:tab w:leader="none" w:pos="4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fourth quarter of 1995 included an after-tax equity loss of $31.5 million related to Discovery Zone.</w:t>
      </w:r>
    </w:p>
    <w:p>
      <w:pPr>
        <w:spacing w:after="0" w:line="6" w:lineRule="exact"/>
        <w:rPr>
          <w:rFonts w:ascii="Courier New" w:cs="Courier New" w:eastAsia="Courier New" w:hAnsi="Courier New"/>
          <w:sz w:val="15"/>
          <w:szCs w:val="15"/>
          <w:color w:val="auto"/>
        </w:rPr>
      </w:pPr>
    </w:p>
    <w:p>
      <w:pPr>
        <w:ind w:left="450" w:right="3539" w:hanging="450"/>
        <w:spacing w:after="0" w:line="237" w:lineRule="auto"/>
        <w:tabs>
          <w:tab w:leader="none" w:pos="4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and second quarter of 1995 includes shares of common stock potential issuance under CVRs. The CVRs were settled in cash on July 7, 1995 (See Note 2.)</w:t>
      </w:r>
    </w:p>
    <w:p>
      <w:pPr>
        <w:spacing w:after="0" w:line="5" w:lineRule="exact"/>
        <w:rPr>
          <w:rFonts w:ascii="Courier New" w:cs="Courier New" w:eastAsia="Courier New" w:hAnsi="Courier New"/>
          <w:sz w:val="15"/>
          <w:szCs w:val="15"/>
          <w:color w:val="auto"/>
        </w:rPr>
      </w:pPr>
    </w:p>
    <w:p>
      <w:pPr>
        <w:ind w:left="450" w:right="3439" w:hanging="450"/>
        <w:spacing w:after="0" w:line="237" w:lineRule="auto"/>
        <w:tabs>
          <w:tab w:leader="none" w:pos="4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quarter of 1994 reflects Paramount Communications' results of operations commencing March 1, 1994 and merger-related charges of $332.1 million. The fourth quarter of 1994 reflects Blockbuster results of operations commencing October 1, 1994. (See Notes 2 .)</w:t>
      </w:r>
    </w:p>
    <w:p>
      <w:pPr>
        <w:spacing w:after="0" w:line="6" w:lineRule="exact"/>
        <w:rPr>
          <w:rFonts w:ascii="Courier New" w:cs="Courier New" w:eastAsia="Courier New" w:hAnsi="Courier New"/>
          <w:sz w:val="15"/>
          <w:szCs w:val="15"/>
          <w:color w:val="auto"/>
        </w:rPr>
      </w:pPr>
    </w:p>
    <w:p>
      <w:pPr>
        <w:jc w:val="both"/>
        <w:ind w:left="450" w:right="3539" w:hanging="450"/>
        <w:spacing w:after="0" w:line="237" w:lineRule="auto"/>
        <w:tabs>
          <w:tab w:leader="none" w:pos="4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second quarter of 1994 reflects the pre-tax gain on the sale of the one-third partnership interest in Lifetime of $267.4 million. (See Note 16.)</w:t>
      </w:r>
    </w:p>
    <w:p>
      <w:pPr>
        <w:spacing w:after="0" w:line="5" w:lineRule="exact"/>
        <w:rPr>
          <w:rFonts w:ascii="Courier New" w:cs="Courier New" w:eastAsia="Courier New" w:hAnsi="Courier New"/>
          <w:sz w:val="15"/>
          <w:szCs w:val="15"/>
          <w:color w:val="auto"/>
        </w:rPr>
      </w:pPr>
    </w:p>
    <w:p>
      <w:pPr>
        <w:ind w:left="450" w:right="3539" w:hanging="450"/>
        <w:spacing w:after="0" w:line="235" w:lineRule="auto"/>
        <w:tabs>
          <w:tab w:leader="none" w:pos="4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second and third quarter of 1994 reflect the effects of the assumed conversion of the Preferred Stock.</w:t>
      </w:r>
    </w:p>
    <w:p>
      <w:pPr>
        <w:spacing w:after="0" w:line="200" w:lineRule="exact"/>
        <w:rPr>
          <w:sz w:val="20"/>
          <w:szCs w:val="20"/>
          <w:color w:val="auto"/>
        </w:rPr>
      </w:pPr>
    </w:p>
    <w:p>
      <w:pPr>
        <w:spacing w:after="0" w:line="309"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II-48</w:t>
      </w:r>
    </w:p>
    <w:p>
      <w:pPr>
        <w:sectPr>
          <w:pgSz w:w="11900" w:h="16838" w:orient="portrait"/>
          <w:cols w:equalWidth="0" w:num="1">
            <w:col w:w="10229"/>
          </w:cols>
          <w:pgMar w:left="230" w:top="452" w:right="1440" w:bottom="0" w:gutter="0" w:footer="0" w:header="0"/>
          <w:type w:val="continuous"/>
        </w:sectPr>
      </w:pPr>
    </w:p>
    <w:bookmarkStart w:id="89" w:name="page90"/>
    <w:bookmarkEnd w:id="89"/>
    <w:p>
      <w:pPr>
        <w:jc w:val="center"/>
        <w:ind w:right="3179"/>
        <w:spacing w:after="0"/>
        <w:rPr>
          <w:sz w:val="20"/>
          <w:szCs w:val="20"/>
          <w:color w:val="auto"/>
        </w:rPr>
      </w:pPr>
      <w:r>
        <w:rPr>
          <w:rFonts w:ascii="Courier New" w:cs="Courier New" w:eastAsia="Courier New" w:hAnsi="Courier New"/>
          <w:sz w:val="15"/>
          <w:szCs w:val="15"/>
          <w:color w:val="auto"/>
        </w:rPr>
        <w:t>VIACOM INC. AND SUBSIDIARIES</w:t>
      </w: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OTHER ITEMS, NET</w:t>
      </w:r>
    </w:p>
    <w:p>
      <w:pPr>
        <w:spacing w:after="0" w:line="344"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For 1995, "Other items, net" primarily reflects a gain of $26.9 million on the sale of marketable securities.</w:t>
      </w:r>
    </w:p>
    <w:p>
      <w:pPr>
        <w:spacing w:after="0" w:line="17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On April 4, 1994, Viacom International sold its one-third partnership interest in Lifetime for approximately $317.6 million, which resulted in a pre-tax gain of approximately $267.4 million in the second quarter of 1994. Proceeds from the sale were used to reduce outstanding debt of Viacom International.</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As part of the settlement of the Time Warner antitrust lawsuit, the Company sold all the stock of Viacom Cablevision of Wisconsin, Inc. to Warner Communications Inc. ("Warner"). This transaction was effective on January 1, 1993. As consideration for the stock, Warner paid the sum of $46 million plus repayment of debt under the Credit Agreement in the amount of $49 million, resulting in a pre-tax gain of approximately $55 million reflected in "Other items, net." Also reflected in this line item is the net gain on the sale of a portion of an investment held at cost and adjustments to previously established non-operating litigation reserves, and other items.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17) SUPPLEMENTAL CASH FLOW INFORMATION</w:t>
            </w: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9"/>
        </w:trPr>
        <w:tc>
          <w:tcPr>
            <w:tcW w:w="4080" w:type="dxa"/>
            <w:vAlign w:val="bottom"/>
          </w:tcPr>
          <w:p>
            <w:pPr>
              <w:spacing w:after="0"/>
              <w:rPr>
                <w:sz w:val="24"/>
                <w:szCs w:val="24"/>
                <w:color w:val="auto"/>
              </w:rPr>
            </w:pPr>
          </w:p>
        </w:tc>
        <w:tc>
          <w:tcPr>
            <w:tcW w:w="2780" w:type="dxa"/>
            <w:vAlign w:val="bottom"/>
            <w:gridSpan w:val="3"/>
          </w:tcPr>
          <w:p>
            <w:pPr>
              <w:ind w:left="500"/>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4080" w:type="dxa"/>
            <w:vAlign w:val="bottom"/>
          </w:tcPr>
          <w:p>
            <w:pPr>
              <w:spacing w:after="0"/>
              <w:rPr>
                <w:sz w:val="14"/>
                <w:szCs w:val="14"/>
                <w:color w:val="auto"/>
              </w:rPr>
            </w:pPr>
          </w:p>
        </w:tc>
        <w:tc>
          <w:tcPr>
            <w:tcW w:w="278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w:t>
            </w:r>
          </w:p>
        </w:tc>
      </w:tr>
      <w:tr>
        <w:trPr>
          <w:trHeight w:val="170"/>
        </w:trPr>
        <w:tc>
          <w:tcPr>
            <w:tcW w:w="4080" w:type="dxa"/>
            <w:vAlign w:val="bottom"/>
          </w:tcPr>
          <w:p>
            <w:pPr>
              <w:spacing w:after="0"/>
              <w:rPr>
                <w:sz w:val="14"/>
                <w:szCs w:val="14"/>
                <w:color w:val="auto"/>
              </w:rPr>
            </w:pPr>
          </w:p>
        </w:tc>
        <w:tc>
          <w:tcPr>
            <w:tcW w:w="900" w:type="dxa"/>
            <w:vAlign w:val="bottom"/>
          </w:tcPr>
          <w:p>
            <w:pPr>
              <w:ind w:left="220"/>
              <w:spacing w:after="0"/>
              <w:rPr>
                <w:sz w:val="20"/>
                <w:szCs w:val="20"/>
                <w:color w:val="auto"/>
              </w:rPr>
            </w:pPr>
            <w:r>
              <w:rPr>
                <w:rFonts w:ascii="Courier New" w:cs="Courier New" w:eastAsia="Courier New" w:hAnsi="Courier New"/>
                <w:sz w:val="15"/>
                <w:szCs w:val="15"/>
                <w:color w:val="auto"/>
              </w:rPr>
              <w:t>1995</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1994</w:t>
            </w:r>
          </w:p>
        </w:tc>
        <w:tc>
          <w:tcPr>
            <w:tcW w:w="78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9"/>
              </w:rPr>
              <w:t>1993</w:t>
            </w:r>
          </w:p>
        </w:tc>
      </w:tr>
      <w:tr>
        <w:trPr>
          <w:trHeight w:val="170"/>
        </w:trPr>
        <w:tc>
          <w:tcPr>
            <w:tcW w:w="4080" w:type="dxa"/>
            <w:vAlign w:val="bottom"/>
          </w:tcPr>
          <w:p>
            <w:pPr>
              <w:spacing w:after="0"/>
              <w:rPr>
                <w:sz w:val="14"/>
                <w:szCs w:val="14"/>
                <w:color w:val="auto"/>
              </w:rPr>
            </w:pPr>
          </w:p>
        </w:tc>
        <w:tc>
          <w:tcPr>
            <w:tcW w:w="9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4080" w:type="dxa"/>
            <w:vAlign w:val="bottom"/>
          </w:tcPr>
          <w:p>
            <w:pPr>
              <w:spacing w:after="0"/>
              <w:rPr>
                <w:sz w:val="20"/>
                <w:szCs w:val="20"/>
                <w:color w:val="auto"/>
              </w:rPr>
            </w:pPr>
            <w:r>
              <w:rPr>
                <w:rFonts w:ascii="Courier New" w:cs="Courier New" w:eastAsia="Courier New" w:hAnsi="Courier New"/>
                <w:sz w:val="15"/>
                <w:szCs w:val="15"/>
                <w:color w:val="auto"/>
              </w:rPr>
              <w:t>Cash payments for interest net of amounts</w:t>
            </w: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4080" w:type="dxa"/>
            <w:vAlign w:val="bottom"/>
          </w:tcPr>
          <w:p>
            <w:pPr>
              <w:ind w:left="160"/>
              <w:spacing w:after="0"/>
              <w:rPr>
                <w:sz w:val="20"/>
                <w:szCs w:val="20"/>
                <w:color w:val="auto"/>
              </w:rPr>
            </w:pPr>
            <w:r>
              <w:rPr>
                <w:rFonts w:ascii="Courier New" w:cs="Courier New" w:eastAsia="Courier New" w:hAnsi="Courier New"/>
                <w:sz w:val="15"/>
                <w:szCs w:val="15"/>
                <w:color w:val="auto"/>
              </w:rPr>
              <w:t>capitalized................................</w:t>
            </w:r>
          </w:p>
        </w:tc>
        <w:tc>
          <w:tcPr>
            <w:tcW w:w="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$925.9</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$ 293.6</w:t>
            </w:r>
          </w:p>
        </w:tc>
        <w:tc>
          <w:tcPr>
            <w:tcW w:w="78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6"/>
              </w:rPr>
              <w:t>$167.4</w:t>
            </w:r>
          </w:p>
        </w:tc>
      </w:tr>
      <w:tr>
        <w:trPr>
          <w:trHeight w:val="339"/>
        </w:trPr>
        <w:tc>
          <w:tcPr>
            <w:tcW w:w="4080" w:type="dxa"/>
            <w:vAlign w:val="bottom"/>
          </w:tcPr>
          <w:p>
            <w:pPr>
              <w:spacing w:after="0"/>
              <w:rPr>
                <w:sz w:val="20"/>
                <w:szCs w:val="20"/>
                <w:color w:val="auto"/>
              </w:rPr>
            </w:pPr>
            <w:r>
              <w:rPr>
                <w:rFonts w:ascii="Courier New" w:cs="Courier New" w:eastAsia="Courier New" w:hAnsi="Courier New"/>
                <w:sz w:val="15"/>
                <w:szCs w:val="15"/>
                <w:color w:val="auto"/>
              </w:rPr>
              <w:t>Cash payments for income taxes.............</w:t>
            </w:r>
          </w:p>
        </w:tc>
        <w:tc>
          <w:tcPr>
            <w:tcW w:w="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485.7</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135.2</w:t>
            </w:r>
          </w:p>
        </w:tc>
        <w:tc>
          <w:tcPr>
            <w:tcW w:w="7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4"/>
              </w:rPr>
              <w:t>32.7</w:t>
            </w:r>
          </w:p>
        </w:tc>
      </w:tr>
      <w:tr>
        <w:trPr>
          <w:trHeight w:val="339"/>
        </w:trPr>
        <w:tc>
          <w:tcPr>
            <w:tcW w:w="4080" w:type="dxa"/>
            <w:vAlign w:val="bottom"/>
          </w:tcPr>
          <w:p>
            <w:pPr>
              <w:spacing w:after="0"/>
              <w:rPr>
                <w:sz w:val="20"/>
                <w:szCs w:val="20"/>
                <w:color w:val="auto"/>
              </w:rPr>
            </w:pPr>
            <w:r>
              <w:rPr>
                <w:rFonts w:ascii="Courier New" w:cs="Courier New" w:eastAsia="Courier New" w:hAnsi="Courier New"/>
                <w:sz w:val="15"/>
                <w:szCs w:val="15"/>
                <w:color w:val="auto"/>
              </w:rPr>
              <w:t>SUPPLEMENTAL SCHEDULE OF NON-CASH FINANCING</w:t>
            </w: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AND INVESTING ACTIVITIES:</w:t>
            </w: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080" w:type="dxa"/>
            <w:vAlign w:val="bottom"/>
          </w:tcPr>
          <w:p>
            <w:pPr>
              <w:ind w:left="160"/>
              <w:spacing w:after="0"/>
              <w:rPr>
                <w:sz w:val="20"/>
                <w:szCs w:val="20"/>
                <w:color w:val="auto"/>
              </w:rPr>
            </w:pPr>
            <w:r>
              <w:rPr>
                <w:rFonts w:ascii="Courier New" w:cs="Courier New" w:eastAsia="Courier New" w:hAnsi="Courier New"/>
                <w:sz w:val="15"/>
                <w:szCs w:val="15"/>
                <w:color w:val="auto"/>
              </w:rPr>
              <w:t>Settlement of VCRs with Class B Common</w:t>
            </w: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080" w:type="dxa"/>
            <w:vAlign w:val="bottom"/>
          </w:tcPr>
          <w:p>
            <w:pPr>
              <w:ind w:left="340"/>
              <w:spacing w:after="0"/>
              <w:rPr>
                <w:sz w:val="20"/>
                <w:szCs w:val="20"/>
                <w:color w:val="auto"/>
              </w:rPr>
            </w:pPr>
            <w:r>
              <w:rPr>
                <w:rFonts w:ascii="Courier New" w:cs="Courier New" w:eastAsia="Courier New" w:hAnsi="Courier New"/>
                <w:sz w:val="15"/>
                <w:szCs w:val="15"/>
                <w:color w:val="auto"/>
              </w:rPr>
              <w:t>Stock..................................</w:t>
            </w:r>
          </w:p>
        </w:tc>
        <w:tc>
          <w:tcPr>
            <w:tcW w:w="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402.6</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4080" w:type="dxa"/>
            <w:vAlign w:val="bottom"/>
          </w:tcPr>
          <w:p>
            <w:pPr>
              <w:ind w:left="160"/>
              <w:spacing w:after="0"/>
              <w:rPr>
                <w:sz w:val="20"/>
                <w:szCs w:val="20"/>
                <w:color w:val="auto"/>
              </w:rPr>
            </w:pPr>
            <w:r>
              <w:rPr>
                <w:rFonts w:ascii="Courier New" w:cs="Courier New" w:eastAsia="Courier New" w:hAnsi="Courier New"/>
                <w:sz w:val="15"/>
                <w:szCs w:val="15"/>
                <w:color w:val="auto"/>
              </w:rPr>
              <w:t>Paramount Merger Consideration...........</w:t>
            </w:r>
          </w:p>
        </w:tc>
        <w:tc>
          <w:tcPr>
            <w:tcW w:w="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3,175.0</w:t>
            </w:r>
          </w:p>
        </w:tc>
        <w:tc>
          <w:tcPr>
            <w:tcW w:w="78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4080" w:type="dxa"/>
            <w:vAlign w:val="bottom"/>
          </w:tcPr>
          <w:p>
            <w:pPr>
              <w:ind w:left="160"/>
              <w:spacing w:after="0"/>
              <w:rPr>
                <w:sz w:val="20"/>
                <w:szCs w:val="20"/>
                <w:color w:val="auto"/>
              </w:rPr>
            </w:pPr>
            <w:r>
              <w:rPr>
                <w:rFonts w:ascii="Courier New" w:cs="Courier New" w:eastAsia="Courier New" w:hAnsi="Courier New"/>
                <w:sz w:val="15"/>
                <w:szCs w:val="15"/>
                <w:color w:val="auto"/>
              </w:rPr>
              <w:t>Blockbuster Merger Consideration.........</w:t>
            </w:r>
          </w:p>
        </w:tc>
        <w:tc>
          <w:tcPr>
            <w:tcW w:w="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7,622.8</w:t>
            </w:r>
          </w:p>
        </w:tc>
        <w:tc>
          <w:tcPr>
            <w:tcW w:w="78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4080" w:type="dxa"/>
            <w:vAlign w:val="bottom"/>
          </w:tcPr>
          <w:p>
            <w:pPr>
              <w:ind w:left="160"/>
              <w:spacing w:after="0"/>
              <w:rPr>
                <w:sz w:val="20"/>
                <w:szCs w:val="20"/>
                <w:color w:val="auto"/>
              </w:rPr>
            </w:pPr>
            <w:r>
              <w:rPr>
                <w:rFonts w:ascii="Courier New" w:cs="Courier New" w:eastAsia="Courier New" w:hAnsi="Courier New"/>
                <w:sz w:val="15"/>
                <w:szCs w:val="15"/>
                <w:color w:val="auto"/>
              </w:rPr>
              <w:t>Equipment acquired under capitalized leases</w:t>
            </w:r>
          </w:p>
        </w:tc>
        <w:tc>
          <w:tcPr>
            <w:tcW w:w="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314.5</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47.6</w:t>
            </w:r>
          </w:p>
        </w:tc>
        <w:tc>
          <w:tcPr>
            <w:tcW w:w="7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4"/>
              </w:rPr>
              <w:t>44.4</w:t>
            </w:r>
          </w:p>
        </w:tc>
      </w:tr>
      <w:tr>
        <w:trPr>
          <w:trHeight w:val="170"/>
        </w:trPr>
        <w:tc>
          <w:tcPr>
            <w:tcW w:w="4080" w:type="dxa"/>
            <w:vAlign w:val="bottom"/>
          </w:tcPr>
          <w:p>
            <w:pPr>
              <w:ind w:left="160"/>
              <w:spacing w:after="0"/>
              <w:rPr>
                <w:sz w:val="20"/>
                <w:szCs w:val="20"/>
                <w:color w:val="auto"/>
              </w:rPr>
            </w:pPr>
            <w:r>
              <w:rPr>
                <w:rFonts w:ascii="Courier New" w:cs="Courier New" w:eastAsia="Courier New" w:hAnsi="Courier New"/>
                <w:sz w:val="15"/>
                <w:szCs w:val="15"/>
                <w:color w:val="auto"/>
              </w:rPr>
              <w:t>Cancellation of Preferred Stock and Viacom</w:t>
            </w: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080" w:type="dxa"/>
            <w:vAlign w:val="bottom"/>
          </w:tcPr>
          <w:p>
            <w:pPr>
              <w:ind w:left="340"/>
              <w:spacing w:after="0"/>
              <w:rPr>
                <w:sz w:val="20"/>
                <w:szCs w:val="20"/>
                <w:color w:val="auto"/>
              </w:rPr>
            </w:pPr>
            <w:r>
              <w:rPr>
                <w:rFonts w:ascii="Courier New" w:cs="Courier New" w:eastAsia="Courier New" w:hAnsi="Courier New"/>
                <w:sz w:val="15"/>
                <w:szCs w:val="15"/>
                <w:color w:val="auto"/>
              </w:rPr>
              <w:t>Class B Common Stock issued to</w:t>
            </w: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080" w:type="dxa"/>
            <w:vAlign w:val="bottom"/>
          </w:tcPr>
          <w:p>
            <w:pPr>
              <w:ind w:left="340"/>
              <w:spacing w:after="0"/>
              <w:rPr>
                <w:sz w:val="20"/>
                <w:szCs w:val="20"/>
                <w:color w:val="auto"/>
              </w:rPr>
            </w:pPr>
            <w:r>
              <w:rPr>
                <w:rFonts w:ascii="Courier New" w:cs="Courier New" w:eastAsia="Courier New" w:hAnsi="Courier New"/>
                <w:sz w:val="15"/>
                <w:szCs w:val="15"/>
                <w:color w:val="auto"/>
              </w:rPr>
              <w:t>Blockbuster............................</w:t>
            </w:r>
          </w:p>
        </w:tc>
        <w:tc>
          <w:tcPr>
            <w:tcW w:w="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1,850.0</w:t>
            </w:r>
          </w:p>
        </w:tc>
        <w:tc>
          <w:tcPr>
            <w:tcW w:w="7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9"/>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 CONDENSED CONSOLIDATING FINANCIAL STATEMENTS</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Viacom International is a wholly owned subsidiary of Viacom. Viacom's guarantees of the Viacom International debt securities are full and unconditional (See Note 7). Viacom has determined that separate financial statements and other disclosures concerning Viacom International are not material to investors. On January 3, 1995, Paramount Communications was merged into Viacom International and, therefore, Viacom International holds the assets of Paramount Communications subject to its liabilities including approximately $1.0 billion of issuances of long-term debt (reflected in non-guarantor affiliates for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II-49</w:t>
      </w:r>
    </w:p>
    <w:p>
      <w:pPr>
        <w:sectPr>
          <w:pgSz w:w="11900" w:h="16838" w:orient="portrait"/>
          <w:cols w:equalWidth="0" w:num="1">
            <w:col w:w="10219"/>
          </w:cols>
          <w:pgMar w:left="240" w:top="452" w:right="1440" w:bottom="1440" w:gutter="0" w:footer="0" w:header="0"/>
        </w:sectPr>
      </w:pPr>
    </w:p>
    <w:bookmarkStart w:id="90" w:name="page91"/>
    <w:bookmarkEnd w:id="90"/>
    <w:p>
      <w:pPr>
        <w:jc w:val="center"/>
        <w:ind w:right="3179"/>
        <w:spacing w:after="0"/>
        <w:rPr>
          <w:sz w:val="20"/>
          <w:szCs w:val="20"/>
          <w:color w:val="auto"/>
        </w:rPr>
      </w:pPr>
      <w:r>
        <w:rPr>
          <w:rFonts w:ascii="Courier New" w:cs="Courier New" w:eastAsia="Courier New" w:hAnsi="Courier New"/>
          <w:sz w:val="15"/>
          <w:szCs w:val="15"/>
          <w:color w:val="auto"/>
        </w:rPr>
        <w:t>VIACOM INC. AND SUBSIDIARIES</w:t>
      </w: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(continued)</w:t>
      </w:r>
    </w:p>
    <w:tbl>
      <w:tblPr>
        <w:tblLayout w:type="fixed"/>
        <w:tblInd w:w="0" w:type="dxa"/>
        <w:tblCellMar>
          <w:top w:w="0" w:type="dxa"/>
          <w:left w:w="0" w:type="dxa"/>
          <w:bottom w:w="0" w:type="dxa"/>
          <w:right w:w="0" w:type="dxa"/>
        </w:tblCellMar>
      </w:tblPr>
      <w:tr>
        <w:trPr>
          <w:trHeight w:val="169"/>
        </w:trPr>
        <w:tc>
          <w:tcPr>
            <w:tcW w:w="6120" w:type="dxa"/>
            <w:vAlign w:val="bottom"/>
            <w:gridSpan w:val="5"/>
          </w:tcPr>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509"/>
        </w:trPr>
        <w:tc>
          <w:tcPr>
            <w:tcW w:w="7180" w:type="dxa"/>
            <w:vAlign w:val="bottom"/>
            <w:gridSpan w:val="6"/>
          </w:tcPr>
          <w:p>
            <w:pPr>
              <w:spacing w:after="0"/>
              <w:rPr>
                <w:sz w:val="20"/>
                <w:szCs w:val="20"/>
                <w:color w:val="auto"/>
              </w:rPr>
            </w:pPr>
            <w:r>
              <w:rPr>
                <w:rFonts w:ascii="Courier New" w:cs="Courier New" w:eastAsia="Courier New" w:hAnsi="Courier New"/>
                <w:sz w:val="15"/>
                <w:szCs w:val="15"/>
                <w:color w:val="auto"/>
              </w:rPr>
              <w:t>The following condensed consolidating financial statements present the results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7180" w:type="dxa"/>
            <w:vAlign w:val="bottom"/>
            <w:gridSpan w:val="6"/>
          </w:tcPr>
          <w:p>
            <w:pPr>
              <w:spacing w:after="0"/>
              <w:rPr>
                <w:sz w:val="20"/>
                <w:szCs w:val="20"/>
                <w:color w:val="auto"/>
              </w:rPr>
            </w:pPr>
            <w:r>
              <w:rPr>
                <w:rFonts w:ascii="Courier New" w:cs="Courier New" w:eastAsia="Courier New" w:hAnsi="Courier New"/>
                <w:sz w:val="15"/>
                <w:szCs w:val="15"/>
                <w:color w:val="auto"/>
                <w:w w:val="99"/>
              </w:rPr>
              <w:t>of operations, financial position and cash flows of Viacom, Viacom International</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7180" w:type="dxa"/>
            <w:vAlign w:val="bottom"/>
            <w:gridSpan w:val="6"/>
          </w:tcPr>
          <w:p>
            <w:pPr>
              <w:spacing w:after="0"/>
              <w:rPr>
                <w:sz w:val="20"/>
                <w:szCs w:val="20"/>
                <w:color w:val="auto"/>
              </w:rPr>
            </w:pPr>
            <w:r>
              <w:rPr>
                <w:rFonts w:ascii="Courier New" w:cs="Courier New" w:eastAsia="Courier New" w:hAnsi="Courier New"/>
                <w:sz w:val="15"/>
                <w:szCs w:val="15"/>
                <w:color w:val="auto"/>
              </w:rPr>
              <w:t>(carrying any investments in non-guarantor affiliates under the equity method),</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7180" w:type="dxa"/>
            <w:vAlign w:val="bottom"/>
            <w:gridSpan w:val="6"/>
          </w:tcPr>
          <w:p>
            <w:pPr>
              <w:spacing w:after="0"/>
              <w:rPr>
                <w:sz w:val="20"/>
                <w:szCs w:val="20"/>
                <w:color w:val="auto"/>
              </w:rPr>
            </w:pPr>
            <w:r>
              <w:rPr>
                <w:rFonts w:ascii="Courier New" w:cs="Courier New" w:eastAsia="Courier New" w:hAnsi="Courier New"/>
                <w:sz w:val="15"/>
                <w:szCs w:val="15"/>
                <w:color w:val="auto"/>
                <w:w w:val="99"/>
              </w:rPr>
              <w:t>and non-guarantor affiliates of Viacom, and the eliminations necessary to arrive</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7180" w:type="dxa"/>
            <w:vAlign w:val="bottom"/>
            <w:gridSpan w:val="6"/>
          </w:tcPr>
          <w:p>
            <w:pPr>
              <w:spacing w:after="0"/>
              <w:rPr>
                <w:sz w:val="20"/>
                <w:szCs w:val="20"/>
                <w:color w:val="auto"/>
              </w:rPr>
            </w:pPr>
            <w:r>
              <w:rPr>
                <w:rFonts w:ascii="Courier New" w:cs="Courier New" w:eastAsia="Courier New" w:hAnsi="Courier New"/>
                <w:sz w:val="15"/>
                <w:szCs w:val="15"/>
                <w:color w:val="auto"/>
                <w:w w:val="99"/>
              </w:rPr>
              <w:t>at the information for the Company on a consolidated basis. Financial statements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6120" w:type="dxa"/>
            <w:vAlign w:val="bottom"/>
            <w:gridSpan w:val="5"/>
          </w:tcPr>
          <w:p>
            <w:pPr>
              <w:spacing w:after="0"/>
              <w:rPr>
                <w:sz w:val="20"/>
                <w:szCs w:val="20"/>
                <w:color w:val="auto"/>
              </w:rPr>
            </w:pPr>
            <w:r>
              <w:rPr>
                <w:rFonts w:ascii="Courier New" w:cs="Courier New" w:eastAsia="Courier New" w:hAnsi="Courier New"/>
                <w:sz w:val="15"/>
                <w:szCs w:val="15"/>
                <w:color w:val="auto"/>
                <w:w w:val="98"/>
              </w:rPr>
              <w:t>of Viacom International for 1993 as previously filed on Form 10-K are</w:t>
            </w: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700" w:type="dxa"/>
            <w:vAlign w:val="bottom"/>
            <w:gridSpan w:val="2"/>
          </w:tcPr>
          <w:p>
            <w:pPr>
              <w:spacing w:after="0"/>
              <w:rPr>
                <w:sz w:val="20"/>
                <w:szCs w:val="20"/>
                <w:color w:val="auto"/>
              </w:rPr>
            </w:pPr>
            <w:r>
              <w:rPr>
                <w:rFonts w:ascii="Courier New" w:cs="Courier New" w:eastAsia="Courier New" w:hAnsi="Courier New"/>
                <w:sz w:val="15"/>
                <w:szCs w:val="15"/>
                <w:color w:val="auto"/>
              </w:rPr>
              <w:t>incorporated by reference herein.</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509"/>
        </w:trPr>
        <w:tc>
          <w:tcPr>
            <w:tcW w:w="18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1995</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1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900" w:type="dxa"/>
            <w:vAlign w:val="bottom"/>
            <w:gridSpan w:val="6"/>
          </w:tcPr>
          <w:p>
            <w:pPr>
              <w:jc w:val="center"/>
              <w:ind w:right="18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1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NON-</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THE</w:t>
            </w:r>
          </w:p>
        </w:tc>
      </w:tr>
      <w:tr>
        <w:trPr>
          <w:trHeight w:val="170"/>
        </w:trPr>
        <w:tc>
          <w:tcPr>
            <w:tcW w:w="1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VIACOM</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GUARANTOR</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COMPANY</w:t>
            </w:r>
          </w:p>
        </w:tc>
      </w:tr>
      <w:tr>
        <w:trPr>
          <w:trHeight w:val="170"/>
        </w:trPr>
        <w:tc>
          <w:tcPr>
            <w:tcW w:w="1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VIACOM</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9"/>
              </w:rPr>
              <w:t>INTERNATIONAL</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AFFILIATES</w:t>
            </w: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ELIMINATIONS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0"/>
        </w:trPr>
        <w:tc>
          <w:tcPr>
            <w:tcW w:w="1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370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Revenues.....................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3,674.1</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$ 1,005.4</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$ 7,025.9</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(16.7)</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$ 11,688.7</w:t>
            </w:r>
          </w:p>
        </w:tc>
      </w:tr>
      <w:tr>
        <w:trPr>
          <w:trHeight w:val="339"/>
        </w:trPr>
        <w:tc>
          <w:tcPr>
            <w:tcW w:w="1840" w:type="dxa"/>
            <w:vAlign w:val="bottom"/>
          </w:tcPr>
          <w:p>
            <w:pPr>
              <w:ind w:left="600"/>
              <w:spacing w:after="0"/>
              <w:rPr>
                <w:sz w:val="20"/>
                <w:szCs w:val="20"/>
                <w:color w:val="auto"/>
              </w:rPr>
            </w:pPr>
            <w:r>
              <w:rPr>
                <w:rFonts w:ascii="Courier New" w:cs="Courier New" w:eastAsia="Courier New" w:hAnsi="Courier New"/>
                <w:sz w:val="15"/>
                <w:szCs w:val="15"/>
                <w:color w:val="auto"/>
              </w:rPr>
              <w:t>Expenses:</w:t>
            </w: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370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Operating.................</w:t>
            </w:r>
          </w:p>
        </w:tc>
        <w:tc>
          <w:tcPr>
            <w:tcW w:w="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2,528.0</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337.9</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4,223.5</w:t>
            </w:r>
          </w:p>
        </w:tc>
        <w:tc>
          <w:tcPr>
            <w:tcW w:w="3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(16.7)</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7,072.7</w:t>
            </w:r>
          </w:p>
        </w:tc>
      </w:tr>
      <w:tr>
        <w:trPr>
          <w:trHeight w:val="170"/>
        </w:trPr>
        <w:tc>
          <w:tcPr>
            <w:tcW w:w="370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Selling, general and</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70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administrative..........</w:t>
            </w:r>
          </w:p>
        </w:tc>
        <w:tc>
          <w:tcPr>
            <w:tcW w:w="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304.3</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450.7</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1,547.3</w:t>
            </w:r>
          </w:p>
        </w:tc>
        <w:tc>
          <w:tcPr>
            <w:tcW w:w="30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2,302.3</w:t>
            </w:r>
          </w:p>
        </w:tc>
      </w:tr>
      <w:tr>
        <w:trPr>
          <w:trHeight w:val="170"/>
        </w:trPr>
        <w:tc>
          <w:tcPr>
            <w:tcW w:w="370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Depreciation and amortization</w:t>
            </w:r>
          </w:p>
        </w:tc>
        <w:tc>
          <w:tcPr>
            <w:tcW w:w="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307.0</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52.2</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461.2</w:t>
            </w:r>
          </w:p>
        </w:tc>
        <w:tc>
          <w:tcPr>
            <w:tcW w:w="30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820.4</w:t>
            </w:r>
          </w:p>
        </w:tc>
      </w:tr>
      <w:tr>
        <w:trPr>
          <w:trHeight w:val="170"/>
        </w:trPr>
        <w:tc>
          <w:tcPr>
            <w:tcW w:w="1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3"/>
              </w:rPr>
              <w:t>---------</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700" w:type="dxa"/>
            <w:vAlign w:val="bottom"/>
            <w:gridSpan w:val="2"/>
          </w:tcPr>
          <w:p>
            <w:pPr>
              <w:ind w:left="1140"/>
              <w:spacing w:after="0"/>
              <w:rPr>
                <w:sz w:val="20"/>
                <w:szCs w:val="20"/>
                <w:color w:val="auto"/>
              </w:rPr>
            </w:pPr>
            <w:r>
              <w:rPr>
                <w:rFonts w:ascii="Courier New" w:cs="Courier New" w:eastAsia="Courier New" w:hAnsi="Courier New"/>
                <w:sz w:val="15"/>
                <w:szCs w:val="15"/>
                <w:color w:val="auto"/>
              </w:rPr>
              <w:t>Total expenses.........</w:t>
            </w:r>
          </w:p>
        </w:tc>
        <w:tc>
          <w:tcPr>
            <w:tcW w:w="8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3,139.3</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840.8</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6,232.0</w:t>
            </w:r>
          </w:p>
        </w:tc>
        <w:tc>
          <w:tcPr>
            <w:tcW w:w="30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(16.7)</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10,195.4</w:t>
            </w:r>
          </w:p>
        </w:tc>
      </w:tr>
      <w:tr>
        <w:trPr>
          <w:trHeight w:val="170"/>
        </w:trPr>
        <w:tc>
          <w:tcPr>
            <w:tcW w:w="1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3"/>
              </w:rPr>
              <w:t>---------</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70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Operating income.............</w:t>
            </w:r>
          </w:p>
        </w:tc>
        <w:tc>
          <w:tcPr>
            <w:tcW w:w="8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534.8</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164.6</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793.9</w:t>
            </w:r>
          </w:p>
        </w:tc>
        <w:tc>
          <w:tcPr>
            <w:tcW w:w="300" w:type="dxa"/>
            <w:vAlign w:val="bottom"/>
          </w:tcPr>
          <w:p>
            <w:pPr>
              <w:spacing w:after="0"/>
              <w:rPr>
                <w:sz w:val="24"/>
                <w:szCs w:val="2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1,493.3</w:t>
            </w:r>
          </w:p>
        </w:tc>
      </w:tr>
      <w:tr>
        <w:trPr>
          <w:trHeight w:val="339"/>
        </w:trPr>
        <w:tc>
          <w:tcPr>
            <w:tcW w:w="370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Other income (expense):</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370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Interest expense, net.....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(696.3)</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(98.1)</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(27.0)</w:t>
            </w:r>
          </w:p>
        </w:tc>
        <w:tc>
          <w:tcPr>
            <w:tcW w:w="30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(821.4)</w:t>
            </w:r>
          </w:p>
        </w:tc>
      </w:tr>
      <w:tr>
        <w:trPr>
          <w:trHeight w:val="170"/>
        </w:trPr>
        <w:tc>
          <w:tcPr>
            <w:tcW w:w="370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Other items, net..........</w:t>
            </w:r>
          </w:p>
        </w:tc>
        <w:tc>
          <w:tcPr>
            <w:tcW w:w="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0.1</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28.6</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(11.4)</w:t>
            </w:r>
          </w:p>
        </w:tc>
        <w:tc>
          <w:tcPr>
            <w:tcW w:w="30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17.3</w:t>
            </w:r>
          </w:p>
        </w:tc>
      </w:tr>
      <w:tr>
        <w:trPr>
          <w:trHeight w:val="170"/>
        </w:trPr>
        <w:tc>
          <w:tcPr>
            <w:tcW w:w="1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3"/>
              </w:rPr>
              <w:t>---------</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70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Earnings (loss)  from continuing</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1840" w:type="dxa"/>
            <w:vAlign w:val="bottom"/>
          </w:tcPr>
          <w:p>
            <w:pPr>
              <w:ind w:left="880"/>
              <w:spacing w:after="0"/>
              <w:rPr>
                <w:sz w:val="20"/>
                <w:szCs w:val="20"/>
                <w:color w:val="auto"/>
              </w:rPr>
            </w:pPr>
            <w:r>
              <w:rPr>
                <w:rFonts w:ascii="Courier New" w:cs="Courier New" w:eastAsia="Courier New" w:hAnsi="Courier New"/>
                <w:sz w:val="15"/>
                <w:szCs w:val="15"/>
                <w:color w:val="auto"/>
              </w:rPr>
              <w:t>operations</w:t>
            </w:r>
          </w:p>
        </w:tc>
        <w:tc>
          <w:tcPr>
            <w:tcW w:w="18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before income taxes</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(161.4)</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95.1</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755.5</w:t>
            </w:r>
          </w:p>
        </w:tc>
        <w:tc>
          <w:tcPr>
            <w:tcW w:w="30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689.2</w:t>
            </w:r>
          </w:p>
        </w:tc>
      </w:tr>
      <w:tr>
        <w:trPr>
          <w:trHeight w:val="170"/>
        </w:trPr>
        <w:tc>
          <w:tcPr>
            <w:tcW w:w="1840" w:type="dxa"/>
            <w:vAlign w:val="bottom"/>
          </w:tcPr>
          <w:p>
            <w:pPr>
              <w:ind w:left="880"/>
              <w:spacing w:after="0"/>
              <w:rPr>
                <w:sz w:val="20"/>
                <w:szCs w:val="20"/>
                <w:color w:val="auto"/>
              </w:rPr>
            </w:pPr>
            <w:r>
              <w:rPr>
                <w:rFonts w:ascii="Courier New" w:cs="Courier New" w:eastAsia="Courier New" w:hAnsi="Courier New"/>
                <w:sz w:val="15"/>
                <w:szCs w:val="15"/>
                <w:color w:val="auto"/>
              </w:rPr>
              <w:t>Provision</w:t>
            </w:r>
          </w:p>
        </w:tc>
        <w:tc>
          <w:tcPr>
            <w:tcW w:w="18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7"/>
              </w:rPr>
              <w:t>for income taxes</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(51.5)</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(361.8)</w:t>
            </w:r>
          </w:p>
        </w:tc>
        <w:tc>
          <w:tcPr>
            <w:tcW w:w="30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(417.0)</w:t>
            </w:r>
          </w:p>
        </w:tc>
      </w:tr>
      <w:tr>
        <w:trPr>
          <w:trHeight w:val="170"/>
        </w:trPr>
        <w:tc>
          <w:tcPr>
            <w:tcW w:w="370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Equity in earnings (loss) of</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70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affiliated companies, net of</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1840" w:type="dxa"/>
            <w:vAlign w:val="bottom"/>
          </w:tcPr>
          <w:p>
            <w:pPr>
              <w:ind w:left="1140"/>
              <w:spacing w:after="0"/>
              <w:rPr>
                <w:sz w:val="20"/>
                <w:szCs w:val="20"/>
                <w:color w:val="auto"/>
              </w:rPr>
            </w:pPr>
            <w:r>
              <w:rPr>
                <w:rFonts w:ascii="Courier New" w:cs="Courier New" w:eastAsia="Courier New" w:hAnsi="Courier New"/>
                <w:sz w:val="15"/>
                <w:szCs w:val="15"/>
                <w:color w:val="auto"/>
              </w:rPr>
              <w:t>tax</w:t>
            </w: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391.1</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405.6</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38.2</w:t>
            </w:r>
          </w:p>
        </w:tc>
        <w:tc>
          <w:tcPr>
            <w:tcW w:w="3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(888.8)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(53.9)</w:t>
            </w:r>
          </w:p>
        </w:tc>
      </w:tr>
      <w:tr>
        <w:trPr>
          <w:trHeight w:val="170"/>
        </w:trPr>
        <w:tc>
          <w:tcPr>
            <w:tcW w:w="370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Minority interest.........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0.8</w:t>
            </w:r>
          </w:p>
        </w:tc>
        <w:tc>
          <w:tcPr>
            <w:tcW w:w="30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0"/>
        </w:trPr>
        <w:tc>
          <w:tcPr>
            <w:tcW w:w="1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3"/>
              </w:rPr>
              <w:t>---------</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Net earnings from continuing</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70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operations...................</w:t>
            </w:r>
          </w:p>
        </w:tc>
        <w:tc>
          <w:tcPr>
            <w:tcW w:w="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222.5</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448.5</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432.7</w:t>
            </w:r>
          </w:p>
        </w:tc>
        <w:tc>
          <w:tcPr>
            <w:tcW w:w="3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(888.8)</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214.9</w:t>
            </w:r>
          </w:p>
        </w:tc>
      </w:tr>
      <w:tr>
        <w:trPr>
          <w:trHeight w:val="170"/>
        </w:trPr>
        <w:tc>
          <w:tcPr>
            <w:tcW w:w="370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Income from discontinued</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70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operations, net of tax ......</w:t>
            </w:r>
          </w:p>
        </w:tc>
        <w:tc>
          <w:tcPr>
            <w:tcW w:w="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w:t>
            </w:r>
          </w:p>
        </w:tc>
        <w:tc>
          <w:tcPr>
            <w:tcW w:w="30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w:t>
            </w:r>
          </w:p>
        </w:tc>
      </w:tr>
      <w:tr>
        <w:trPr>
          <w:trHeight w:val="170"/>
        </w:trPr>
        <w:tc>
          <w:tcPr>
            <w:tcW w:w="1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3"/>
              </w:rPr>
              <w:t>---------</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Net earnings..................</w:t>
            </w:r>
          </w:p>
        </w:tc>
        <w:tc>
          <w:tcPr>
            <w:tcW w:w="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222.5</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448.5</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440.3</w:t>
            </w:r>
          </w:p>
        </w:tc>
        <w:tc>
          <w:tcPr>
            <w:tcW w:w="3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(888.8)</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222.5</w:t>
            </w:r>
          </w:p>
        </w:tc>
      </w:tr>
      <w:tr>
        <w:trPr>
          <w:trHeight w:val="170"/>
        </w:trPr>
        <w:tc>
          <w:tcPr>
            <w:tcW w:w="3700" w:type="dxa"/>
            <w:vAlign w:val="bottom"/>
            <w:gridSpan w:val="2"/>
          </w:tcPr>
          <w:p>
            <w:pPr>
              <w:ind w:left="880"/>
              <w:spacing w:after="0"/>
              <w:rPr>
                <w:sz w:val="20"/>
                <w:szCs w:val="20"/>
                <w:color w:val="auto"/>
              </w:rPr>
            </w:pPr>
            <w:r>
              <w:rPr>
                <w:rFonts w:ascii="Courier New" w:cs="Courier New" w:eastAsia="Courier New" w:hAnsi="Courier New"/>
                <w:sz w:val="15"/>
                <w:szCs w:val="15"/>
                <w:color w:val="auto"/>
                <w:w w:val="97"/>
              </w:rPr>
              <w:t>Cumulative convertible preferred</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7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stock dividend requirement</w:t>
            </w:r>
          </w:p>
        </w:tc>
        <w:tc>
          <w:tcPr>
            <w:tcW w:w="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60.0</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60.0</w:t>
            </w:r>
          </w:p>
        </w:tc>
      </w:tr>
      <w:tr>
        <w:trPr>
          <w:trHeight w:val="170"/>
        </w:trPr>
        <w:tc>
          <w:tcPr>
            <w:tcW w:w="1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3"/>
              </w:rPr>
              <w:t>---------</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Net earnings attributable to</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70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common stock..............</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162.5</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448.5</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$ 440.3</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(888.8)</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162.5</w:t>
            </w:r>
          </w:p>
        </w:tc>
      </w:tr>
      <w:tr>
        <w:trPr>
          <w:trHeight w:val="170"/>
        </w:trPr>
        <w:tc>
          <w:tcPr>
            <w:tcW w:w="1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3"/>
              </w:rPr>
              <w:t>=========</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4"/>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II-50</w:t>
      </w:r>
    </w:p>
    <w:p>
      <w:pPr>
        <w:sectPr>
          <w:pgSz w:w="11900" w:h="16838" w:orient="portrait"/>
          <w:cols w:equalWidth="0" w:num="1">
            <w:col w:w="10219"/>
          </w:cols>
          <w:pgMar w:left="240" w:top="452" w:right="1440" w:bottom="1440" w:gutter="0" w:footer="0" w:header="0"/>
        </w:sectPr>
      </w:pPr>
    </w:p>
    <w:bookmarkStart w:id="91" w:name="page92"/>
    <w:bookmarkEnd w:id="91"/>
    <w:p>
      <w:pPr>
        <w:jc w:val="center"/>
        <w:ind w:right="3779"/>
        <w:spacing w:after="0"/>
        <w:rPr>
          <w:sz w:val="20"/>
          <w:szCs w:val="20"/>
          <w:color w:val="auto"/>
        </w:rPr>
      </w:pPr>
      <w:r>
        <w:rPr>
          <w:rFonts w:ascii="Courier New" w:cs="Courier New" w:eastAsia="Courier New" w:hAnsi="Courier New"/>
          <w:sz w:val="15"/>
          <w:szCs w:val="15"/>
          <w:color w:val="auto"/>
        </w:rPr>
        <w:t>VIACOM INC. AND SUBSIDIARIES</w:t>
      </w:r>
    </w:p>
    <w:p>
      <w:pPr>
        <w:jc w:val="center"/>
        <w:ind w:right="3779"/>
        <w:spacing w:after="0"/>
        <w:rPr>
          <w:sz w:val="20"/>
          <w:szCs w:val="20"/>
          <w:color w:val="auto"/>
        </w:rPr>
      </w:pPr>
      <w:r>
        <w:rPr>
          <w:rFonts w:ascii="Courier New" w:cs="Courier New" w:eastAsia="Courier New" w:hAnsi="Courier New"/>
          <w:sz w:val="15"/>
          <w:szCs w:val="15"/>
          <w:color w:val="auto"/>
        </w:rPr>
        <w:t>NOTES TO CONSOLIDATED FINANCIAL STATEMENTS (continued)</w:t>
      </w:r>
    </w:p>
    <w:tbl>
      <w:tblPr>
        <w:tblLayout w:type="fixed"/>
        <w:tblInd w:w="0" w:type="dxa"/>
        <w:tblCellMar>
          <w:top w:w="0" w:type="dxa"/>
          <w:left w:w="0" w:type="dxa"/>
          <w:bottom w:w="0" w:type="dxa"/>
          <w:right w:w="0" w:type="dxa"/>
        </w:tblCellMar>
      </w:tblPr>
      <w:tr>
        <w:trPr>
          <w:trHeight w:val="169"/>
        </w:trPr>
        <w:tc>
          <w:tcPr>
            <w:tcW w:w="6140" w:type="dxa"/>
            <w:vAlign w:val="bottom"/>
            <w:gridSpan w:val="4"/>
          </w:tcPr>
          <w:p>
            <w:pPr>
              <w:ind w:left="540"/>
              <w:spacing w:after="0"/>
              <w:rPr>
                <w:sz w:val="20"/>
                <w:szCs w:val="20"/>
                <w:color w:val="auto"/>
              </w:rPr>
            </w:pPr>
            <w:r>
              <w:rPr>
                <w:rFonts w:ascii="Courier New" w:cs="Courier New" w:eastAsia="Courier New" w:hAnsi="Courier New"/>
                <w:sz w:val="15"/>
                <w:szCs w:val="15"/>
                <w:color w:val="auto"/>
              </w:rPr>
              <w:t>(Tabular dollars in millions, except per share amounts)</w:t>
            </w: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509"/>
        </w:trPr>
        <w:tc>
          <w:tcPr>
            <w:tcW w:w="2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1994</w:t>
            </w:r>
          </w:p>
        </w:tc>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2740" w:type="dxa"/>
            <w:vAlign w:val="bottom"/>
          </w:tcPr>
          <w:p>
            <w:pPr>
              <w:spacing w:after="0"/>
              <w:rPr>
                <w:sz w:val="14"/>
                <w:szCs w:val="14"/>
                <w:color w:val="auto"/>
              </w:rPr>
            </w:pPr>
          </w:p>
        </w:tc>
        <w:tc>
          <w:tcPr>
            <w:tcW w:w="600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2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NON-</w:t>
            </w:r>
          </w:p>
        </w:tc>
        <w:tc>
          <w:tcPr>
            <w:tcW w:w="136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THE</w:t>
            </w:r>
          </w:p>
        </w:tc>
      </w:tr>
      <w:tr>
        <w:trPr>
          <w:trHeight w:val="170"/>
        </w:trPr>
        <w:tc>
          <w:tcPr>
            <w:tcW w:w="2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tcPr>
          <w:p>
            <w:pPr>
              <w:ind w:left="400"/>
              <w:spacing w:after="0"/>
              <w:rPr>
                <w:sz w:val="20"/>
                <w:szCs w:val="20"/>
                <w:color w:val="auto"/>
              </w:rPr>
            </w:pPr>
            <w:r>
              <w:rPr>
                <w:rFonts w:ascii="Courier New" w:cs="Courier New" w:eastAsia="Courier New" w:hAnsi="Courier New"/>
                <w:sz w:val="15"/>
                <w:szCs w:val="15"/>
                <w:color w:val="auto"/>
              </w:rPr>
              <w:t>VIACOM</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GUARANTOR</w:t>
            </w:r>
          </w:p>
        </w:tc>
        <w:tc>
          <w:tcPr>
            <w:tcW w:w="136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COMPANY</w:t>
            </w:r>
          </w:p>
        </w:tc>
      </w:tr>
      <w:tr>
        <w:trPr>
          <w:trHeight w:val="170"/>
        </w:trPr>
        <w:tc>
          <w:tcPr>
            <w:tcW w:w="27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VIACOM</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INTERNATIONAL</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AFFILIATES</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ELIMINATIONS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0"/>
        </w:trPr>
        <w:tc>
          <w:tcPr>
            <w:tcW w:w="27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27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$1,031.1</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$ 988.6</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$5,356.7</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(13.2)</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$7,363.2</w:t>
            </w:r>
          </w:p>
        </w:tc>
      </w:tr>
      <w:tr>
        <w:trPr>
          <w:trHeight w:val="339"/>
        </w:trPr>
        <w:tc>
          <w:tcPr>
            <w:tcW w:w="274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2740" w:type="dxa"/>
            <w:vAlign w:val="bottom"/>
          </w:tcPr>
          <w:p>
            <w:pPr>
              <w:ind w:left="280"/>
              <w:spacing w:after="0"/>
              <w:rPr>
                <w:sz w:val="20"/>
                <w:szCs w:val="20"/>
                <w:color w:val="auto"/>
              </w:rPr>
            </w:pPr>
            <w:r>
              <w:rPr>
                <w:rFonts w:ascii="Courier New" w:cs="Courier New" w:eastAsia="Courier New" w:hAnsi="Courier New"/>
                <w:sz w:val="15"/>
                <w:szCs w:val="15"/>
                <w:color w:val="auto"/>
              </w:rPr>
              <w:t>Operating...............</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691.7</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601.0</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3,121.5</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(13.2)</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4,401.0</w:t>
            </w:r>
          </w:p>
        </w:tc>
      </w:tr>
      <w:tr>
        <w:trPr>
          <w:trHeight w:val="170"/>
        </w:trPr>
        <w:tc>
          <w:tcPr>
            <w:tcW w:w="2740" w:type="dxa"/>
            <w:vAlign w:val="bottom"/>
          </w:tcPr>
          <w:p>
            <w:pPr>
              <w:ind w:left="280"/>
              <w:spacing w:after="0"/>
              <w:rPr>
                <w:sz w:val="20"/>
                <w:szCs w:val="20"/>
                <w:color w:val="auto"/>
              </w:rPr>
            </w:pPr>
            <w:r>
              <w:rPr>
                <w:rFonts w:ascii="Courier New" w:cs="Courier New" w:eastAsia="Courier New" w:hAnsi="Courier New"/>
                <w:sz w:val="15"/>
                <w:szCs w:val="15"/>
                <w:color w:val="auto"/>
              </w:rPr>
              <w:t>Selling, general and</w:t>
            </w:r>
          </w:p>
        </w:tc>
        <w:tc>
          <w:tcPr>
            <w:tcW w:w="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740" w:type="dxa"/>
            <w:vAlign w:val="bottom"/>
          </w:tcPr>
          <w:p>
            <w:pPr>
              <w:ind w:left="280"/>
              <w:spacing w:after="0"/>
              <w:rPr>
                <w:sz w:val="20"/>
                <w:szCs w:val="20"/>
                <w:color w:val="auto"/>
              </w:rPr>
            </w:pPr>
            <w:r>
              <w:rPr>
                <w:rFonts w:ascii="Courier New" w:cs="Courier New" w:eastAsia="Courier New" w:hAnsi="Courier New"/>
                <w:sz w:val="15"/>
                <w:szCs w:val="15"/>
                <w:color w:val="auto"/>
              </w:rPr>
              <w:t>administrative..........</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73.8</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414.8</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1,399.6</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1,888.2</w:t>
            </w:r>
          </w:p>
        </w:tc>
      </w:tr>
      <w:tr>
        <w:trPr>
          <w:trHeight w:val="170"/>
        </w:trPr>
        <w:tc>
          <w:tcPr>
            <w:tcW w:w="2740" w:type="dxa"/>
            <w:vAlign w:val="bottom"/>
          </w:tcPr>
          <w:p>
            <w:pPr>
              <w:ind w:left="280"/>
              <w:spacing w:after="0"/>
              <w:rPr>
                <w:sz w:val="20"/>
                <w:szCs w:val="20"/>
                <w:color w:val="auto"/>
              </w:rPr>
            </w:pPr>
            <w:r>
              <w:rPr>
                <w:rFonts w:ascii="Courier New" w:cs="Courier New" w:eastAsia="Courier New" w:hAnsi="Courier New"/>
                <w:sz w:val="15"/>
                <w:szCs w:val="15"/>
                <w:color w:val="auto"/>
              </w:rPr>
              <w:t>Depreciation and</w:t>
            </w:r>
          </w:p>
        </w:tc>
        <w:tc>
          <w:tcPr>
            <w:tcW w:w="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740" w:type="dxa"/>
            <w:vAlign w:val="bottom"/>
          </w:tcPr>
          <w:p>
            <w:pPr>
              <w:ind w:left="280"/>
              <w:spacing w:after="0"/>
              <w:rPr>
                <w:sz w:val="20"/>
                <w:szCs w:val="20"/>
                <w:color w:val="auto"/>
              </w:rPr>
            </w:pPr>
            <w:r>
              <w:rPr>
                <w:rFonts w:ascii="Courier New" w:cs="Courier New" w:eastAsia="Courier New" w:hAnsi="Courier New"/>
                <w:sz w:val="15"/>
                <w:szCs w:val="15"/>
                <w:color w:val="auto"/>
              </w:rPr>
              <w:t>amortization............</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59.8</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47.6</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358.3</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465.7</w:t>
            </w:r>
          </w:p>
        </w:tc>
      </w:tr>
      <w:tr>
        <w:trPr>
          <w:trHeight w:val="170"/>
        </w:trPr>
        <w:tc>
          <w:tcPr>
            <w:tcW w:w="274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7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Total expenses.......</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825.3</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1,063.4</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4,879.4</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(13.2)</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6,754.9</w:t>
            </w:r>
          </w:p>
        </w:tc>
      </w:tr>
      <w:tr>
        <w:trPr>
          <w:trHeight w:val="170"/>
        </w:trPr>
        <w:tc>
          <w:tcPr>
            <w:tcW w:w="274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274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205.8</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(74.8)</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477.3</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608.3</w:t>
            </w:r>
          </w:p>
        </w:tc>
      </w:tr>
      <w:tr>
        <w:trPr>
          <w:trHeight w:val="170"/>
        </w:trPr>
        <w:tc>
          <w:tcPr>
            <w:tcW w:w="27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740" w:type="dxa"/>
            <w:vAlign w:val="bottom"/>
          </w:tcPr>
          <w:p>
            <w:pPr>
              <w:ind w:left="280"/>
              <w:spacing w:after="0"/>
              <w:rPr>
                <w:sz w:val="20"/>
                <w:szCs w:val="20"/>
                <w:color w:val="auto"/>
              </w:rPr>
            </w:pPr>
            <w:r>
              <w:rPr>
                <w:rFonts w:ascii="Courier New" w:cs="Courier New" w:eastAsia="Courier New" w:hAnsi="Courier New"/>
                <w:sz w:val="15"/>
                <w:szCs w:val="15"/>
                <w:color w:val="auto"/>
              </w:rPr>
              <w:t>Interest expense, net...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(325.6)</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(78.7)</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(89.8)</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(494.1)</w:t>
            </w:r>
          </w:p>
        </w:tc>
      </w:tr>
      <w:tr>
        <w:trPr>
          <w:trHeight w:val="170"/>
        </w:trPr>
        <w:tc>
          <w:tcPr>
            <w:tcW w:w="2740" w:type="dxa"/>
            <w:vAlign w:val="bottom"/>
          </w:tcPr>
          <w:p>
            <w:pPr>
              <w:ind w:left="280"/>
              <w:spacing w:after="0"/>
              <w:rPr>
                <w:sz w:val="20"/>
                <w:szCs w:val="20"/>
                <w:color w:val="auto"/>
              </w:rPr>
            </w:pPr>
            <w:r>
              <w:rPr>
                <w:rFonts w:ascii="Courier New" w:cs="Courier New" w:eastAsia="Courier New" w:hAnsi="Courier New"/>
                <w:sz w:val="15"/>
                <w:szCs w:val="15"/>
                <w:color w:val="auto"/>
              </w:rPr>
              <w:t>Other items, net........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267.1</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262.5</w:t>
            </w:r>
          </w:p>
        </w:tc>
      </w:tr>
      <w:tr>
        <w:trPr>
          <w:trHeight w:val="170"/>
        </w:trPr>
        <w:tc>
          <w:tcPr>
            <w:tcW w:w="27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2740" w:type="dxa"/>
            <w:vAlign w:val="bottom"/>
          </w:tcPr>
          <w:p>
            <w:pPr>
              <w:spacing w:after="0"/>
              <w:rPr>
                <w:sz w:val="20"/>
                <w:szCs w:val="20"/>
                <w:color w:val="auto"/>
              </w:rPr>
            </w:pPr>
            <w:r>
              <w:rPr>
                <w:rFonts w:ascii="Courier New" w:cs="Courier New" w:eastAsia="Courier New" w:hAnsi="Courier New"/>
                <w:sz w:val="15"/>
                <w:szCs w:val="15"/>
                <w:color w:val="auto"/>
                <w:w w:val="97"/>
              </w:rPr>
              <w:t>Earnings (loss) from continuing</w:t>
            </w: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2740" w:type="dxa"/>
            <w:vAlign w:val="bottom"/>
          </w:tcPr>
          <w:p>
            <w:pPr>
              <w:ind w:left="280"/>
              <w:spacing w:after="0"/>
              <w:rPr>
                <w:sz w:val="20"/>
                <w:szCs w:val="20"/>
                <w:color w:val="auto"/>
              </w:rPr>
            </w:pPr>
            <w:r>
              <w:rPr>
                <w:rFonts w:ascii="Courier New" w:cs="Courier New" w:eastAsia="Courier New" w:hAnsi="Courier New"/>
                <w:sz w:val="15"/>
                <w:szCs w:val="15"/>
                <w:color w:val="auto"/>
              </w:rPr>
              <w:t>operations before income</w:t>
            </w:r>
          </w:p>
        </w:tc>
        <w:tc>
          <w:tcPr>
            <w:tcW w:w="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7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taxes..................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(121.4)</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113.6</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384.5</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376.7</w:t>
            </w:r>
          </w:p>
        </w:tc>
      </w:tr>
      <w:tr>
        <w:trPr>
          <w:trHeight w:val="170"/>
        </w:trPr>
        <w:tc>
          <w:tcPr>
            <w:tcW w:w="35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(Provision) benefit for income</w:t>
            </w:r>
          </w:p>
        </w:tc>
        <w:tc>
          <w:tcPr>
            <w:tcW w:w="1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7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taxes..................</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14.8</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(61.3)</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(233.2)</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(279.7)</w:t>
            </w:r>
          </w:p>
        </w:tc>
      </w:tr>
      <w:tr>
        <w:trPr>
          <w:trHeight w:val="170"/>
        </w:trPr>
        <w:tc>
          <w:tcPr>
            <w:tcW w:w="2740" w:type="dxa"/>
            <w:vAlign w:val="bottom"/>
          </w:tcPr>
          <w:p>
            <w:pPr>
              <w:ind w:left="280"/>
              <w:spacing w:after="0"/>
              <w:rPr>
                <w:sz w:val="20"/>
                <w:szCs w:val="20"/>
                <w:color w:val="auto"/>
              </w:rPr>
            </w:pPr>
            <w:r>
              <w:rPr>
                <w:rFonts w:ascii="Courier New" w:cs="Courier New" w:eastAsia="Courier New" w:hAnsi="Courier New"/>
                <w:sz w:val="15"/>
                <w:szCs w:val="15"/>
                <w:color w:val="auto"/>
              </w:rPr>
              <w:t>Equity in earnings of</w:t>
            </w:r>
          </w:p>
        </w:tc>
        <w:tc>
          <w:tcPr>
            <w:tcW w:w="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740" w:type="dxa"/>
            <w:vAlign w:val="bottom"/>
          </w:tcPr>
          <w:p>
            <w:pPr>
              <w:ind w:left="280"/>
              <w:spacing w:after="0"/>
              <w:rPr>
                <w:sz w:val="20"/>
                <w:szCs w:val="20"/>
                <w:color w:val="auto"/>
              </w:rPr>
            </w:pPr>
            <w:r>
              <w:rPr>
                <w:rFonts w:ascii="Courier New" w:cs="Courier New" w:eastAsia="Courier New" w:hAnsi="Courier New"/>
                <w:sz w:val="15"/>
                <w:szCs w:val="15"/>
                <w:color w:val="auto"/>
              </w:rPr>
              <w:t>affiliated</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207.6</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167.0</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24.4</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(380.4)</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18.6</w:t>
            </w:r>
          </w:p>
        </w:tc>
      </w:tr>
      <w:tr>
        <w:trPr>
          <w:trHeight w:val="170"/>
        </w:trPr>
        <w:tc>
          <w:tcPr>
            <w:tcW w:w="2740" w:type="dxa"/>
            <w:vAlign w:val="bottom"/>
          </w:tcPr>
          <w:p>
            <w:pPr>
              <w:ind w:left="280"/>
              <w:spacing w:after="0"/>
              <w:rPr>
                <w:sz w:val="20"/>
                <w:szCs w:val="20"/>
                <w:color w:val="auto"/>
              </w:rPr>
            </w:pPr>
            <w:r>
              <w:rPr>
                <w:rFonts w:ascii="Courier New" w:cs="Courier New" w:eastAsia="Courier New" w:hAnsi="Courier New"/>
                <w:sz w:val="15"/>
                <w:szCs w:val="15"/>
                <w:color w:val="auto"/>
              </w:rPr>
              <w:t>companies, net of tax...</w:t>
            </w:r>
          </w:p>
        </w:tc>
        <w:tc>
          <w:tcPr>
            <w:tcW w:w="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740" w:type="dxa"/>
            <w:vAlign w:val="bottom"/>
          </w:tcPr>
          <w:p>
            <w:pPr>
              <w:ind w:left="280"/>
              <w:spacing w:after="0"/>
              <w:rPr>
                <w:sz w:val="20"/>
                <w:szCs w:val="20"/>
                <w:color w:val="auto"/>
              </w:rPr>
            </w:pPr>
            <w:r>
              <w:rPr>
                <w:rFonts w:ascii="Courier New" w:cs="Courier New" w:eastAsia="Courier New" w:hAnsi="Courier New"/>
                <w:sz w:val="15"/>
                <w:szCs w:val="15"/>
                <w:color w:val="auto"/>
              </w:rPr>
              <w:t>Minority interest.......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18.1</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14.9</w:t>
            </w:r>
          </w:p>
        </w:tc>
      </w:tr>
      <w:tr>
        <w:trPr>
          <w:trHeight w:val="170"/>
        </w:trPr>
        <w:tc>
          <w:tcPr>
            <w:tcW w:w="27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740" w:type="dxa"/>
            <w:vAlign w:val="bottom"/>
          </w:tcPr>
          <w:p>
            <w:pPr>
              <w:spacing w:after="0"/>
              <w:rPr>
                <w:sz w:val="20"/>
                <w:szCs w:val="20"/>
                <w:color w:val="auto"/>
              </w:rPr>
            </w:pPr>
            <w:r>
              <w:rPr>
                <w:rFonts w:ascii="Courier New" w:cs="Courier New" w:eastAsia="Courier New" w:hAnsi="Courier New"/>
                <w:sz w:val="15"/>
                <w:szCs w:val="15"/>
                <w:color w:val="auto"/>
              </w:rPr>
              <w:t>Net earnings from continuing</w:t>
            </w:r>
          </w:p>
        </w:tc>
        <w:tc>
          <w:tcPr>
            <w:tcW w:w="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740" w:type="dxa"/>
            <w:vAlign w:val="bottom"/>
          </w:tcPr>
          <w:p>
            <w:pPr>
              <w:ind w:left="180"/>
              <w:spacing w:after="0"/>
              <w:rPr>
                <w:sz w:val="20"/>
                <w:szCs w:val="20"/>
                <w:color w:val="auto"/>
              </w:rPr>
            </w:pPr>
            <w:r>
              <w:rPr>
                <w:rFonts w:ascii="Courier New" w:cs="Courier New" w:eastAsia="Courier New" w:hAnsi="Courier New"/>
                <w:sz w:val="15"/>
                <w:szCs w:val="15"/>
                <w:color w:val="auto"/>
              </w:rPr>
              <w:t>operations................</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98.0</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219.1</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193.8</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(380.4)</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130.5</w:t>
            </w:r>
          </w:p>
        </w:tc>
      </w:tr>
      <w:tr>
        <w:trPr>
          <w:trHeight w:val="170"/>
        </w:trPr>
        <w:tc>
          <w:tcPr>
            <w:tcW w:w="2740" w:type="dxa"/>
            <w:vAlign w:val="bottom"/>
          </w:tcPr>
          <w:p>
            <w:pPr>
              <w:ind w:left="280"/>
              <w:spacing w:after="0"/>
              <w:rPr>
                <w:sz w:val="20"/>
                <w:szCs w:val="20"/>
                <w:color w:val="auto"/>
              </w:rPr>
            </w:pPr>
            <w:r>
              <w:rPr>
                <w:rFonts w:ascii="Courier New" w:cs="Courier New" w:eastAsia="Courier New" w:hAnsi="Courier New"/>
                <w:sz w:val="15"/>
                <w:szCs w:val="15"/>
                <w:color w:val="auto"/>
              </w:rPr>
              <w:t>Loss from discontinued</w:t>
            </w:r>
          </w:p>
        </w:tc>
        <w:tc>
          <w:tcPr>
            <w:tcW w:w="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740" w:type="dxa"/>
            <w:vAlign w:val="bottom"/>
          </w:tcPr>
          <w:p>
            <w:pPr>
              <w:ind w:left="280"/>
              <w:spacing w:after="0"/>
              <w:rPr>
                <w:sz w:val="20"/>
                <w:szCs w:val="20"/>
                <w:color w:val="auto"/>
              </w:rPr>
            </w:pPr>
            <w:r>
              <w:rPr>
                <w:rFonts w:ascii="Courier New" w:cs="Courier New" w:eastAsia="Courier New" w:hAnsi="Courier New"/>
                <w:sz w:val="15"/>
                <w:szCs w:val="15"/>
                <w:color w:val="auto"/>
              </w:rPr>
              <w:t>operations, net of tax...</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(20.5)</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(20.5)</w:t>
            </w:r>
          </w:p>
        </w:tc>
      </w:tr>
      <w:tr>
        <w:trPr>
          <w:trHeight w:val="170"/>
        </w:trPr>
        <w:tc>
          <w:tcPr>
            <w:tcW w:w="27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rPr>
              <w:t>Net earnings before extraordinary</w:t>
            </w: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2740" w:type="dxa"/>
            <w:vAlign w:val="bottom"/>
          </w:tcPr>
          <w:p>
            <w:pPr>
              <w:ind w:left="280"/>
              <w:spacing w:after="0"/>
              <w:rPr>
                <w:sz w:val="20"/>
                <w:szCs w:val="20"/>
                <w:color w:val="auto"/>
              </w:rPr>
            </w:pPr>
            <w:r>
              <w:rPr>
                <w:rFonts w:ascii="Courier New" w:cs="Courier New" w:eastAsia="Courier New" w:hAnsi="Courier New"/>
                <w:sz w:val="15"/>
                <w:szCs w:val="15"/>
                <w:color w:val="auto"/>
              </w:rPr>
              <w:t>loss.....................</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98.0</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219.1</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173.3</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(380.4)</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110.0</w:t>
            </w:r>
          </w:p>
        </w:tc>
      </w:tr>
      <w:tr>
        <w:trPr>
          <w:trHeight w:val="170"/>
        </w:trPr>
        <w:tc>
          <w:tcPr>
            <w:tcW w:w="2740" w:type="dxa"/>
            <w:vAlign w:val="bottom"/>
          </w:tcPr>
          <w:p>
            <w:pPr>
              <w:spacing w:after="0"/>
              <w:rPr>
                <w:sz w:val="20"/>
                <w:szCs w:val="20"/>
                <w:color w:val="auto"/>
              </w:rPr>
            </w:pPr>
            <w:r>
              <w:rPr>
                <w:rFonts w:ascii="Courier New" w:cs="Courier New" w:eastAsia="Courier New" w:hAnsi="Courier New"/>
                <w:sz w:val="15"/>
                <w:szCs w:val="15"/>
                <w:color w:val="auto"/>
              </w:rPr>
              <w:t>Extraordinary loss, net of tax</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(12.0)</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(20.4)</w:t>
            </w:r>
          </w:p>
        </w:tc>
      </w:tr>
      <w:tr>
        <w:trPr>
          <w:trHeight w:val="170"/>
        </w:trPr>
        <w:tc>
          <w:tcPr>
            <w:tcW w:w="274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74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89.6</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207.1</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173.3</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(380.4)</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89.6</w:t>
            </w:r>
          </w:p>
        </w:tc>
      </w:tr>
      <w:tr>
        <w:trPr>
          <w:trHeight w:val="170"/>
        </w:trPr>
        <w:tc>
          <w:tcPr>
            <w:tcW w:w="2740" w:type="dxa"/>
            <w:vAlign w:val="bottom"/>
          </w:tcPr>
          <w:p>
            <w:pPr>
              <w:ind w:left="180"/>
              <w:spacing w:after="0"/>
              <w:rPr>
                <w:sz w:val="20"/>
                <w:szCs w:val="20"/>
                <w:color w:val="auto"/>
              </w:rPr>
            </w:pPr>
            <w:r>
              <w:rPr>
                <w:rFonts w:ascii="Courier New" w:cs="Courier New" w:eastAsia="Courier New" w:hAnsi="Courier New"/>
                <w:sz w:val="15"/>
                <w:szCs w:val="15"/>
                <w:color w:val="auto"/>
              </w:rPr>
              <w:t>Cumulative convertible</w:t>
            </w:r>
          </w:p>
        </w:tc>
        <w:tc>
          <w:tcPr>
            <w:tcW w:w="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74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 dividend</w:t>
            </w:r>
          </w:p>
        </w:tc>
        <w:tc>
          <w:tcPr>
            <w:tcW w:w="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740" w:type="dxa"/>
            <w:vAlign w:val="bottom"/>
          </w:tcPr>
          <w:p>
            <w:pPr>
              <w:ind w:left="180"/>
              <w:spacing w:after="0"/>
              <w:rPr>
                <w:sz w:val="20"/>
                <w:szCs w:val="20"/>
                <w:color w:val="auto"/>
              </w:rPr>
            </w:pPr>
            <w:r>
              <w:rPr>
                <w:rFonts w:ascii="Courier New" w:cs="Courier New" w:eastAsia="Courier New" w:hAnsi="Courier New"/>
                <w:sz w:val="15"/>
                <w:szCs w:val="15"/>
                <w:color w:val="auto"/>
              </w:rPr>
              <w:t>requirement...............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75.0</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75.0</w:t>
            </w:r>
          </w:p>
        </w:tc>
      </w:tr>
      <w:tr>
        <w:trPr>
          <w:trHeight w:val="170"/>
        </w:trPr>
        <w:tc>
          <w:tcPr>
            <w:tcW w:w="274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740" w:type="dxa"/>
            <w:vAlign w:val="bottom"/>
          </w:tcPr>
          <w:p>
            <w:pPr>
              <w:spacing w:after="0"/>
              <w:rPr>
                <w:sz w:val="20"/>
                <w:szCs w:val="20"/>
                <w:color w:val="auto"/>
              </w:rPr>
            </w:pPr>
            <w:r>
              <w:rPr>
                <w:rFonts w:ascii="Courier New" w:cs="Courier New" w:eastAsia="Courier New" w:hAnsi="Courier New"/>
                <w:sz w:val="15"/>
                <w:szCs w:val="15"/>
                <w:color w:val="auto"/>
              </w:rPr>
              <w:t>Net earnings attributable to</w:t>
            </w:r>
          </w:p>
        </w:tc>
        <w:tc>
          <w:tcPr>
            <w:tcW w:w="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740" w:type="dxa"/>
            <w:vAlign w:val="bottom"/>
          </w:tcPr>
          <w:p>
            <w:pPr>
              <w:ind w:left="280"/>
              <w:spacing w:after="0"/>
              <w:rPr>
                <w:sz w:val="20"/>
                <w:szCs w:val="20"/>
                <w:color w:val="auto"/>
              </w:rPr>
            </w:pPr>
            <w:r>
              <w:rPr>
                <w:rFonts w:ascii="Courier New" w:cs="Courier New" w:eastAsia="Courier New" w:hAnsi="Courier New"/>
                <w:sz w:val="15"/>
                <w:szCs w:val="15"/>
                <w:color w:val="auto"/>
              </w:rPr>
              <w:t>common stock.............</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$ 14.6</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$207.1</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$173.3</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$(380.4)</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14.6</w:t>
            </w:r>
          </w:p>
        </w:tc>
      </w:tr>
      <w:tr>
        <w:trPr>
          <w:trHeight w:val="170"/>
        </w:trPr>
        <w:tc>
          <w:tcPr>
            <w:tcW w:w="274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II-51</w:t>
      </w:r>
    </w:p>
    <w:p>
      <w:pPr>
        <w:sectPr>
          <w:pgSz w:w="11900" w:h="16838" w:orient="portrait"/>
          <w:cols w:equalWidth="0" w:num="1">
            <w:col w:w="9619"/>
          </w:cols>
          <w:pgMar w:left="840" w:top="452" w:right="1440" w:bottom="1440" w:gutter="0" w:footer="0" w:header="0"/>
        </w:sectPr>
      </w:pPr>
    </w:p>
    <w:bookmarkStart w:id="92" w:name="page93"/>
    <w:bookmarkEnd w:id="92"/>
    <w:p>
      <w:pPr>
        <w:jc w:val="center"/>
        <w:ind w:right="3339"/>
        <w:spacing w:after="0"/>
        <w:rPr>
          <w:sz w:val="20"/>
          <w:szCs w:val="20"/>
          <w:color w:val="auto"/>
        </w:rPr>
      </w:pPr>
      <w:r>
        <w:rPr>
          <w:rFonts w:ascii="Courier New" w:cs="Courier New" w:eastAsia="Courier New" w:hAnsi="Courier New"/>
          <w:sz w:val="15"/>
          <w:szCs w:val="15"/>
          <w:color w:val="auto"/>
        </w:rPr>
        <w:t>VIACOM INC. AND SUBSIDIARIES</w:t>
      </w:r>
    </w:p>
    <w:p>
      <w:pPr>
        <w:jc w:val="center"/>
        <w:ind w:right="3339"/>
        <w:spacing w:after="0"/>
        <w:rPr>
          <w:sz w:val="20"/>
          <w:szCs w:val="20"/>
          <w:color w:val="auto"/>
        </w:rPr>
      </w:pPr>
      <w:r>
        <w:rPr>
          <w:rFonts w:ascii="Courier New" w:cs="Courier New" w:eastAsia="Courier New" w:hAnsi="Courier New"/>
          <w:sz w:val="15"/>
          <w:szCs w:val="15"/>
          <w:color w:val="auto"/>
        </w:rPr>
        <w:t>NOTES TO CONSOLIDATED FINANCIAL STATEMENTS (continued)</w:t>
      </w:r>
    </w:p>
    <w:tbl>
      <w:tblPr>
        <w:tblLayout w:type="fixed"/>
        <w:tblInd w:w="0" w:type="dxa"/>
        <w:tblCellMar>
          <w:top w:w="0" w:type="dxa"/>
          <w:left w:w="0" w:type="dxa"/>
          <w:bottom w:w="0" w:type="dxa"/>
          <w:right w:w="0" w:type="dxa"/>
        </w:tblCellMar>
      </w:tblPr>
      <w:tr>
        <w:trPr>
          <w:trHeight w:val="169"/>
        </w:trPr>
        <w:tc>
          <w:tcPr>
            <w:tcW w:w="5820" w:type="dxa"/>
            <w:vAlign w:val="bottom"/>
            <w:gridSpan w:val="5"/>
          </w:tcPr>
          <w:p>
            <w:pPr>
              <w:ind w:left="980"/>
              <w:spacing w:after="0"/>
              <w:rPr>
                <w:sz w:val="20"/>
                <w:szCs w:val="20"/>
                <w:color w:val="auto"/>
              </w:rPr>
            </w:pPr>
            <w:r>
              <w:rPr>
                <w:rFonts w:ascii="Courier New" w:cs="Courier New" w:eastAsia="Courier New" w:hAnsi="Courier New"/>
                <w:sz w:val="15"/>
                <w:szCs w:val="15"/>
                <w:color w:val="auto"/>
                <w:w w:val="97"/>
              </w:rPr>
              <w:t>(Tabular dollars in millions, except per share amounts)</w:t>
            </w: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848"/>
        </w:trPr>
        <w:tc>
          <w:tcPr>
            <w:tcW w:w="2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1995</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0"/>
        </w:trPr>
        <w:tc>
          <w:tcPr>
            <w:tcW w:w="2960" w:type="dxa"/>
            <w:vAlign w:val="bottom"/>
          </w:tcPr>
          <w:p>
            <w:pPr>
              <w:spacing w:after="0"/>
              <w:rPr>
                <w:sz w:val="14"/>
                <w:szCs w:val="14"/>
                <w:color w:val="auto"/>
              </w:rPr>
            </w:pPr>
          </w:p>
        </w:tc>
        <w:tc>
          <w:tcPr>
            <w:tcW w:w="6660" w:type="dxa"/>
            <w:vAlign w:val="bottom"/>
            <w:gridSpan w:val="9"/>
          </w:tcPr>
          <w:p>
            <w:pPr>
              <w:jc w:val="right"/>
              <w:ind w:right="2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2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NON-</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THE</w:t>
            </w:r>
          </w:p>
        </w:tc>
      </w:tr>
      <w:tr>
        <w:trPr>
          <w:trHeight w:val="170"/>
        </w:trPr>
        <w:tc>
          <w:tcPr>
            <w:tcW w:w="2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2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VIACOM</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GUARANTOR</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COMPANY</w:t>
            </w:r>
          </w:p>
        </w:tc>
      </w:tr>
      <w:tr>
        <w:trPr>
          <w:trHeight w:val="170"/>
        </w:trPr>
        <w:tc>
          <w:tcPr>
            <w:tcW w:w="2960" w:type="dxa"/>
            <w:vAlign w:val="bottom"/>
          </w:tcPr>
          <w:p>
            <w:pPr>
              <w:spacing w:after="0"/>
              <w:rPr>
                <w:sz w:val="14"/>
                <w:szCs w:val="1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VIACOM</w:t>
            </w: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INTERNATIONAL</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AFFILIATES</w:t>
            </w:r>
          </w:p>
        </w:tc>
        <w:tc>
          <w:tcPr>
            <w:tcW w:w="1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ELIMINATION</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CONSOLIDATED</w:t>
            </w:r>
          </w:p>
        </w:tc>
      </w:tr>
      <w:tr>
        <w:trPr>
          <w:trHeight w:val="170"/>
        </w:trPr>
        <w:tc>
          <w:tcPr>
            <w:tcW w:w="2960" w:type="dxa"/>
            <w:vAlign w:val="bottom"/>
          </w:tcPr>
          <w:p>
            <w:pPr>
              <w:spacing w:after="0"/>
              <w:rPr>
                <w:sz w:val="14"/>
                <w:szCs w:val="1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29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0"/>
        </w:trPr>
        <w:tc>
          <w:tcPr>
            <w:tcW w:w="29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Cash and cash equivalents..</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176.2</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223.3</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64.6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464.1</w:t>
            </w:r>
          </w:p>
        </w:tc>
      </w:tr>
      <w:tr>
        <w:trPr>
          <w:trHeight w:val="170"/>
        </w:trPr>
        <w:tc>
          <w:tcPr>
            <w:tcW w:w="2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Receivables, net.......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259.4</w:t>
            </w:r>
          </w:p>
        </w:tc>
        <w:tc>
          <w:tcPr>
            <w:tcW w:w="46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267.7</w:t>
            </w:r>
          </w:p>
        </w:tc>
        <w:tc>
          <w:tcPr>
            <w:tcW w:w="2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1,366.8</w:t>
            </w:r>
          </w:p>
        </w:tc>
        <w:tc>
          <w:tcPr>
            <w:tcW w:w="44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(21.5)</w:t>
            </w:r>
          </w:p>
        </w:tc>
        <w:tc>
          <w:tcPr>
            <w:tcW w:w="6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1,872.4</w:t>
            </w:r>
          </w:p>
        </w:tc>
      </w:tr>
      <w:tr>
        <w:trPr>
          <w:trHeight w:val="170"/>
        </w:trPr>
        <w:tc>
          <w:tcPr>
            <w:tcW w:w="2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Inventory..............</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736.5</w:t>
            </w:r>
          </w:p>
        </w:tc>
        <w:tc>
          <w:tcPr>
            <w:tcW w:w="46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102.3</w:t>
            </w:r>
          </w:p>
        </w:tc>
        <w:tc>
          <w:tcPr>
            <w:tcW w:w="2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1,339.3</w:t>
            </w:r>
          </w:p>
        </w:tc>
        <w:tc>
          <w:tcPr>
            <w:tcW w:w="44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2,178.1</w:t>
            </w:r>
          </w:p>
        </w:tc>
      </w:tr>
      <w:tr>
        <w:trPr>
          <w:trHeight w:val="170"/>
        </w:trPr>
        <w:tc>
          <w:tcPr>
            <w:tcW w:w="2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Other current assets...</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44.6</w:t>
            </w:r>
          </w:p>
        </w:tc>
        <w:tc>
          <w:tcPr>
            <w:tcW w:w="46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103.3</w:t>
            </w:r>
          </w:p>
        </w:tc>
        <w:tc>
          <w:tcPr>
            <w:tcW w:w="2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544.1</w:t>
            </w:r>
          </w:p>
        </w:tc>
        <w:tc>
          <w:tcPr>
            <w:tcW w:w="44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w:t>
            </w:r>
          </w:p>
        </w:tc>
        <w:tc>
          <w:tcPr>
            <w:tcW w:w="6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684.4</w:t>
            </w:r>
          </w:p>
        </w:tc>
      </w:tr>
      <w:tr>
        <w:trPr>
          <w:trHeight w:val="170"/>
        </w:trPr>
        <w:tc>
          <w:tcPr>
            <w:tcW w:w="296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44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Total current assets.</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1,216.7</w:t>
            </w:r>
          </w:p>
        </w:tc>
        <w:tc>
          <w:tcPr>
            <w:tcW w:w="46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696.6</w:t>
            </w:r>
          </w:p>
        </w:tc>
        <w:tc>
          <w:tcPr>
            <w:tcW w:w="2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3,314.8</w:t>
            </w:r>
          </w:p>
        </w:tc>
        <w:tc>
          <w:tcPr>
            <w:tcW w:w="44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(29.1)</w:t>
            </w:r>
          </w:p>
        </w:tc>
        <w:tc>
          <w:tcPr>
            <w:tcW w:w="6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5,199.0</w:t>
            </w:r>
          </w:p>
        </w:tc>
      </w:tr>
      <w:tr>
        <w:trPr>
          <w:trHeight w:val="170"/>
        </w:trPr>
        <w:tc>
          <w:tcPr>
            <w:tcW w:w="296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296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1,132.9</w:t>
            </w:r>
          </w:p>
        </w:tc>
        <w:tc>
          <w:tcPr>
            <w:tcW w:w="46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280.2</w:t>
            </w:r>
          </w:p>
        </w:tc>
        <w:tc>
          <w:tcPr>
            <w:tcW w:w="260" w:type="dxa"/>
            <w:vAlign w:val="bottom"/>
          </w:tcPr>
          <w:p>
            <w:pPr>
              <w:spacing w:after="0"/>
              <w:rPr>
                <w:sz w:val="24"/>
                <w:szCs w:val="2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2,561.6</w:t>
            </w:r>
          </w:p>
        </w:tc>
        <w:tc>
          <w:tcPr>
            <w:tcW w:w="440" w:type="dxa"/>
            <w:vAlign w:val="bottom"/>
          </w:tcPr>
          <w:p>
            <w:pPr>
              <w:spacing w:after="0"/>
              <w:rPr>
                <w:sz w:val="24"/>
                <w:szCs w:val="2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24"/>
                <w:szCs w:val="2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3,974.7</w:t>
            </w:r>
          </w:p>
        </w:tc>
      </w:tr>
      <w:tr>
        <w:trPr>
          <w:trHeight w:val="170"/>
        </w:trPr>
        <w:tc>
          <w:tcPr>
            <w:tcW w:w="29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Less accumulated</w:t>
            </w: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depreciation...........</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141.5</w:t>
            </w:r>
          </w:p>
        </w:tc>
        <w:tc>
          <w:tcPr>
            <w:tcW w:w="46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55.9</w:t>
            </w:r>
          </w:p>
        </w:tc>
        <w:tc>
          <w:tcPr>
            <w:tcW w:w="2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559.4</w:t>
            </w:r>
          </w:p>
        </w:tc>
        <w:tc>
          <w:tcPr>
            <w:tcW w:w="44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756.8</w:t>
            </w:r>
          </w:p>
        </w:tc>
      </w:tr>
      <w:tr>
        <w:trPr>
          <w:trHeight w:val="170"/>
        </w:trPr>
        <w:tc>
          <w:tcPr>
            <w:tcW w:w="296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44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29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Net property and</w:t>
            </w: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0"/>
        </w:trPr>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equipment..............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991.4</w:t>
            </w:r>
          </w:p>
        </w:tc>
        <w:tc>
          <w:tcPr>
            <w:tcW w:w="46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224.3</w:t>
            </w:r>
          </w:p>
        </w:tc>
        <w:tc>
          <w:tcPr>
            <w:tcW w:w="2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2,002.2</w:t>
            </w:r>
          </w:p>
        </w:tc>
        <w:tc>
          <w:tcPr>
            <w:tcW w:w="44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3,217.9</w:t>
            </w:r>
          </w:p>
        </w:tc>
      </w:tr>
      <w:tr>
        <w:trPr>
          <w:trHeight w:val="170"/>
        </w:trPr>
        <w:tc>
          <w:tcPr>
            <w:tcW w:w="296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44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678"/>
        </w:trPr>
        <w:tc>
          <w:tcPr>
            <w:tcW w:w="2960" w:type="dxa"/>
            <w:vAlign w:val="bottom"/>
          </w:tcPr>
          <w:p>
            <w:pPr>
              <w:ind w:left="180"/>
              <w:spacing w:after="0"/>
              <w:rPr>
                <w:sz w:val="20"/>
                <w:szCs w:val="20"/>
                <w:color w:val="auto"/>
              </w:rPr>
            </w:pPr>
            <w:r>
              <w:rPr>
                <w:rFonts w:ascii="Courier New" w:cs="Courier New" w:eastAsia="Courier New" w:hAnsi="Courier New"/>
                <w:sz w:val="15"/>
                <w:szCs w:val="15"/>
                <w:color w:val="auto"/>
              </w:rPr>
              <w:t>Inventory</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682.0</w:t>
            </w:r>
          </w:p>
        </w:tc>
        <w:tc>
          <w:tcPr>
            <w:tcW w:w="46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182.2</w:t>
            </w:r>
          </w:p>
        </w:tc>
        <w:tc>
          <w:tcPr>
            <w:tcW w:w="260" w:type="dxa"/>
            <w:vAlign w:val="bottom"/>
          </w:tcPr>
          <w:p>
            <w:pPr>
              <w:spacing w:after="0"/>
              <w:rPr>
                <w:sz w:val="24"/>
                <w:szCs w:val="2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1,407.3</w:t>
            </w:r>
          </w:p>
        </w:tc>
        <w:tc>
          <w:tcPr>
            <w:tcW w:w="440" w:type="dxa"/>
            <w:vAlign w:val="bottom"/>
          </w:tcPr>
          <w:p>
            <w:pPr>
              <w:spacing w:after="0"/>
              <w:rPr>
                <w:sz w:val="24"/>
                <w:szCs w:val="2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24"/>
                <w:szCs w:val="2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2,271.5</w:t>
            </w:r>
          </w:p>
        </w:tc>
      </w:tr>
      <w:tr>
        <w:trPr>
          <w:trHeight w:val="170"/>
        </w:trPr>
        <w:tc>
          <w:tcPr>
            <w:tcW w:w="2960" w:type="dxa"/>
            <w:vAlign w:val="bottom"/>
          </w:tcPr>
          <w:p>
            <w:pPr>
              <w:ind w:left="180"/>
              <w:spacing w:after="0"/>
              <w:rPr>
                <w:sz w:val="20"/>
                <w:szCs w:val="20"/>
                <w:color w:val="auto"/>
              </w:rPr>
            </w:pPr>
            <w:r>
              <w:rPr>
                <w:rFonts w:ascii="Courier New" w:cs="Courier New" w:eastAsia="Courier New" w:hAnsi="Courier New"/>
                <w:sz w:val="15"/>
                <w:szCs w:val="15"/>
                <w:color w:val="auto"/>
              </w:rPr>
              <w:t>Intangibles, at amortized</w:t>
            </w: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2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cost.....................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7,118.3</w:t>
            </w:r>
          </w:p>
        </w:tc>
        <w:tc>
          <w:tcPr>
            <w:tcW w:w="46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557.5</w:t>
            </w:r>
          </w:p>
        </w:tc>
        <w:tc>
          <w:tcPr>
            <w:tcW w:w="2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8,477.4</w:t>
            </w:r>
          </w:p>
        </w:tc>
        <w:tc>
          <w:tcPr>
            <w:tcW w:w="44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16,153.2</w:t>
            </w:r>
          </w:p>
        </w:tc>
      </w:tr>
      <w:tr>
        <w:trPr>
          <w:trHeight w:val="170"/>
        </w:trPr>
        <w:tc>
          <w:tcPr>
            <w:tcW w:w="2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Investments in consolidated</w:t>
            </w: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2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subs.....................</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1,943.5</w:t>
            </w:r>
          </w:p>
        </w:tc>
        <w:tc>
          <w:tcPr>
            <w:tcW w:w="14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11,295.9</w:t>
            </w:r>
          </w:p>
        </w:tc>
        <w:tc>
          <w:tcPr>
            <w:tcW w:w="2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(13,239.4)</w:t>
            </w:r>
          </w:p>
        </w:tc>
        <w:tc>
          <w:tcPr>
            <w:tcW w:w="6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Other assets...............</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237.3</w:t>
            </w:r>
          </w:p>
        </w:tc>
        <w:tc>
          <w:tcPr>
            <w:tcW w:w="46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314.6</w:t>
            </w:r>
          </w:p>
        </w:tc>
        <w:tc>
          <w:tcPr>
            <w:tcW w:w="2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1,982.8</w:t>
            </w:r>
          </w:p>
        </w:tc>
        <w:tc>
          <w:tcPr>
            <w:tcW w:w="44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(350.3)</w:t>
            </w:r>
          </w:p>
        </w:tc>
        <w:tc>
          <w:tcPr>
            <w:tcW w:w="6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2,184.4</w:t>
            </w:r>
          </w:p>
        </w:tc>
      </w:tr>
      <w:tr>
        <w:trPr>
          <w:trHeight w:val="170"/>
        </w:trPr>
        <w:tc>
          <w:tcPr>
            <w:tcW w:w="296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96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$12,189.2</w:t>
            </w:r>
          </w:p>
        </w:tc>
        <w:tc>
          <w:tcPr>
            <w:tcW w:w="14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$13,271.1</w:t>
            </w:r>
          </w:p>
        </w:tc>
        <w:tc>
          <w:tcPr>
            <w:tcW w:w="2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$17,184.5</w:t>
            </w: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$(13,618.8)</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$ 29,026.0</w:t>
            </w:r>
          </w:p>
        </w:tc>
      </w:tr>
      <w:tr>
        <w:trPr>
          <w:trHeight w:val="170"/>
        </w:trPr>
        <w:tc>
          <w:tcPr>
            <w:tcW w:w="2960" w:type="dxa"/>
            <w:vAlign w:val="bottom"/>
          </w:tcPr>
          <w:p>
            <w:pPr>
              <w:spacing w:after="0"/>
              <w:rPr>
                <w:sz w:val="14"/>
                <w:szCs w:val="14"/>
                <w:color w:val="auto"/>
              </w:rPr>
            </w:pP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509"/>
        </w:trPr>
        <w:tc>
          <w:tcPr>
            <w:tcW w:w="2960" w:type="dxa"/>
            <w:vAlign w:val="bottom"/>
          </w:tcPr>
          <w:p>
            <w:pPr>
              <w:ind w:left="180"/>
              <w:spacing w:after="0"/>
              <w:rPr>
                <w:sz w:val="20"/>
                <w:szCs w:val="20"/>
                <w:color w:val="auto"/>
              </w:rPr>
            </w:pPr>
            <w:r>
              <w:rPr>
                <w:rFonts w:ascii="Courier New" w:cs="Courier New" w:eastAsia="Courier New" w:hAnsi="Courier New"/>
                <w:sz w:val="15"/>
                <w:szCs w:val="15"/>
                <w:color w:val="auto"/>
              </w:rPr>
              <w:t>LIABILITIES AND SHAREHOLDERS'</w:t>
            </w: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0"/>
        </w:trPr>
        <w:tc>
          <w:tcPr>
            <w:tcW w:w="2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EQUITY</w:t>
            </w: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29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2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Accounts payable........</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$ 339.4</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44.2</w:t>
            </w:r>
          </w:p>
        </w:tc>
        <w:tc>
          <w:tcPr>
            <w:tcW w:w="2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$411.7</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788.8</w:t>
            </w:r>
          </w:p>
        </w:tc>
      </w:tr>
      <w:tr>
        <w:trPr>
          <w:trHeight w:val="170"/>
        </w:trPr>
        <w:tc>
          <w:tcPr>
            <w:tcW w:w="2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Accrued interest........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97.6</w:t>
            </w:r>
          </w:p>
        </w:tc>
        <w:tc>
          <w:tcPr>
            <w:tcW w:w="46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50.8</w:t>
            </w:r>
          </w:p>
        </w:tc>
        <w:tc>
          <w:tcPr>
            <w:tcW w:w="2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w:t>
            </w:r>
          </w:p>
        </w:tc>
        <w:tc>
          <w:tcPr>
            <w:tcW w:w="44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149.8</w:t>
            </w:r>
          </w:p>
        </w:tc>
      </w:tr>
      <w:tr>
        <w:trPr>
          <w:trHeight w:val="170"/>
        </w:trPr>
        <w:tc>
          <w:tcPr>
            <w:tcW w:w="2960" w:type="dxa"/>
            <w:vAlign w:val="bottom"/>
          </w:tcPr>
          <w:p>
            <w:pPr>
              <w:ind w:left="440"/>
              <w:spacing w:after="0"/>
              <w:rPr>
                <w:sz w:val="20"/>
                <w:szCs w:val="20"/>
                <w:color w:val="auto"/>
              </w:rPr>
            </w:pPr>
            <w:r>
              <w:rPr>
                <w:rFonts w:ascii="Courier New" w:cs="Courier New" w:eastAsia="Courier New" w:hAnsi="Courier New"/>
                <w:sz w:val="15"/>
                <w:szCs w:val="15"/>
                <w:color w:val="auto"/>
              </w:rPr>
              <w:t>Merger consideration</w:t>
            </w: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2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payable...............</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167.4</w:t>
            </w:r>
          </w:p>
        </w:tc>
        <w:tc>
          <w:tcPr>
            <w:tcW w:w="46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167.4</w:t>
            </w:r>
          </w:p>
        </w:tc>
      </w:tr>
      <w:tr>
        <w:trPr>
          <w:trHeight w:val="170"/>
        </w:trPr>
        <w:tc>
          <w:tcPr>
            <w:tcW w:w="2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Accrued compensation....</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47.5</w:t>
            </w:r>
          </w:p>
        </w:tc>
        <w:tc>
          <w:tcPr>
            <w:tcW w:w="46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145.7</w:t>
            </w:r>
          </w:p>
        </w:tc>
        <w:tc>
          <w:tcPr>
            <w:tcW w:w="2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256.2</w:t>
            </w:r>
          </w:p>
        </w:tc>
        <w:tc>
          <w:tcPr>
            <w:tcW w:w="44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449.4</w:t>
            </w:r>
          </w:p>
        </w:tc>
      </w:tr>
      <w:tr>
        <w:trPr>
          <w:trHeight w:val="170"/>
        </w:trPr>
        <w:tc>
          <w:tcPr>
            <w:tcW w:w="2960" w:type="dxa"/>
            <w:vAlign w:val="bottom"/>
          </w:tcPr>
          <w:p>
            <w:pPr>
              <w:ind w:left="440"/>
              <w:spacing w:after="0"/>
              <w:rPr>
                <w:sz w:val="20"/>
                <w:szCs w:val="20"/>
                <w:color w:val="auto"/>
              </w:rPr>
            </w:pPr>
            <w:r>
              <w:rPr>
                <w:rFonts w:ascii="Courier New" w:cs="Courier New" w:eastAsia="Courier New" w:hAnsi="Courier New"/>
                <w:sz w:val="15"/>
                <w:szCs w:val="15"/>
                <w:color w:val="auto"/>
              </w:rPr>
              <w:t>Participants share,</w:t>
            </w: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2960" w:type="dxa"/>
            <w:vAlign w:val="bottom"/>
          </w:tcPr>
          <w:p>
            <w:pPr>
              <w:ind w:left="620"/>
              <w:spacing w:after="0"/>
              <w:rPr>
                <w:sz w:val="20"/>
                <w:szCs w:val="20"/>
                <w:color w:val="auto"/>
              </w:rPr>
            </w:pPr>
            <w:r>
              <w:rPr>
                <w:rFonts w:ascii="Courier New" w:cs="Courier New" w:eastAsia="Courier New" w:hAnsi="Courier New"/>
                <w:sz w:val="15"/>
                <w:szCs w:val="15"/>
                <w:color w:val="auto"/>
              </w:rPr>
              <w:t>residuals and</w:t>
            </w: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2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royalties payable....</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87.3</w:t>
            </w:r>
          </w:p>
        </w:tc>
        <w:tc>
          <w:tcPr>
            <w:tcW w:w="46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710.9</w:t>
            </w:r>
          </w:p>
        </w:tc>
        <w:tc>
          <w:tcPr>
            <w:tcW w:w="44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798.2</w:t>
            </w:r>
          </w:p>
        </w:tc>
      </w:tr>
      <w:tr>
        <w:trPr>
          <w:trHeight w:val="170"/>
        </w:trPr>
        <w:tc>
          <w:tcPr>
            <w:tcW w:w="2960" w:type="dxa"/>
            <w:vAlign w:val="bottom"/>
          </w:tcPr>
          <w:p>
            <w:pPr>
              <w:ind w:left="440"/>
              <w:spacing w:after="0"/>
              <w:rPr>
                <w:sz w:val="20"/>
                <w:szCs w:val="20"/>
                <w:color w:val="auto"/>
              </w:rPr>
            </w:pPr>
            <w:r>
              <w:rPr>
                <w:rFonts w:ascii="Courier New" w:cs="Courier New" w:eastAsia="Courier New" w:hAnsi="Courier New"/>
                <w:sz w:val="15"/>
                <w:szCs w:val="15"/>
                <w:color w:val="auto"/>
              </w:rPr>
              <w:t>Current portion of</w:t>
            </w: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2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long-term debt.......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25.2</w:t>
            </w:r>
          </w:p>
        </w:tc>
        <w:tc>
          <w:tcPr>
            <w:tcW w:w="46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w:t>
            </w:r>
          </w:p>
        </w:tc>
        <w:tc>
          <w:tcPr>
            <w:tcW w:w="2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18.4</w:t>
            </w:r>
          </w:p>
        </w:tc>
        <w:tc>
          <w:tcPr>
            <w:tcW w:w="44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45.1</w:t>
            </w:r>
          </w:p>
        </w:tc>
      </w:tr>
      <w:tr>
        <w:trPr>
          <w:trHeight w:val="170"/>
        </w:trPr>
        <w:tc>
          <w:tcPr>
            <w:tcW w:w="2960" w:type="dxa"/>
            <w:vAlign w:val="bottom"/>
          </w:tcPr>
          <w:p>
            <w:pPr>
              <w:ind w:left="440"/>
              <w:spacing w:after="0"/>
              <w:rPr>
                <w:sz w:val="20"/>
                <w:szCs w:val="20"/>
                <w:color w:val="auto"/>
              </w:rPr>
            </w:pPr>
            <w:r>
              <w:rPr>
                <w:rFonts w:ascii="Courier New" w:cs="Courier New" w:eastAsia="Courier New" w:hAnsi="Courier New"/>
                <w:sz w:val="15"/>
                <w:szCs w:val="15"/>
                <w:color w:val="auto"/>
              </w:rPr>
              <w:t>Other current liabilities</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298.7</w:t>
            </w:r>
          </w:p>
        </w:tc>
        <w:tc>
          <w:tcPr>
            <w:tcW w:w="46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330.8</w:t>
            </w:r>
          </w:p>
        </w:tc>
        <w:tc>
          <w:tcPr>
            <w:tcW w:w="2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1,098.9</w:t>
            </w:r>
          </w:p>
        </w:tc>
        <w:tc>
          <w:tcPr>
            <w:tcW w:w="44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(28.5)</w:t>
            </w:r>
          </w:p>
        </w:tc>
        <w:tc>
          <w:tcPr>
            <w:tcW w:w="6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1,699.9</w:t>
            </w:r>
          </w:p>
        </w:tc>
      </w:tr>
      <w:tr>
        <w:trPr>
          <w:trHeight w:val="170"/>
        </w:trPr>
        <w:tc>
          <w:tcPr>
            <w:tcW w:w="296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44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2960" w:type="dxa"/>
            <w:vAlign w:val="bottom"/>
          </w:tcPr>
          <w:p>
            <w:pPr>
              <w:ind w:left="620"/>
              <w:spacing w:after="0"/>
              <w:rPr>
                <w:sz w:val="20"/>
                <w:szCs w:val="20"/>
                <w:color w:val="auto"/>
              </w:rPr>
            </w:pPr>
            <w:r>
              <w:rPr>
                <w:rFonts w:ascii="Courier New" w:cs="Courier New" w:eastAsia="Courier New" w:hAnsi="Courier New"/>
                <w:sz w:val="15"/>
                <w:szCs w:val="15"/>
                <w:color w:val="auto"/>
              </w:rPr>
              <w:t>Total current liabilities</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1,063.1</w:t>
            </w:r>
          </w:p>
        </w:tc>
        <w:tc>
          <w:tcPr>
            <w:tcW w:w="46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573.0</w:t>
            </w:r>
          </w:p>
        </w:tc>
        <w:tc>
          <w:tcPr>
            <w:tcW w:w="260" w:type="dxa"/>
            <w:vAlign w:val="bottom"/>
          </w:tcPr>
          <w:p>
            <w:pPr>
              <w:spacing w:after="0"/>
              <w:rPr>
                <w:sz w:val="24"/>
                <w:szCs w:val="2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2,497.5</w:t>
            </w:r>
          </w:p>
        </w:tc>
        <w:tc>
          <w:tcPr>
            <w:tcW w:w="44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(35.0)</w:t>
            </w:r>
          </w:p>
        </w:tc>
        <w:tc>
          <w:tcPr>
            <w:tcW w:w="660" w:type="dxa"/>
            <w:vAlign w:val="bottom"/>
          </w:tcPr>
          <w:p>
            <w:pPr>
              <w:spacing w:after="0"/>
              <w:rPr>
                <w:sz w:val="24"/>
                <w:szCs w:val="2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4,098.6</w:t>
            </w:r>
          </w:p>
        </w:tc>
      </w:tr>
      <w:tr>
        <w:trPr>
          <w:trHeight w:val="170"/>
        </w:trPr>
        <w:tc>
          <w:tcPr>
            <w:tcW w:w="296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44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2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Long-term debt.............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8,705.1</w:t>
            </w:r>
          </w:p>
        </w:tc>
        <w:tc>
          <w:tcPr>
            <w:tcW w:w="46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1"/>
              </w:rPr>
              <w:t>1,595.2</w:t>
            </w:r>
          </w:p>
        </w:tc>
        <w:tc>
          <w:tcPr>
            <w:tcW w:w="260" w:type="dxa"/>
            <w:vAlign w:val="bottom"/>
          </w:tcPr>
          <w:p>
            <w:pPr>
              <w:spacing w:after="0"/>
              <w:rPr>
                <w:sz w:val="24"/>
                <w:szCs w:val="2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592.2</w:t>
            </w:r>
          </w:p>
        </w:tc>
        <w:tc>
          <w:tcPr>
            <w:tcW w:w="44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(180.4)</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10,712.1</w:t>
            </w:r>
          </w:p>
        </w:tc>
      </w:tr>
      <w:tr>
        <w:trPr>
          <w:trHeight w:val="170"/>
        </w:trPr>
        <w:tc>
          <w:tcPr>
            <w:tcW w:w="2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Other liabilities..........</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(10,468.5)</w:t>
            </w:r>
          </w:p>
        </w:tc>
        <w:tc>
          <w:tcPr>
            <w:tcW w:w="46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1"/>
              </w:rPr>
              <w:t>1,152.1</w:t>
            </w:r>
          </w:p>
        </w:tc>
        <w:tc>
          <w:tcPr>
            <w:tcW w:w="2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11,799.7</w:t>
            </w:r>
          </w:p>
        </w:tc>
        <w:tc>
          <w:tcPr>
            <w:tcW w:w="44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(361.8)</w:t>
            </w:r>
          </w:p>
        </w:tc>
        <w:tc>
          <w:tcPr>
            <w:tcW w:w="6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2,121.5</w:t>
            </w:r>
          </w:p>
        </w:tc>
      </w:tr>
      <w:tr>
        <w:trPr>
          <w:trHeight w:val="339"/>
        </w:trPr>
        <w:tc>
          <w:tcPr>
            <w:tcW w:w="296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0"/>
        </w:trPr>
        <w:tc>
          <w:tcPr>
            <w:tcW w:w="2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Preferred Stock.........</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1,200.0</w:t>
            </w:r>
          </w:p>
        </w:tc>
        <w:tc>
          <w:tcPr>
            <w:tcW w:w="46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1,200.0</w:t>
            </w:r>
          </w:p>
        </w:tc>
      </w:tr>
      <w:tr>
        <w:trPr>
          <w:trHeight w:val="170"/>
        </w:trPr>
        <w:tc>
          <w:tcPr>
            <w:tcW w:w="2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Common Stock............</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3.7</w:t>
            </w:r>
          </w:p>
        </w:tc>
        <w:tc>
          <w:tcPr>
            <w:tcW w:w="46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212.0</w:t>
            </w:r>
          </w:p>
        </w:tc>
        <w:tc>
          <w:tcPr>
            <w:tcW w:w="2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722.4</w:t>
            </w:r>
          </w:p>
        </w:tc>
        <w:tc>
          <w:tcPr>
            <w:tcW w:w="44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(934.4)</w:t>
            </w:r>
          </w:p>
        </w:tc>
        <w:tc>
          <w:tcPr>
            <w:tcW w:w="6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w:t>
            </w:r>
          </w:p>
        </w:tc>
      </w:tr>
      <w:tr>
        <w:trPr>
          <w:trHeight w:val="170"/>
        </w:trPr>
        <w:tc>
          <w:tcPr>
            <w:tcW w:w="2960" w:type="dxa"/>
            <w:vAlign w:val="bottom"/>
          </w:tcPr>
          <w:p>
            <w:pPr>
              <w:ind w:left="440"/>
              <w:spacing w:after="0"/>
              <w:rPr>
                <w:sz w:val="20"/>
                <w:szCs w:val="20"/>
                <w:color w:val="auto"/>
              </w:rPr>
            </w:pPr>
            <w:r>
              <w:rPr>
                <w:rFonts w:ascii="Courier New" w:cs="Courier New" w:eastAsia="Courier New" w:hAnsi="Courier New"/>
                <w:sz w:val="15"/>
                <w:szCs w:val="15"/>
                <w:color w:val="auto"/>
              </w:rPr>
              <w:t>Additional paid-in</w:t>
            </w: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2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capital...............</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10,726.9</w:t>
            </w:r>
          </w:p>
        </w:tc>
        <w:tc>
          <w:tcPr>
            <w:tcW w:w="46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1"/>
              </w:rPr>
              <w:t>8,544.4</w:t>
            </w:r>
          </w:p>
        </w:tc>
        <w:tc>
          <w:tcPr>
            <w:tcW w:w="2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1,052.7</w:t>
            </w: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(9,597.1)</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10,726.9</w:t>
            </w:r>
          </w:p>
        </w:tc>
      </w:tr>
      <w:tr>
        <w:trPr>
          <w:trHeight w:val="170"/>
        </w:trPr>
        <w:tc>
          <w:tcPr>
            <w:tcW w:w="2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Retained earnings.......</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976.8</w:t>
            </w:r>
          </w:p>
        </w:tc>
        <w:tc>
          <w:tcPr>
            <w:tcW w:w="46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1"/>
              </w:rPr>
              <w:t>1,171.1</w:t>
            </w:r>
          </w:p>
        </w:tc>
        <w:tc>
          <w:tcPr>
            <w:tcW w:w="2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535.3</w:t>
            </w: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(2,510.1)</w:t>
            </w:r>
          </w:p>
        </w:tc>
        <w:tc>
          <w:tcPr>
            <w:tcW w:w="6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173.1</w:t>
            </w:r>
          </w:p>
        </w:tc>
      </w:tr>
      <w:tr>
        <w:trPr>
          <w:trHeight w:val="170"/>
        </w:trPr>
        <w:tc>
          <w:tcPr>
            <w:tcW w:w="2960" w:type="dxa"/>
            <w:vAlign w:val="bottom"/>
          </w:tcPr>
          <w:p>
            <w:pPr>
              <w:ind w:left="440"/>
              <w:spacing w:after="0"/>
              <w:rPr>
                <w:sz w:val="20"/>
                <w:szCs w:val="20"/>
                <w:color w:val="auto"/>
              </w:rPr>
            </w:pPr>
            <w:r>
              <w:rPr>
                <w:rFonts w:ascii="Courier New" w:cs="Courier New" w:eastAsia="Courier New" w:hAnsi="Courier New"/>
                <w:sz w:val="15"/>
                <w:szCs w:val="15"/>
                <w:color w:val="auto"/>
              </w:rPr>
              <w:t>Cumulative translation</w:t>
            </w: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2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adjustment............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(17.9)</w:t>
            </w:r>
          </w:p>
        </w:tc>
        <w:tc>
          <w:tcPr>
            <w:tcW w:w="46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23.3</w:t>
            </w:r>
          </w:p>
        </w:tc>
        <w:tc>
          <w:tcPr>
            <w:tcW w:w="2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(15.3)</w:t>
            </w:r>
          </w:p>
        </w:tc>
        <w:tc>
          <w:tcPr>
            <w:tcW w:w="44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r>
      <w:tr>
        <w:trPr>
          <w:trHeight w:val="170"/>
        </w:trPr>
        <w:tc>
          <w:tcPr>
            <w:tcW w:w="2960" w:type="dxa"/>
            <w:vAlign w:val="bottom"/>
          </w:tcPr>
          <w:p>
            <w:pPr>
              <w:spacing w:after="0"/>
              <w:rPr>
                <w:sz w:val="14"/>
                <w:szCs w:val="14"/>
                <w:color w:val="auto"/>
              </w:rPr>
            </w:pP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509"/>
        </w:trPr>
        <w:tc>
          <w:tcPr>
            <w:tcW w:w="2960" w:type="dxa"/>
            <w:vAlign w:val="bottom"/>
          </w:tcPr>
          <w:p>
            <w:pPr>
              <w:ind w:left="620"/>
              <w:spacing w:after="0"/>
              <w:rPr>
                <w:sz w:val="20"/>
                <w:szCs w:val="20"/>
                <w:color w:val="auto"/>
              </w:rPr>
            </w:pPr>
            <w:r>
              <w:rPr>
                <w:rFonts w:ascii="Courier New" w:cs="Courier New" w:eastAsia="Courier New" w:hAnsi="Courier New"/>
                <w:sz w:val="15"/>
                <w:szCs w:val="15"/>
                <w:color w:val="auto"/>
              </w:rPr>
              <w:t>Total shareholders'</w:t>
            </w: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0"/>
        </w:trPr>
        <w:tc>
          <w:tcPr>
            <w:tcW w:w="296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equity</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12,889.5</w:t>
            </w:r>
          </w:p>
        </w:tc>
        <w:tc>
          <w:tcPr>
            <w:tcW w:w="46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1"/>
              </w:rPr>
              <w:t>9,950.8</w:t>
            </w:r>
          </w:p>
        </w:tc>
        <w:tc>
          <w:tcPr>
            <w:tcW w:w="2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2,295.1</w:t>
            </w: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(13,041.6)</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12,093.8</w:t>
            </w:r>
          </w:p>
        </w:tc>
      </w:tr>
      <w:tr>
        <w:trPr>
          <w:trHeight w:val="170"/>
        </w:trPr>
        <w:tc>
          <w:tcPr>
            <w:tcW w:w="296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2960" w:type="dxa"/>
            <w:vAlign w:val="bottom"/>
          </w:tcPr>
          <w:p>
            <w:pPr>
              <w:spacing w:after="0"/>
              <w:rPr>
                <w:sz w:val="24"/>
                <w:szCs w:val="2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$12,189.2</w:t>
            </w:r>
          </w:p>
        </w:tc>
        <w:tc>
          <w:tcPr>
            <w:tcW w:w="14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$13,271.1</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$ 17,184.5</w:t>
            </w: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$(13,618.8)</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$29,026.0</w:t>
            </w:r>
          </w:p>
        </w:tc>
      </w:tr>
      <w:tr>
        <w:trPr>
          <w:trHeight w:val="170"/>
        </w:trPr>
        <w:tc>
          <w:tcPr>
            <w:tcW w:w="296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017"/>
        </w:trPr>
        <w:tc>
          <w:tcPr>
            <w:tcW w:w="2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II-52</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0059"/>
          </w:cols>
          <w:pgMar w:left="400" w:top="452" w:right="1440" w:bottom="396" w:gutter="0" w:footer="0" w:header="0"/>
        </w:sectPr>
      </w:pPr>
    </w:p>
    <w:bookmarkStart w:id="93" w:name="page94"/>
    <w:bookmarkEnd w:id="93"/>
    <w:p>
      <w:pPr>
        <w:jc w:val="center"/>
        <w:ind w:right="3179"/>
        <w:spacing w:after="0"/>
        <w:rPr>
          <w:sz w:val="20"/>
          <w:szCs w:val="20"/>
          <w:color w:val="auto"/>
        </w:rPr>
      </w:pPr>
      <w:r>
        <w:rPr>
          <w:rFonts w:ascii="Courier New" w:cs="Courier New" w:eastAsia="Courier New" w:hAnsi="Courier New"/>
          <w:sz w:val="15"/>
          <w:szCs w:val="15"/>
          <w:color w:val="auto"/>
        </w:rPr>
        <w:t>VIACOM INC. AND SUBSIDIARIES</w:t>
      </w: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(continued)</w:t>
      </w:r>
    </w:p>
    <w:tbl>
      <w:tblPr>
        <w:tblLayout w:type="fixed"/>
        <w:tblInd w:w="0" w:type="dxa"/>
        <w:tblCellMar>
          <w:top w:w="0" w:type="dxa"/>
          <w:left w:w="0" w:type="dxa"/>
          <w:bottom w:w="0" w:type="dxa"/>
          <w:right w:w="0" w:type="dxa"/>
        </w:tblCellMar>
      </w:tblPr>
      <w:tr>
        <w:trPr>
          <w:trHeight w:val="169"/>
        </w:trPr>
        <w:tc>
          <w:tcPr>
            <w:tcW w:w="6240" w:type="dxa"/>
            <w:vAlign w:val="bottom"/>
            <w:gridSpan w:val="6"/>
          </w:tcPr>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8"/>
        </w:trPr>
        <w:tc>
          <w:tcPr>
            <w:tcW w:w="2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2900" w:type="dxa"/>
            <w:vAlign w:val="bottom"/>
          </w:tcPr>
          <w:p>
            <w:pPr>
              <w:spacing w:after="0"/>
              <w:rPr>
                <w:sz w:val="14"/>
                <w:szCs w:val="14"/>
                <w:color w:val="auto"/>
              </w:rPr>
            </w:pPr>
          </w:p>
        </w:tc>
        <w:tc>
          <w:tcPr>
            <w:tcW w:w="6960" w:type="dxa"/>
            <w:vAlign w:val="bottom"/>
            <w:gridSpan w:val="10"/>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2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NON-</w:t>
            </w: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THE</w:t>
            </w:r>
          </w:p>
        </w:tc>
      </w:tr>
      <w:tr>
        <w:trPr>
          <w:trHeight w:val="170"/>
        </w:trPr>
        <w:tc>
          <w:tcPr>
            <w:tcW w:w="2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VIACOM</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GUARANTOR</w:t>
            </w: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COMPANY</w:t>
            </w:r>
          </w:p>
        </w:tc>
      </w:tr>
      <w:tr>
        <w:trPr>
          <w:trHeight w:val="170"/>
        </w:trPr>
        <w:tc>
          <w:tcPr>
            <w:tcW w:w="2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VIACOM</w:t>
            </w:r>
          </w:p>
        </w:tc>
        <w:tc>
          <w:tcPr>
            <w:tcW w:w="17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INTERNATIONAL</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AFFILIATES</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ELIMINATION</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0"/>
        </w:trPr>
        <w:tc>
          <w:tcPr>
            <w:tcW w:w="2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w:t>
            </w:r>
          </w:p>
        </w:tc>
        <w:tc>
          <w:tcPr>
            <w:tcW w:w="1760" w:type="dxa"/>
            <w:vAlign w:val="bottom"/>
            <w:gridSpan w:val="2"/>
          </w:tcPr>
          <w:p>
            <w:pPr>
              <w:jc w:val="center"/>
              <w:ind w:left="7"/>
              <w:spacing w:after="0"/>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9"/>
        </w:trPr>
        <w:tc>
          <w:tcPr>
            <w:tcW w:w="2900" w:type="dxa"/>
            <w:vAlign w:val="bottom"/>
          </w:tcPr>
          <w:p>
            <w:pPr>
              <w:ind w:left="600"/>
              <w:spacing w:after="0"/>
              <w:rPr>
                <w:sz w:val="20"/>
                <w:szCs w:val="20"/>
                <w:color w:val="auto"/>
              </w:rPr>
            </w:pPr>
            <w:r>
              <w:rPr>
                <w:rFonts w:ascii="Courier New" w:cs="Courier New" w:eastAsia="Courier New" w:hAnsi="Courier New"/>
                <w:sz w:val="15"/>
                <w:szCs w:val="15"/>
                <w:color w:val="auto"/>
              </w:rPr>
              <w:t>Cash and cash equivalents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135.6</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63.4</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398.7</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597.7</w:t>
            </w:r>
          </w:p>
        </w:tc>
      </w:tr>
      <w:tr>
        <w:trPr>
          <w:trHeight w:val="170"/>
        </w:trPr>
        <w:tc>
          <w:tcPr>
            <w:tcW w:w="2900" w:type="dxa"/>
            <w:vAlign w:val="bottom"/>
          </w:tcPr>
          <w:p>
            <w:pPr>
              <w:ind w:left="600"/>
              <w:spacing w:after="0"/>
              <w:rPr>
                <w:sz w:val="20"/>
                <w:szCs w:val="20"/>
                <w:color w:val="auto"/>
              </w:rPr>
            </w:pPr>
            <w:r>
              <w:rPr>
                <w:rFonts w:ascii="Courier New" w:cs="Courier New" w:eastAsia="Courier New" w:hAnsi="Courier New"/>
                <w:sz w:val="15"/>
                <w:szCs w:val="15"/>
                <w:color w:val="auto"/>
              </w:rPr>
              <w:t>Receivables, less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9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allowances...........</w:t>
            </w:r>
          </w:p>
        </w:tc>
        <w:tc>
          <w:tcPr>
            <w:tcW w:w="2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279.0</w:t>
            </w:r>
          </w:p>
        </w:tc>
        <w:tc>
          <w:tcPr>
            <w:tcW w:w="52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236.8</w:t>
            </w: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1,138.0</w:t>
            </w:r>
          </w:p>
        </w:tc>
        <w:tc>
          <w:tcPr>
            <w:tcW w:w="5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(15.0)</w:t>
            </w:r>
          </w:p>
        </w:tc>
        <w:tc>
          <w:tcPr>
            <w:tcW w:w="3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1,638.8</w:t>
            </w:r>
          </w:p>
        </w:tc>
      </w:tr>
      <w:tr>
        <w:trPr>
          <w:trHeight w:val="170"/>
        </w:trPr>
        <w:tc>
          <w:tcPr>
            <w:tcW w:w="2900" w:type="dxa"/>
            <w:vAlign w:val="bottom"/>
          </w:tcPr>
          <w:p>
            <w:pPr>
              <w:ind w:left="600"/>
              <w:spacing w:after="0"/>
              <w:rPr>
                <w:sz w:val="20"/>
                <w:szCs w:val="20"/>
                <w:color w:val="auto"/>
              </w:rPr>
            </w:pPr>
            <w:r>
              <w:rPr>
                <w:rFonts w:ascii="Courier New" w:cs="Courier New" w:eastAsia="Courier New" w:hAnsi="Courier New"/>
                <w:sz w:val="15"/>
                <w:szCs w:val="15"/>
                <w:color w:val="auto"/>
              </w:rPr>
              <w:t>Inventory..............</w:t>
            </w:r>
          </w:p>
        </w:tc>
        <w:tc>
          <w:tcPr>
            <w:tcW w:w="2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694.1</w:t>
            </w:r>
          </w:p>
        </w:tc>
        <w:tc>
          <w:tcPr>
            <w:tcW w:w="52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144.3</w:t>
            </w: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979.4</w:t>
            </w:r>
          </w:p>
        </w:tc>
        <w:tc>
          <w:tcPr>
            <w:tcW w:w="5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1,817.8</w:t>
            </w:r>
          </w:p>
        </w:tc>
      </w:tr>
      <w:tr>
        <w:trPr>
          <w:trHeight w:val="170"/>
        </w:trPr>
        <w:tc>
          <w:tcPr>
            <w:tcW w:w="2900" w:type="dxa"/>
            <w:vAlign w:val="bottom"/>
          </w:tcPr>
          <w:p>
            <w:pPr>
              <w:ind w:left="600"/>
              <w:spacing w:after="0"/>
              <w:rPr>
                <w:sz w:val="20"/>
                <w:szCs w:val="20"/>
                <w:color w:val="auto"/>
              </w:rPr>
            </w:pPr>
            <w:r>
              <w:rPr>
                <w:rFonts w:ascii="Courier New" w:cs="Courier New" w:eastAsia="Courier New" w:hAnsi="Courier New"/>
                <w:sz w:val="15"/>
                <w:szCs w:val="15"/>
                <w:color w:val="auto"/>
              </w:rPr>
              <w:t>Other current assets...</w:t>
            </w:r>
          </w:p>
        </w:tc>
        <w:tc>
          <w:tcPr>
            <w:tcW w:w="2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59.8</w:t>
            </w:r>
          </w:p>
        </w:tc>
        <w:tc>
          <w:tcPr>
            <w:tcW w:w="52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49.6</w:t>
            </w: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394.1</w:t>
            </w:r>
          </w:p>
        </w:tc>
        <w:tc>
          <w:tcPr>
            <w:tcW w:w="5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503.5</w:t>
            </w:r>
          </w:p>
        </w:tc>
      </w:tr>
      <w:tr>
        <w:trPr>
          <w:trHeight w:val="170"/>
        </w:trPr>
        <w:tc>
          <w:tcPr>
            <w:tcW w:w="2900" w:type="dxa"/>
            <w:vAlign w:val="bottom"/>
          </w:tcPr>
          <w:p>
            <w:pPr>
              <w:ind w:left="600"/>
              <w:spacing w:after="0"/>
              <w:rPr>
                <w:sz w:val="20"/>
                <w:szCs w:val="20"/>
                <w:color w:val="auto"/>
              </w:rPr>
            </w:pPr>
            <w:r>
              <w:rPr>
                <w:rFonts w:ascii="Courier New" w:cs="Courier New" w:eastAsia="Courier New" w:hAnsi="Courier New"/>
                <w:sz w:val="15"/>
                <w:szCs w:val="15"/>
                <w:color w:val="auto"/>
                <w:w w:val="97"/>
              </w:rPr>
              <w:t>Net assets of discontinued</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9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operations...........</w:t>
            </w:r>
          </w:p>
        </w:tc>
        <w:tc>
          <w:tcPr>
            <w:tcW w:w="260" w:type="dxa"/>
            <w:vAlign w:val="bottom"/>
          </w:tcPr>
          <w:p>
            <w:pPr>
              <w:spacing w:after="0"/>
              <w:rPr>
                <w:sz w:val="14"/>
                <w:szCs w:val="14"/>
                <w:color w:val="auto"/>
              </w:rPr>
            </w:pPr>
          </w:p>
        </w:tc>
        <w:tc>
          <w:tcPr>
            <w:tcW w:w="9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2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697.4</w:t>
            </w:r>
          </w:p>
        </w:tc>
        <w:tc>
          <w:tcPr>
            <w:tcW w:w="5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697.4</w:t>
            </w:r>
          </w:p>
        </w:tc>
      </w:tr>
      <w:tr>
        <w:trPr>
          <w:trHeight w:val="170"/>
        </w:trPr>
        <w:tc>
          <w:tcPr>
            <w:tcW w:w="290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24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8"/>
              </w:rPr>
              <w:t>---------</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2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1,168.5</w:t>
            </w:r>
          </w:p>
        </w:tc>
        <w:tc>
          <w:tcPr>
            <w:tcW w:w="52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494.1</w:t>
            </w: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3,607.6</w:t>
            </w:r>
          </w:p>
        </w:tc>
        <w:tc>
          <w:tcPr>
            <w:tcW w:w="5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(15.0)</w:t>
            </w:r>
          </w:p>
        </w:tc>
        <w:tc>
          <w:tcPr>
            <w:tcW w:w="3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5,255.2</w:t>
            </w:r>
          </w:p>
        </w:tc>
      </w:tr>
      <w:tr>
        <w:trPr>
          <w:trHeight w:val="170"/>
        </w:trPr>
        <w:tc>
          <w:tcPr>
            <w:tcW w:w="290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24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8"/>
              </w:rPr>
              <w:t>---------</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29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Property and equipment.......</w:t>
            </w:r>
          </w:p>
        </w:tc>
        <w:tc>
          <w:tcPr>
            <w:tcW w:w="260" w:type="dxa"/>
            <w:vAlign w:val="bottom"/>
          </w:tcPr>
          <w:p>
            <w:pPr>
              <w:spacing w:after="0"/>
              <w:rPr>
                <w:sz w:val="24"/>
                <w:szCs w:val="2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667.0</w:t>
            </w:r>
          </w:p>
        </w:tc>
        <w:tc>
          <w:tcPr>
            <w:tcW w:w="520" w:type="dxa"/>
            <w:vAlign w:val="bottom"/>
          </w:tcPr>
          <w:p>
            <w:pPr>
              <w:spacing w:after="0"/>
              <w:rPr>
                <w:sz w:val="24"/>
                <w:szCs w:val="2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170.8</w:t>
            </w:r>
          </w:p>
        </w:tc>
        <w:tc>
          <w:tcPr>
            <w:tcW w:w="34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2,261.8</w:t>
            </w:r>
          </w:p>
        </w:tc>
        <w:tc>
          <w:tcPr>
            <w:tcW w:w="540" w:type="dxa"/>
            <w:vAlign w:val="bottom"/>
          </w:tcPr>
          <w:p>
            <w:pPr>
              <w:spacing w:after="0"/>
              <w:rPr>
                <w:sz w:val="24"/>
                <w:szCs w:val="2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3,099.6</w:t>
            </w:r>
          </w:p>
        </w:tc>
      </w:tr>
      <w:tr>
        <w:trPr>
          <w:trHeight w:val="170"/>
        </w:trPr>
        <w:tc>
          <w:tcPr>
            <w:tcW w:w="2900" w:type="dxa"/>
            <w:vAlign w:val="bottom"/>
          </w:tcPr>
          <w:p>
            <w:pPr>
              <w:ind w:left="520"/>
              <w:spacing w:after="0"/>
              <w:rPr>
                <w:sz w:val="20"/>
                <w:szCs w:val="20"/>
                <w:color w:val="auto"/>
              </w:rPr>
            </w:pPr>
            <w:r>
              <w:rPr>
                <w:rFonts w:ascii="Courier New" w:cs="Courier New" w:eastAsia="Courier New" w:hAnsi="Courier New"/>
                <w:sz w:val="15"/>
                <w:szCs w:val="15"/>
                <w:color w:val="auto"/>
              </w:rPr>
              <w:t>Less accumulated</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9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depreciation..........</w:t>
            </w:r>
          </w:p>
        </w:tc>
        <w:tc>
          <w:tcPr>
            <w:tcW w:w="2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17.2</w:t>
            </w:r>
          </w:p>
        </w:tc>
        <w:tc>
          <w:tcPr>
            <w:tcW w:w="52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46.7</w:t>
            </w: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452.6</w:t>
            </w:r>
          </w:p>
        </w:tc>
        <w:tc>
          <w:tcPr>
            <w:tcW w:w="5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516.5</w:t>
            </w:r>
          </w:p>
        </w:tc>
      </w:tr>
      <w:tr>
        <w:trPr>
          <w:trHeight w:val="170"/>
        </w:trPr>
        <w:tc>
          <w:tcPr>
            <w:tcW w:w="2900" w:type="dxa"/>
            <w:vAlign w:val="bottom"/>
          </w:tcPr>
          <w:p>
            <w:pPr>
              <w:spacing w:after="0"/>
              <w:rPr>
                <w:sz w:val="14"/>
                <w:szCs w:val="14"/>
                <w:color w:val="auto"/>
              </w:rPr>
            </w:pPr>
          </w:p>
        </w:tc>
        <w:tc>
          <w:tcPr>
            <w:tcW w:w="12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Net property and</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equipment...................</w:t>
            </w:r>
          </w:p>
        </w:tc>
        <w:tc>
          <w:tcPr>
            <w:tcW w:w="2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649.8</w:t>
            </w:r>
          </w:p>
        </w:tc>
        <w:tc>
          <w:tcPr>
            <w:tcW w:w="52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124.1</w:t>
            </w: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1,809.2</w:t>
            </w:r>
          </w:p>
        </w:tc>
        <w:tc>
          <w:tcPr>
            <w:tcW w:w="5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2,583.1</w:t>
            </w:r>
          </w:p>
        </w:tc>
      </w:tr>
      <w:tr>
        <w:trPr>
          <w:trHeight w:val="170"/>
        </w:trPr>
        <w:tc>
          <w:tcPr>
            <w:tcW w:w="2900" w:type="dxa"/>
            <w:vAlign w:val="bottom"/>
          </w:tcPr>
          <w:p>
            <w:pPr>
              <w:spacing w:after="0"/>
              <w:rPr>
                <w:sz w:val="14"/>
                <w:szCs w:val="14"/>
                <w:color w:val="auto"/>
              </w:rPr>
            </w:pP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4"/>
              </w:rPr>
              <w:t>--------</w:t>
            </w: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w:t>
            </w:r>
          </w:p>
        </w:tc>
        <w:tc>
          <w:tcPr>
            <w:tcW w:w="1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r>
      <w:tr>
        <w:trPr>
          <w:trHeight w:val="509"/>
        </w:trPr>
        <w:tc>
          <w:tcPr>
            <w:tcW w:w="29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Inventory......................</w:t>
            </w:r>
          </w:p>
        </w:tc>
        <w:tc>
          <w:tcPr>
            <w:tcW w:w="260" w:type="dxa"/>
            <w:vAlign w:val="bottom"/>
          </w:tcPr>
          <w:p>
            <w:pPr>
              <w:spacing w:after="0"/>
              <w:rPr>
                <w:sz w:val="24"/>
                <w:szCs w:val="2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419.1</w:t>
            </w:r>
          </w:p>
        </w:tc>
        <w:tc>
          <w:tcPr>
            <w:tcW w:w="520" w:type="dxa"/>
            <w:vAlign w:val="bottom"/>
          </w:tcPr>
          <w:p>
            <w:pPr>
              <w:spacing w:after="0"/>
              <w:rPr>
                <w:sz w:val="24"/>
                <w:szCs w:val="2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282.4</w:t>
            </w:r>
          </w:p>
        </w:tc>
        <w:tc>
          <w:tcPr>
            <w:tcW w:w="34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1,243.0</w:t>
            </w:r>
          </w:p>
        </w:tc>
        <w:tc>
          <w:tcPr>
            <w:tcW w:w="540" w:type="dxa"/>
            <w:vAlign w:val="bottom"/>
          </w:tcPr>
          <w:p>
            <w:pPr>
              <w:spacing w:after="0"/>
              <w:rPr>
                <w:sz w:val="24"/>
                <w:szCs w:val="2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1,944.5</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Intangibles, at amortized</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cost.........................</w:t>
            </w:r>
          </w:p>
        </w:tc>
        <w:tc>
          <w:tcPr>
            <w:tcW w:w="2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6,787.5</w:t>
            </w:r>
          </w:p>
        </w:tc>
        <w:tc>
          <w:tcPr>
            <w:tcW w:w="52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801.6</w:t>
            </w: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8,522.6</w:t>
            </w:r>
          </w:p>
        </w:tc>
        <w:tc>
          <w:tcPr>
            <w:tcW w:w="5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16,111.7</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Investments in consolidated</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2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subs.........................</w:t>
            </w:r>
          </w:p>
        </w:tc>
        <w:tc>
          <w:tcPr>
            <w:tcW w:w="2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3,577.0</w:t>
            </w:r>
          </w:p>
        </w:tc>
        <w:tc>
          <w:tcPr>
            <w:tcW w:w="52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176.2</w:t>
            </w: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(3,753.2)</w:t>
            </w:r>
          </w:p>
        </w:tc>
        <w:tc>
          <w:tcPr>
            <w:tcW w:w="3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29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Other assets...................</w:t>
            </w:r>
          </w:p>
        </w:tc>
        <w:tc>
          <w:tcPr>
            <w:tcW w:w="260" w:type="dxa"/>
            <w:vAlign w:val="bottom"/>
          </w:tcPr>
          <w:p>
            <w:pPr>
              <w:spacing w:after="0"/>
              <w:rPr>
                <w:sz w:val="24"/>
                <w:szCs w:val="2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712.8</w:t>
            </w:r>
          </w:p>
        </w:tc>
        <w:tc>
          <w:tcPr>
            <w:tcW w:w="520" w:type="dxa"/>
            <w:vAlign w:val="bottom"/>
          </w:tcPr>
          <w:p>
            <w:pPr>
              <w:spacing w:after="0"/>
              <w:rPr>
                <w:sz w:val="24"/>
                <w:szCs w:val="2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348.8</w:t>
            </w:r>
          </w:p>
        </w:tc>
        <w:tc>
          <w:tcPr>
            <w:tcW w:w="34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1,458.1</w:t>
            </w:r>
          </w:p>
        </w:tc>
        <w:tc>
          <w:tcPr>
            <w:tcW w:w="540" w:type="dxa"/>
            <w:vAlign w:val="bottom"/>
          </w:tcPr>
          <w:p>
            <w:pPr>
              <w:spacing w:after="0"/>
              <w:rPr>
                <w:sz w:val="24"/>
                <w:szCs w:val="2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(140.5)</w:t>
            </w:r>
          </w:p>
        </w:tc>
        <w:tc>
          <w:tcPr>
            <w:tcW w:w="3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2,379.2</w:t>
            </w:r>
          </w:p>
        </w:tc>
      </w:tr>
      <w:tr>
        <w:trPr>
          <w:trHeight w:val="170"/>
        </w:trPr>
        <w:tc>
          <w:tcPr>
            <w:tcW w:w="2900" w:type="dxa"/>
            <w:vAlign w:val="bottom"/>
          </w:tcPr>
          <w:p>
            <w:pPr>
              <w:spacing w:after="0"/>
              <w:rPr>
                <w:sz w:val="14"/>
                <w:szCs w:val="14"/>
                <w:color w:val="auto"/>
              </w:rPr>
            </w:pP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w w:val="94"/>
              </w:rPr>
              <w:t>-----------</w:t>
            </w:r>
          </w:p>
        </w:tc>
        <w:tc>
          <w:tcPr>
            <w:tcW w:w="176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4"/>
              </w:rPr>
              <w:t>-----------</w:t>
            </w:r>
          </w:p>
        </w:tc>
        <w:tc>
          <w:tcPr>
            <w:tcW w:w="1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2900" w:type="dxa"/>
            <w:vAlign w:val="bottom"/>
          </w:tcPr>
          <w:p>
            <w:pPr>
              <w:spacing w:after="0"/>
              <w:rPr>
                <w:sz w:val="14"/>
                <w:szCs w:val="14"/>
                <w:color w:val="auto"/>
              </w:rPr>
            </w:pPr>
          </w:p>
        </w:tc>
        <w:tc>
          <w:tcPr>
            <w:tcW w:w="12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5"/>
              </w:rPr>
              <w:t>$ 13,314.7</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2,227.2</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$ 16,640.5</w:t>
            </w:r>
          </w:p>
        </w:tc>
        <w:tc>
          <w:tcPr>
            <w:tcW w:w="1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 (3,908.7)</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$ 28,273.7</w:t>
            </w:r>
          </w:p>
        </w:tc>
      </w:tr>
      <w:tr>
        <w:trPr>
          <w:trHeight w:val="170"/>
        </w:trPr>
        <w:tc>
          <w:tcPr>
            <w:tcW w:w="2900" w:type="dxa"/>
            <w:vAlign w:val="bottom"/>
          </w:tcPr>
          <w:p>
            <w:pPr>
              <w:spacing w:after="0"/>
              <w:rPr>
                <w:sz w:val="14"/>
                <w:szCs w:val="14"/>
                <w:color w:val="auto"/>
              </w:rPr>
            </w:pP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w w:val="94"/>
              </w:rPr>
              <w:t>===========</w:t>
            </w:r>
          </w:p>
        </w:tc>
        <w:tc>
          <w:tcPr>
            <w:tcW w:w="176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4"/>
              </w:rPr>
              <w:t>===========</w:t>
            </w:r>
          </w:p>
        </w:tc>
        <w:tc>
          <w:tcPr>
            <w:tcW w:w="1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6"/>
              </w:rPr>
              <w:t>LIABILITIES AND SHAREHOLDERS' EQUITY</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Accounts payable...........</w:t>
            </w:r>
          </w:p>
        </w:tc>
        <w:tc>
          <w:tcPr>
            <w:tcW w:w="260" w:type="dxa"/>
            <w:vAlign w:val="bottom"/>
          </w:tcPr>
          <w:p>
            <w:pPr>
              <w:jc w:val="right"/>
              <w:ind w:right="107"/>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450.9</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23.4</w:t>
            </w:r>
          </w:p>
        </w:tc>
        <w:tc>
          <w:tcPr>
            <w:tcW w:w="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296.6</w:t>
            </w:r>
          </w:p>
        </w:tc>
        <w:tc>
          <w:tcPr>
            <w:tcW w:w="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770.9</w:t>
            </w:r>
          </w:p>
        </w:tc>
      </w:tr>
      <w:tr>
        <w:trPr>
          <w:trHeight w:val="170"/>
        </w:trPr>
        <w:tc>
          <w:tcPr>
            <w:tcW w:w="2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Accrued interest...........</w:t>
            </w:r>
          </w:p>
        </w:tc>
        <w:tc>
          <w:tcPr>
            <w:tcW w:w="2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131.5</w:t>
            </w:r>
          </w:p>
        </w:tc>
        <w:tc>
          <w:tcPr>
            <w:tcW w:w="52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14.9</w:t>
            </w: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88.5</w:t>
            </w:r>
          </w:p>
        </w:tc>
        <w:tc>
          <w:tcPr>
            <w:tcW w:w="5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234.9</w:t>
            </w:r>
          </w:p>
        </w:tc>
      </w:tr>
      <w:tr>
        <w:trPr>
          <w:trHeight w:val="170"/>
        </w:trPr>
        <w:tc>
          <w:tcPr>
            <w:tcW w:w="2900" w:type="dxa"/>
            <w:vAlign w:val="bottom"/>
          </w:tcPr>
          <w:p>
            <w:pPr>
              <w:ind w:left="340"/>
              <w:spacing w:after="0"/>
              <w:rPr>
                <w:sz w:val="20"/>
                <w:szCs w:val="20"/>
                <w:color w:val="auto"/>
              </w:rPr>
            </w:pPr>
            <w:r>
              <w:rPr>
                <w:rFonts w:ascii="Courier New" w:cs="Courier New" w:eastAsia="Courier New" w:hAnsi="Courier New"/>
                <w:sz w:val="15"/>
                <w:szCs w:val="15"/>
                <w:color w:val="auto"/>
              </w:rPr>
              <w:t>Merger consideration</w:t>
            </w:r>
          </w:p>
        </w:tc>
        <w:tc>
          <w:tcPr>
            <w:tcW w:w="2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261.7</w:t>
            </w:r>
          </w:p>
        </w:tc>
        <w:tc>
          <w:tcPr>
            <w:tcW w:w="52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261.7</w:t>
            </w:r>
          </w:p>
        </w:tc>
      </w:tr>
      <w:tr>
        <w:trPr>
          <w:trHeight w:val="170"/>
        </w:trPr>
        <w:tc>
          <w:tcPr>
            <w:tcW w:w="2900" w:type="dxa"/>
            <w:vAlign w:val="bottom"/>
          </w:tcPr>
          <w:p>
            <w:pPr>
              <w:ind w:left="520"/>
              <w:spacing w:after="0"/>
              <w:rPr>
                <w:sz w:val="20"/>
                <w:szCs w:val="20"/>
                <w:color w:val="auto"/>
              </w:rPr>
            </w:pPr>
            <w:r>
              <w:rPr>
                <w:rFonts w:ascii="Courier New" w:cs="Courier New" w:eastAsia="Courier New" w:hAnsi="Courier New"/>
                <w:sz w:val="15"/>
                <w:szCs w:val="15"/>
                <w:color w:val="auto"/>
              </w:rPr>
              <w:t>payable...............</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900" w:type="dxa"/>
            <w:vAlign w:val="bottom"/>
          </w:tcPr>
          <w:p>
            <w:pPr>
              <w:ind w:left="340"/>
              <w:spacing w:after="0"/>
              <w:rPr>
                <w:sz w:val="20"/>
                <w:szCs w:val="20"/>
                <w:color w:val="auto"/>
              </w:rPr>
            </w:pPr>
            <w:r>
              <w:rPr>
                <w:rFonts w:ascii="Courier New" w:cs="Courier New" w:eastAsia="Courier New" w:hAnsi="Courier New"/>
                <w:sz w:val="15"/>
                <w:szCs w:val="15"/>
                <w:color w:val="auto"/>
              </w:rPr>
              <w:t>Accrued compensation....</w:t>
            </w:r>
          </w:p>
        </w:tc>
        <w:tc>
          <w:tcPr>
            <w:tcW w:w="2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42.0</w:t>
            </w:r>
          </w:p>
        </w:tc>
        <w:tc>
          <w:tcPr>
            <w:tcW w:w="52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83.4</w:t>
            </w: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215.2</w:t>
            </w:r>
          </w:p>
        </w:tc>
        <w:tc>
          <w:tcPr>
            <w:tcW w:w="5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340.6</w:t>
            </w:r>
          </w:p>
        </w:tc>
      </w:tr>
      <w:tr>
        <w:trPr>
          <w:trHeight w:val="170"/>
        </w:trPr>
        <w:tc>
          <w:tcPr>
            <w:tcW w:w="2900" w:type="dxa"/>
            <w:vAlign w:val="bottom"/>
          </w:tcPr>
          <w:p>
            <w:pPr>
              <w:ind w:left="340"/>
              <w:spacing w:after="0"/>
              <w:rPr>
                <w:sz w:val="20"/>
                <w:szCs w:val="20"/>
                <w:color w:val="auto"/>
              </w:rPr>
            </w:pPr>
            <w:r>
              <w:rPr>
                <w:rFonts w:ascii="Courier New" w:cs="Courier New" w:eastAsia="Courier New" w:hAnsi="Courier New"/>
                <w:sz w:val="15"/>
                <w:szCs w:val="15"/>
                <w:color w:val="auto"/>
              </w:rPr>
              <w:t>Participants share,</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900" w:type="dxa"/>
            <w:vAlign w:val="bottom"/>
          </w:tcPr>
          <w:p>
            <w:pPr>
              <w:ind w:left="520"/>
              <w:spacing w:after="0"/>
              <w:rPr>
                <w:sz w:val="20"/>
                <w:szCs w:val="20"/>
                <w:color w:val="auto"/>
              </w:rPr>
            </w:pPr>
            <w:r>
              <w:rPr>
                <w:rFonts w:ascii="Courier New" w:cs="Courier New" w:eastAsia="Courier New" w:hAnsi="Courier New"/>
                <w:sz w:val="15"/>
                <w:szCs w:val="15"/>
                <w:color w:val="auto"/>
              </w:rPr>
              <w:t>residuals and</w:t>
            </w:r>
          </w:p>
        </w:tc>
        <w:tc>
          <w:tcPr>
            <w:tcW w:w="2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11.4</w:t>
            </w:r>
          </w:p>
        </w:tc>
        <w:tc>
          <w:tcPr>
            <w:tcW w:w="52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104.8</w:t>
            </w: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513.8</w:t>
            </w:r>
          </w:p>
        </w:tc>
        <w:tc>
          <w:tcPr>
            <w:tcW w:w="5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630.0</w:t>
            </w:r>
          </w:p>
        </w:tc>
      </w:tr>
      <w:tr>
        <w:trPr>
          <w:trHeight w:val="170"/>
        </w:trPr>
        <w:tc>
          <w:tcPr>
            <w:tcW w:w="2900" w:type="dxa"/>
            <w:vAlign w:val="bottom"/>
          </w:tcPr>
          <w:p>
            <w:pPr>
              <w:ind w:left="520"/>
              <w:spacing w:after="0"/>
              <w:rPr>
                <w:sz w:val="20"/>
                <w:szCs w:val="20"/>
                <w:color w:val="auto"/>
              </w:rPr>
            </w:pPr>
            <w:r>
              <w:rPr>
                <w:rFonts w:ascii="Courier New" w:cs="Courier New" w:eastAsia="Courier New" w:hAnsi="Courier New"/>
                <w:sz w:val="15"/>
                <w:szCs w:val="15"/>
                <w:color w:val="auto"/>
              </w:rPr>
              <w:t>royalties payable.....</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900" w:type="dxa"/>
            <w:vAlign w:val="bottom"/>
          </w:tcPr>
          <w:p>
            <w:pPr>
              <w:ind w:left="340"/>
              <w:spacing w:after="0"/>
              <w:rPr>
                <w:sz w:val="20"/>
                <w:szCs w:val="20"/>
                <w:color w:val="auto"/>
              </w:rPr>
            </w:pPr>
            <w:r>
              <w:rPr>
                <w:rFonts w:ascii="Courier New" w:cs="Courier New" w:eastAsia="Courier New" w:hAnsi="Courier New"/>
                <w:sz w:val="15"/>
                <w:szCs w:val="15"/>
                <w:color w:val="auto"/>
              </w:rPr>
              <w:t>Current portion of long-term</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900" w:type="dxa"/>
            <w:vAlign w:val="bottom"/>
          </w:tcPr>
          <w:p>
            <w:pPr>
              <w:ind w:left="520"/>
              <w:spacing w:after="0"/>
              <w:rPr>
                <w:sz w:val="20"/>
                <w:szCs w:val="20"/>
                <w:color w:val="auto"/>
              </w:rPr>
            </w:pPr>
            <w:r>
              <w:rPr>
                <w:rFonts w:ascii="Courier New" w:cs="Courier New" w:eastAsia="Courier New" w:hAnsi="Courier New"/>
                <w:sz w:val="15"/>
                <w:szCs w:val="15"/>
                <w:color w:val="auto"/>
              </w:rPr>
              <w:t>debt..................</w:t>
            </w:r>
          </w:p>
        </w:tc>
        <w:tc>
          <w:tcPr>
            <w:tcW w:w="2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3.8</w:t>
            </w:r>
          </w:p>
        </w:tc>
        <w:tc>
          <w:tcPr>
            <w:tcW w:w="52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7.4</w:t>
            </w: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9.8</w:t>
            </w:r>
          </w:p>
        </w:tc>
        <w:tc>
          <w:tcPr>
            <w:tcW w:w="5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21.0</w:t>
            </w:r>
          </w:p>
        </w:tc>
      </w:tr>
      <w:tr>
        <w:trPr>
          <w:trHeight w:val="170"/>
        </w:trPr>
        <w:tc>
          <w:tcPr>
            <w:tcW w:w="2900" w:type="dxa"/>
            <w:vAlign w:val="bottom"/>
          </w:tcPr>
          <w:p>
            <w:pPr>
              <w:ind w:left="340"/>
              <w:spacing w:after="0"/>
              <w:rPr>
                <w:sz w:val="20"/>
                <w:szCs w:val="20"/>
                <w:color w:val="auto"/>
              </w:rPr>
            </w:pPr>
            <w:r>
              <w:rPr>
                <w:rFonts w:ascii="Courier New" w:cs="Courier New" w:eastAsia="Courier New" w:hAnsi="Courier New"/>
                <w:sz w:val="15"/>
                <w:szCs w:val="15"/>
                <w:color w:val="auto"/>
              </w:rPr>
              <w:t>Other accrued expenses..</w:t>
            </w:r>
          </w:p>
        </w:tc>
        <w:tc>
          <w:tcPr>
            <w:tcW w:w="2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323.5</w:t>
            </w:r>
          </w:p>
        </w:tc>
        <w:tc>
          <w:tcPr>
            <w:tcW w:w="52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213.5</w:t>
            </w: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1,360.2</w:t>
            </w:r>
          </w:p>
        </w:tc>
        <w:tc>
          <w:tcPr>
            <w:tcW w:w="5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(25.1)</w:t>
            </w:r>
          </w:p>
        </w:tc>
        <w:tc>
          <w:tcPr>
            <w:tcW w:w="3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1,872.1</w:t>
            </w:r>
          </w:p>
        </w:tc>
      </w:tr>
      <w:tr>
        <w:trPr>
          <w:trHeight w:val="170"/>
        </w:trPr>
        <w:tc>
          <w:tcPr>
            <w:tcW w:w="2900" w:type="dxa"/>
            <w:vAlign w:val="bottom"/>
          </w:tcPr>
          <w:p>
            <w:pPr>
              <w:spacing w:after="0"/>
              <w:rPr>
                <w:sz w:val="14"/>
                <w:szCs w:val="14"/>
                <w:color w:val="auto"/>
              </w:rPr>
            </w:pPr>
          </w:p>
        </w:tc>
        <w:tc>
          <w:tcPr>
            <w:tcW w:w="12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2900" w:type="dxa"/>
            <w:vAlign w:val="bottom"/>
          </w:tcPr>
          <w:p>
            <w:pPr>
              <w:ind w:left="520"/>
              <w:spacing w:after="0"/>
              <w:rPr>
                <w:sz w:val="20"/>
                <w:szCs w:val="20"/>
                <w:color w:val="auto"/>
              </w:rPr>
            </w:pPr>
            <w:r>
              <w:rPr>
                <w:rFonts w:ascii="Courier New" w:cs="Courier New" w:eastAsia="Courier New" w:hAnsi="Courier New"/>
                <w:sz w:val="15"/>
                <w:szCs w:val="15"/>
                <w:color w:val="auto"/>
              </w:rPr>
              <w:t>Total current</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2900" w:type="dxa"/>
            <w:vAlign w:val="bottom"/>
          </w:tcPr>
          <w:p>
            <w:pPr>
              <w:ind w:left="600"/>
              <w:spacing w:after="0"/>
              <w:rPr>
                <w:sz w:val="20"/>
                <w:szCs w:val="20"/>
                <w:color w:val="auto"/>
              </w:rPr>
            </w:pPr>
            <w:r>
              <w:rPr>
                <w:rFonts w:ascii="Courier New" w:cs="Courier New" w:eastAsia="Courier New" w:hAnsi="Courier New"/>
                <w:sz w:val="15"/>
                <w:szCs w:val="15"/>
                <w:color w:val="auto"/>
              </w:rPr>
              <w:t>liabilities...........</w:t>
            </w:r>
          </w:p>
        </w:tc>
        <w:tc>
          <w:tcPr>
            <w:tcW w:w="2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1,224.8</w:t>
            </w:r>
          </w:p>
        </w:tc>
        <w:tc>
          <w:tcPr>
            <w:tcW w:w="520" w:type="dxa"/>
            <w:vAlign w:val="bottom"/>
          </w:tcPr>
          <w:p>
            <w:pPr>
              <w:spacing w:after="0"/>
              <w:rPr>
                <w:sz w:val="14"/>
                <w:szCs w:val="14"/>
                <w:color w:val="auto"/>
              </w:rPr>
            </w:pP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447.4</w:t>
            </w:r>
          </w:p>
        </w:tc>
        <w:tc>
          <w:tcPr>
            <w:tcW w:w="34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2,484.1</w:t>
            </w:r>
          </w:p>
        </w:tc>
        <w:tc>
          <w:tcPr>
            <w:tcW w:w="54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(25.1)</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4,131.2</w:t>
            </w:r>
          </w:p>
        </w:tc>
      </w:tr>
      <w:tr>
        <w:trPr>
          <w:trHeight w:val="170"/>
        </w:trPr>
        <w:tc>
          <w:tcPr>
            <w:tcW w:w="2900" w:type="dxa"/>
            <w:vAlign w:val="bottom"/>
          </w:tcPr>
          <w:p>
            <w:pPr>
              <w:spacing w:after="0"/>
              <w:rPr>
                <w:sz w:val="14"/>
                <w:szCs w:val="14"/>
                <w:color w:val="auto"/>
              </w:rPr>
            </w:pP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4"/>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2900" w:type="dxa"/>
            <w:vAlign w:val="bottom"/>
          </w:tcPr>
          <w:p>
            <w:pPr>
              <w:ind w:left="340"/>
              <w:spacing w:after="0"/>
              <w:rPr>
                <w:sz w:val="20"/>
                <w:szCs w:val="20"/>
                <w:color w:val="auto"/>
              </w:rPr>
            </w:pPr>
            <w:r>
              <w:rPr>
                <w:rFonts w:ascii="Courier New" w:cs="Courier New" w:eastAsia="Courier New" w:hAnsi="Courier New"/>
                <w:sz w:val="15"/>
                <w:szCs w:val="15"/>
                <w:color w:val="auto"/>
              </w:rPr>
              <w:t>Long-term debt..........</w:t>
            </w:r>
          </w:p>
        </w:tc>
        <w:tc>
          <w:tcPr>
            <w:tcW w:w="260" w:type="dxa"/>
            <w:vAlign w:val="bottom"/>
          </w:tcPr>
          <w:p>
            <w:pPr>
              <w:spacing w:after="0"/>
              <w:rPr>
                <w:sz w:val="24"/>
                <w:szCs w:val="2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8,583.0</w:t>
            </w:r>
          </w:p>
        </w:tc>
        <w:tc>
          <w:tcPr>
            <w:tcW w:w="520" w:type="dxa"/>
            <w:vAlign w:val="bottom"/>
          </w:tcPr>
          <w:p>
            <w:pPr>
              <w:spacing w:after="0"/>
              <w:rPr>
                <w:sz w:val="24"/>
                <w:szCs w:val="2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560.1</w:t>
            </w:r>
          </w:p>
        </w:tc>
        <w:tc>
          <w:tcPr>
            <w:tcW w:w="34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1,496.7</w:t>
            </w:r>
          </w:p>
        </w:tc>
        <w:tc>
          <w:tcPr>
            <w:tcW w:w="54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(237.4)</w:t>
            </w:r>
          </w:p>
        </w:tc>
        <w:tc>
          <w:tcPr>
            <w:tcW w:w="3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10,402.4</w:t>
            </w:r>
          </w:p>
        </w:tc>
      </w:tr>
      <w:tr>
        <w:trPr>
          <w:trHeight w:val="170"/>
        </w:trPr>
        <w:tc>
          <w:tcPr>
            <w:tcW w:w="2900" w:type="dxa"/>
            <w:vAlign w:val="bottom"/>
          </w:tcPr>
          <w:p>
            <w:pPr>
              <w:ind w:left="340"/>
              <w:spacing w:after="0"/>
              <w:rPr>
                <w:sz w:val="20"/>
                <w:szCs w:val="20"/>
                <w:color w:val="auto"/>
              </w:rPr>
            </w:pPr>
            <w:r>
              <w:rPr>
                <w:rFonts w:ascii="Courier New" w:cs="Courier New" w:eastAsia="Courier New" w:hAnsi="Courier New"/>
                <w:sz w:val="15"/>
                <w:szCs w:val="15"/>
                <w:color w:val="auto"/>
              </w:rPr>
              <w:t>Other liabilities.......</w:t>
            </w: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(8,299.6)</w:t>
            </w:r>
          </w:p>
        </w:tc>
        <w:tc>
          <w:tcPr>
            <w:tcW w:w="520" w:type="dxa"/>
            <w:vAlign w:val="bottom"/>
          </w:tcPr>
          <w:p>
            <w:pPr>
              <w:spacing w:after="0"/>
              <w:rPr>
                <w:sz w:val="14"/>
                <w:szCs w:val="14"/>
                <w:color w:val="auto"/>
              </w:rPr>
            </w:pP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(192.0)</w:t>
            </w: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2,585.3</w:t>
            </w:r>
          </w:p>
        </w:tc>
        <w:tc>
          <w:tcPr>
            <w:tcW w:w="5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7,854.8</w:t>
            </w:r>
          </w:p>
        </w:tc>
        <w:tc>
          <w:tcPr>
            <w:tcW w:w="3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1,948.5</w:t>
            </w:r>
          </w:p>
        </w:tc>
      </w:tr>
      <w:tr>
        <w:trPr>
          <w:trHeight w:val="339"/>
        </w:trPr>
        <w:tc>
          <w:tcPr>
            <w:tcW w:w="2900" w:type="dxa"/>
            <w:vAlign w:val="bottom"/>
          </w:tcPr>
          <w:p>
            <w:pPr>
              <w:ind w:left="340"/>
              <w:spacing w:after="0"/>
              <w:rPr>
                <w:sz w:val="20"/>
                <w:szCs w:val="20"/>
                <w:color w:val="auto"/>
              </w:rPr>
            </w:pPr>
            <w:r>
              <w:rPr>
                <w:rFonts w:ascii="Courier New" w:cs="Courier New" w:eastAsia="Courier New" w:hAnsi="Courier New"/>
                <w:sz w:val="15"/>
                <w:szCs w:val="15"/>
                <w:color w:val="auto"/>
              </w:rPr>
              <w:t>Shareholders' equity</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2900" w:type="dxa"/>
            <w:vAlign w:val="bottom"/>
          </w:tcPr>
          <w:p>
            <w:pPr>
              <w:ind w:left="600"/>
              <w:spacing w:after="0"/>
              <w:rPr>
                <w:sz w:val="20"/>
                <w:szCs w:val="20"/>
                <w:color w:val="auto"/>
              </w:rPr>
            </w:pPr>
            <w:r>
              <w:rPr>
                <w:rFonts w:ascii="Courier New" w:cs="Courier New" w:eastAsia="Courier New" w:hAnsi="Courier New"/>
                <w:sz w:val="15"/>
                <w:szCs w:val="15"/>
                <w:color w:val="auto"/>
              </w:rPr>
              <w:t>Preferred Stock......</w:t>
            </w:r>
          </w:p>
        </w:tc>
        <w:tc>
          <w:tcPr>
            <w:tcW w:w="2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1,200.0</w:t>
            </w:r>
          </w:p>
        </w:tc>
        <w:tc>
          <w:tcPr>
            <w:tcW w:w="520" w:type="dxa"/>
            <w:vAlign w:val="bottom"/>
          </w:tcPr>
          <w:p>
            <w:pPr>
              <w:spacing w:after="0"/>
              <w:rPr>
                <w:sz w:val="14"/>
                <w:szCs w:val="14"/>
                <w:color w:val="auto"/>
              </w:rPr>
            </w:pPr>
          </w:p>
        </w:tc>
        <w:tc>
          <w:tcPr>
            <w:tcW w:w="12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1,200.0</w:t>
            </w:r>
          </w:p>
        </w:tc>
      </w:tr>
      <w:tr>
        <w:trPr>
          <w:trHeight w:val="170"/>
        </w:trPr>
        <w:tc>
          <w:tcPr>
            <w:tcW w:w="2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Common Stock............</w:t>
            </w:r>
          </w:p>
        </w:tc>
        <w:tc>
          <w:tcPr>
            <w:tcW w:w="2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w:t>
            </w:r>
          </w:p>
        </w:tc>
        <w:tc>
          <w:tcPr>
            <w:tcW w:w="52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w:t>
            </w: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w:t>
            </w:r>
          </w:p>
        </w:tc>
        <w:tc>
          <w:tcPr>
            <w:tcW w:w="3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w:t>
            </w:r>
          </w:p>
        </w:tc>
      </w:tr>
      <w:tr>
        <w:trPr>
          <w:trHeight w:val="170"/>
        </w:trPr>
        <w:tc>
          <w:tcPr>
            <w:tcW w:w="2900" w:type="dxa"/>
            <w:vAlign w:val="bottom"/>
          </w:tcPr>
          <w:p>
            <w:pPr>
              <w:ind w:left="600"/>
              <w:spacing w:after="0"/>
              <w:rPr>
                <w:sz w:val="20"/>
                <w:szCs w:val="20"/>
                <w:color w:val="auto"/>
              </w:rPr>
            </w:pPr>
            <w:r>
              <w:rPr>
                <w:rFonts w:ascii="Courier New" w:cs="Courier New" w:eastAsia="Courier New" w:hAnsi="Courier New"/>
                <w:sz w:val="15"/>
                <w:szCs w:val="15"/>
                <w:color w:val="auto"/>
                <w:w w:val="97"/>
              </w:rPr>
              <w:t>Additional paid-in capital</w:t>
            </w:r>
          </w:p>
        </w:tc>
        <w:tc>
          <w:tcPr>
            <w:tcW w:w="12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10,576.0</w:t>
            </w:r>
          </w:p>
        </w:tc>
        <w:tc>
          <w:tcPr>
            <w:tcW w:w="52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787.6</w:t>
            </w: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9,973.1</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(10,757.2)</w:t>
            </w:r>
          </w:p>
        </w:tc>
        <w:tc>
          <w:tcPr>
            <w:tcW w:w="3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10,579.5</w:t>
            </w:r>
          </w:p>
        </w:tc>
      </w:tr>
      <w:tr>
        <w:trPr>
          <w:trHeight w:val="170"/>
        </w:trPr>
        <w:tc>
          <w:tcPr>
            <w:tcW w:w="2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Retained earnings.......</w:t>
            </w:r>
          </w:p>
        </w:tc>
        <w:tc>
          <w:tcPr>
            <w:tcW w:w="2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31.7</w:t>
            </w:r>
          </w:p>
        </w:tc>
        <w:tc>
          <w:tcPr>
            <w:tcW w:w="52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627.6</w:t>
            </w: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95.0</w:t>
            </w:r>
          </w:p>
        </w:tc>
        <w:tc>
          <w:tcPr>
            <w:tcW w:w="5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(743.7)</w:t>
            </w:r>
          </w:p>
        </w:tc>
        <w:tc>
          <w:tcPr>
            <w:tcW w:w="3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w:t>
            </w:r>
          </w:p>
        </w:tc>
      </w:tr>
      <w:tr>
        <w:trPr>
          <w:trHeight w:val="170"/>
        </w:trPr>
        <w:tc>
          <w:tcPr>
            <w:tcW w:w="2900" w:type="dxa"/>
            <w:vAlign w:val="bottom"/>
          </w:tcPr>
          <w:p>
            <w:pPr>
              <w:ind w:left="600"/>
              <w:spacing w:after="0"/>
              <w:rPr>
                <w:sz w:val="20"/>
                <w:szCs w:val="20"/>
                <w:color w:val="auto"/>
              </w:rPr>
            </w:pPr>
            <w:r>
              <w:rPr>
                <w:rFonts w:ascii="Courier New" w:cs="Courier New" w:eastAsia="Courier New" w:hAnsi="Courier New"/>
                <w:sz w:val="15"/>
                <w:szCs w:val="15"/>
                <w:color w:val="auto"/>
              </w:rPr>
              <w:t>Cumulative translation</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adjustment............</w:t>
            </w:r>
          </w:p>
        </w:tc>
        <w:tc>
          <w:tcPr>
            <w:tcW w:w="2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(4.7)</w:t>
            </w:r>
          </w:p>
        </w:tc>
        <w:tc>
          <w:tcPr>
            <w:tcW w:w="520" w:type="dxa"/>
            <w:vAlign w:val="bottom"/>
          </w:tcPr>
          <w:p>
            <w:pPr>
              <w:spacing w:after="0"/>
              <w:rPr>
                <w:sz w:val="14"/>
                <w:szCs w:val="14"/>
                <w:color w:val="auto"/>
              </w:rPr>
            </w:pP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(3.6)</w:t>
            </w: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w:t>
            </w:r>
          </w:p>
        </w:tc>
        <w:tc>
          <w:tcPr>
            <w:tcW w:w="5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0"/>
        </w:trPr>
        <w:tc>
          <w:tcPr>
            <w:tcW w:w="2900" w:type="dxa"/>
            <w:vAlign w:val="bottom"/>
          </w:tcPr>
          <w:p>
            <w:pPr>
              <w:spacing w:after="0"/>
              <w:rPr>
                <w:sz w:val="14"/>
                <w:szCs w:val="14"/>
                <w:color w:val="auto"/>
              </w:rPr>
            </w:pPr>
          </w:p>
        </w:tc>
        <w:tc>
          <w:tcPr>
            <w:tcW w:w="12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5"/>
              </w:rPr>
              <w:t>----------</w:t>
            </w:r>
          </w:p>
        </w:tc>
        <w:tc>
          <w:tcPr>
            <w:tcW w:w="17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r>
      <w:tr>
        <w:trPr>
          <w:trHeight w:val="509"/>
        </w:trPr>
        <w:tc>
          <w:tcPr>
            <w:tcW w:w="2900" w:type="dxa"/>
            <w:vAlign w:val="bottom"/>
          </w:tcPr>
          <w:p>
            <w:pPr>
              <w:ind w:left="1140"/>
              <w:spacing w:after="0"/>
              <w:rPr>
                <w:sz w:val="20"/>
                <w:szCs w:val="20"/>
                <w:color w:val="auto"/>
              </w:rPr>
            </w:pPr>
            <w:r>
              <w:rPr>
                <w:rFonts w:ascii="Courier New" w:cs="Courier New" w:eastAsia="Courier New" w:hAnsi="Courier New"/>
                <w:sz w:val="15"/>
                <w:szCs w:val="15"/>
                <w:color w:val="auto"/>
              </w:rPr>
              <w:t>Total shareholders'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2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equity</w:t>
            </w:r>
          </w:p>
        </w:tc>
        <w:tc>
          <w:tcPr>
            <w:tcW w:w="12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11,806.5</w:t>
            </w:r>
          </w:p>
        </w:tc>
        <w:tc>
          <w:tcPr>
            <w:tcW w:w="52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1,411.7</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10,074.4</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(11,501.0)</w:t>
            </w:r>
          </w:p>
        </w:tc>
        <w:tc>
          <w:tcPr>
            <w:tcW w:w="3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11,791.6</w:t>
            </w:r>
          </w:p>
        </w:tc>
      </w:tr>
      <w:tr>
        <w:trPr>
          <w:trHeight w:val="170"/>
        </w:trPr>
        <w:tc>
          <w:tcPr>
            <w:tcW w:w="2900" w:type="dxa"/>
            <w:vAlign w:val="bottom"/>
          </w:tcPr>
          <w:p>
            <w:pPr>
              <w:spacing w:after="0"/>
              <w:rPr>
                <w:sz w:val="14"/>
                <w:szCs w:val="14"/>
                <w:color w:val="auto"/>
              </w:rPr>
            </w:pPr>
          </w:p>
        </w:tc>
        <w:tc>
          <w:tcPr>
            <w:tcW w:w="12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5"/>
              </w:rPr>
              <w:t>----------</w:t>
            </w:r>
          </w:p>
        </w:tc>
        <w:tc>
          <w:tcPr>
            <w:tcW w:w="17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2900" w:type="dxa"/>
            <w:vAlign w:val="bottom"/>
          </w:tcPr>
          <w:p>
            <w:pPr>
              <w:ind w:left="282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13,314.7</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2,227.2</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$ 16,640.5</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(3,908.7)</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$ 28,273.7</w:t>
            </w:r>
          </w:p>
        </w:tc>
      </w:tr>
      <w:tr>
        <w:trPr>
          <w:trHeight w:val="170"/>
        </w:trPr>
        <w:tc>
          <w:tcPr>
            <w:tcW w:w="414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459"/>
        <w:spacing w:after="0"/>
        <w:rPr>
          <w:sz w:val="20"/>
          <w:szCs w:val="20"/>
          <w:color w:val="auto"/>
        </w:rPr>
      </w:pPr>
      <w:r>
        <w:rPr>
          <w:rFonts w:ascii="Courier New" w:cs="Courier New" w:eastAsia="Courier New" w:hAnsi="Courier New"/>
          <w:sz w:val="15"/>
          <w:szCs w:val="15"/>
          <w:color w:val="auto"/>
        </w:rPr>
        <w:t>II-53</w:t>
      </w:r>
    </w:p>
    <w:p>
      <w:pPr>
        <w:sectPr>
          <w:pgSz w:w="11900" w:h="16838" w:orient="portrait"/>
          <w:cols w:equalWidth="0" w:num="1">
            <w:col w:w="10219"/>
          </w:cols>
          <w:pgMar w:left="240" w:top="791" w:right="1440" w:bottom="0" w:gutter="0" w:footer="0" w:header="0"/>
        </w:sectPr>
      </w:pPr>
    </w:p>
    <w:bookmarkStart w:id="94" w:name="page95"/>
    <w:bookmarkEnd w:id="94"/>
    <w:p>
      <w:pPr>
        <w:jc w:val="center"/>
        <w:ind w:right="3520"/>
        <w:spacing w:after="0"/>
        <w:rPr>
          <w:sz w:val="20"/>
          <w:szCs w:val="20"/>
          <w:color w:val="auto"/>
        </w:rPr>
      </w:pPr>
      <w:r>
        <w:rPr>
          <w:rFonts w:ascii="Courier New" w:cs="Courier New" w:eastAsia="Courier New" w:hAnsi="Courier New"/>
          <w:sz w:val="15"/>
          <w:szCs w:val="15"/>
          <w:color w:val="auto"/>
        </w:rPr>
        <w:t>VIACOM INC. AND SUBSIDIARIES</w:t>
      </w:r>
    </w:p>
    <w:p>
      <w:pPr>
        <w:jc w:val="center"/>
        <w:ind w:right="3520"/>
        <w:spacing w:after="0"/>
        <w:rPr>
          <w:sz w:val="20"/>
          <w:szCs w:val="20"/>
          <w:color w:val="auto"/>
        </w:rPr>
      </w:pPr>
      <w:r>
        <w:rPr>
          <w:rFonts w:ascii="Courier New" w:cs="Courier New" w:eastAsia="Courier New" w:hAnsi="Courier New"/>
          <w:sz w:val="15"/>
          <w:szCs w:val="15"/>
          <w:color w:val="auto"/>
        </w:rPr>
        <w:t>NOTES TO CONSOLIDATED FINANCIAL STATEMENTS (continued)</w:t>
      </w:r>
    </w:p>
    <w:tbl>
      <w:tblPr>
        <w:tblLayout w:type="fixed"/>
        <w:tblInd w:w="0" w:type="dxa"/>
        <w:tblCellMar>
          <w:top w:w="0" w:type="dxa"/>
          <w:left w:w="0" w:type="dxa"/>
          <w:bottom w:w="0" w:type="dxa"/>
          <w:right w:w="0" w:type="dxa"/>
        </w:tblCellMar>
      </w:tblPr>
      <w:tr>
        <w:trPr>
          <w:trHeight w:val="169"/>
        </w:trPr>
        <w:tc>
          <w:tcPr>
            <w:tcW w:w="6600" w:type="dxa"/>
            <w:vAlign w:val="bottom"/>
            <w:gridSpan w:val="4"/>
          </w:tcPr>
          <w:p>
            <w:pPr>
              <w:jc w:val="right"/>
              <w:ind w:right="547"/>
              <w:spacing w:after="0"/>
              <w:rPr>
                <w:sz w:val="20"/>
                <w:szCs w:val="20"/>
                <w:color w:val="auto"/>
              </w:rPr>
            </w:pPr>
            <w:r>
              <w:rPr>
                <w:rFonts w:ascii="Courier New" w:cs="Courier New" w:eastAsia="Courier New" w:hAnsi="Courier New"/>
                <w:sz w:val="15"/>
                <w:szCs w:val="15"/>
                <w:color w:val="auto"/>
              </w:rPr>
              <w:t>(Tabular dollars in millions, except per share amounts)</w:t>
            </w: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848"/>
        </w:trPr>
        <w:tc>
          <w:tcPr>
            <w:tcW w:w="3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1995</w:t>
            </w: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3820" w:type="dxa"/>
            <w:vAlign w:val="bottom"/>
          </w:tcPr>
          <w:p>
            <w:pPr>
              <w:spacing w:after="0"/>
              <w:rPr>
                <w:sz w:val="14"/>
                <w:szCs w:val="14"/>
                <w:color w:val="auto"/>
              </w:rPr>
            </w:pPr>
          </w:p>
        </w:tc>
        <w:tc>
          <w:tcPr>
            <w:tcW w:w="6740" w:type="dxa"/>
            <w:vAlign w:val="bottom"/>
            <w:gridSpan w:val="7"/>
          </w:tcPr>
          <w:p>
            <w:pPr>
              <w:ind w:left="40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NON-</w:t>
            </w: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6"/>
              </w:rPr>
              <w:t>THE</w:t>
            </w:r>
          </w:p>
        </w:tc>
      </w:tr>
      <w:tr>
        <w:trPr>
          <w:trHeight w:val="170"/>
        </w:trPr>
        <w:tc>
          <w:tcPr>
            <w:tcW w:w="3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VIACOM</w:t>
            </w: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GUARANTOR</w:t>
            </w: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COMPANY</w:t>
            </w:r>
          </w:p>
        </w:tc>
      </w:tr>
      <w:tr>
        <w:trPr>
          <w:trHeight w:val="170"/>
        </w:trPr>
        <w:tc>
          <w:tcPr>
            <w:tcW w:w="3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VIACOM</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INTERNATIONAL</w:t>
            </w: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AFFILIATES</w:t>
            </w: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ELIMINATION</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0"/>
        </w:trPr>
        <w:tc>
          <w:tcPr>
            <w:tcW w:w="3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w:t>
            </w:r>
          </w:p>
        </w:tc>
      </w:tr>
      <w:tr>
        <w:trPr>
          <w:trHeight w:val="509"/>
        </w:trPr>
        <w:tc>
          <w:tcPr>
            <w:tcW w:w="3820" w:type="dxa"/>
            <w:vAlign w:val="bottom"/>
          </w:tcPr>
          <w:p>
            <w:pPr>
              <w:spacing w:after="0"/>
              <w:rPr>
                <w:sz w:val="20"/>
                <w:szCs w:val="20"/>
                <w:color w:val="auto"/>
              </w:rPr>
            </w:pPr>
            <w:r>
              <w:rPr>
                <w:rFonts w:ascii="Courier New" w:cs="Courier New" w:eastAsia="Courier New" w:hAnsi="Courier New"/>
                <w:sz w:val="15"/>
                <w:szCs w:val="15"/>
                <w:color w:val="auto"/>
              </w:rPr>
              <w:t>NET CASH FLOW FROM OPERATING ACTIVITIES</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318.4</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(66.5)</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$(196.3)</w:t>
            </w:r>
          </w:p>
        </w:tc>
        <w:tc>
          <w:tcPr>
            <w:tcW w:w="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$ 55.6</w:t>
            </w:r>
          </w:p>
        </w:tc>
      </w:tr>
      <w:tr>
        <w:trPr>
          <w:trHeight w:val="170"/>
        </w:trPr>
        <w:tc>
          <w:tcPr>
            <w:tcW w:w="3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Proceeds from dispositions.......</w:t>
            </w:r>
          </w:p>
        </w:tc>
        <w:tc>
          <w:tcPr>
            <w:tcW w:w="4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1,036.1</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406.8</w:t>
            </w:r>
          </w:p>
        </w:tc>
        <w:tc>
          <w:tcPr>
            <w:tcW w:w="620" w:type="dxa"/>
            <w:vAlign w:val="bottom"/>
          </w:tcPr>
          <w:p>
            <w:pPr>
              <w:spacing w:after="0"/>
              <w:rPr>
                <w:sz w:val="14"/>
                <w:szCs w:val="14"/>
                <w:color w:val="auto"/>
              </w:rPr>
            </w:pPr>
          </w:p>
        </w:tc>
        <w:tc>
          <w:tcPr>
            <w:tcW w:w="7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1,442.9</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Acquisitions, net of cash acquired</w:t>
            </w:r>
          </w:p>
        </w:tc>
        <w:tc>
          <w:tcPr>
            <w:tcW w:w="48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(230.7)</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(385.5)</w:t>
            </w: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(616.2)</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48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(335.9)</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(93.8)</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(300.9)</w:t>
            </w:r>
          </w:p>
        </w:tc>
        <w:tc>
          <w:tcPr>
            <w:tcW w:w="620" w:type="dxa"/>
            <w:vAlign w:val="bottom"/>
          </w:tcPr>
          <w:p>
            <w:pPr>
              <w:spacing w:after="0"/>
              <w:rPr>
                <w:sz w:val="14"/>
                <w:szCs w:val="14"/>
                <w:color w:val="auto"/>
              </w:rPr>
            </w:pPr>
          </w:p>
        </w:tc>
        <w:tc>
          <w:tcPr>
            <w:tcW w:w="7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(730.6)</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Investments in and advances to</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8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affiliated companies..........</w:t>
            </w:r>
          </w:p>
        </w:tc>
        <w:tc>
          <w:tcPr>
            <w:tcW w:w="48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(45.0)</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(72.4)</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(20.7)</w:t>
            </w:r>
          </w:p>
        </w:tc>
        <w:tc>
          <w:tcPr>
            <w:tcW w:w="620" w:type="dxa"/>
            <w:vAlign w:val="bottom"/>
          </w:tcPr>
          <w:p>
            <w:pPr>
              <w:spacing w:after="0"/>
              <w:rPr>
                <w:sz w:val="14"/>
                <w:szCs w:val="14"/>
                <w:color w:val="auto"/>
              </w:rPr>
            </w:pPr>
          </w:p>
        </w:tc>
        <w:tc>
          <w:tcPr>
            <w:tcW w:w="7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(138.1)</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Proceeds from sale of short-term</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8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investments...................</w:t>
            </w:r>
          </w:p>
        </w:tc>
        <w:tc>
          <w:tcPr>
            <w:tcW w:w="4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281.3</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281.3</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Payments for purchase of short-term</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8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investments...................</w:t>
            </w:r>
          </w:p>
        </w:tc>
        <w:tc>
          <w:tcPr>
            <w:tcW w:w="4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(301.2)</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(301.2)</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48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(20.5)</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5.9</w:t>
            </w:r>
          </w:p>
        </w:tc>
        <w:tc>
          <w:tcPr>
            <w:tcW w:w="620" w:type="dxa"/>
            <w:vAlign w:val="bottom"/>
          </w:tcPr>
          <w:p>
            <w:pPr>
              <w:spacing w:after="0"/>
              <w:rPr>
                <w:sz w:val="14"/>
                <w:szCs w:val="14"/>
                <w:color w:val="auto"/>
              </w:rPr>
            </w:pPr>
          </w:p>
        </w:tc>
        <w:tc>
          <w:tcPr>
            <w:tcW w:w="7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(17.7)</w:t>
            </w:r>
          </w:p>
        </w:tc>
      </w:tr>
      <w:tr>
        <w:trPr>
          <w:trHeight w:val="170"/>
        </w:trPr>
        <w:tc>
          <w:tcPr>
            <w:tcW w:w="3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NET CASH FLOW FROM INVESTING</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8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ACTIVITIES....................</w:t>
            </w:r>
          </w:p>
        </w:tc>
        <w:tc>
          <w:tcPr>
            <w:tcW w:w="48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(632.1)</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846.9</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(294.4)</w:t>
            </w:r>
          </w:p>
        </w:tc>
        <w:tc>
          <w:tcPr>
            <w:tcW w:w="620" w:type="dxa"/>
            <w:vAlign w:val="bottom"/>
          </w:tcPr>
          <w:p>
            <w:pPr>
              <w:spacing w:after="0"/>
              <w:rPr>
                <w:sz w:val="14"/>
                <w:szCs w:val="14"/>
                <w:color w:val="auto"/>
              </w:rPr>
            </w:pPr>
          </w:p>
        </w:tc>
        <w:tc>
          <w:tcPr>
            <w:tcW w:w="7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(79.6)</w:t>
            </w:r>
          </w:p>
        </w:tc>
      </w:tr>
      <w:tr>
        <w:trPr>
          <w:trHeight w:val="170"/>
        </w:trPr>
        <w:tc>
          <w:tcPr>
            <w:tcW w:w="3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Short-term borrowings from</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8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(repayments to) banks, net.....</w:t>
            </w:r>
          </w:p>
        </w:tc>
        <w:tc>
          <w:tcPr>
            <w:tcW w:w="13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(1,560.2)</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(1,560.2)</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Increase (decrease) in intercompany</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8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payables .....................</w:t>
            </w:r>
          </w:p>
        </w:tc>
        <w:tc>
          <w:tcPr>
            <w:tcW w:w="4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440.3</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(616.2)</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175.9</w:t>
            </w:r>
          </w:p>
        </w:tc>
        <w:tc>
          <w:tcPr>
            <w:tcW w:w="620" w:type="dxa"/>
            <w:vAlign w:val="bottom"/>
          </w:tcPr>
          <w:p>
            <w:pPr>
              <w:spacing w:after="0"/>
              <w:rPr>
                <w:sz w:val="14"/>
                <w:szCs w:val="14"/>
                <w:color w:val="auto"/>
              </w:rPr>
            </w:pPr>
          </w:p>
        </w:tc>
        <w:tc>
          <w:tcPr>
            <w:tcW w:w="7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Proceeds from issuance of  senior</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8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notes.........................</w:t>
            </w:r>
          </w:p>
        </w:tc>
        <w:tc>
          <w:tcPr>
            <w:tcW w:w="4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1,538.6</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1,538.6</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Proceeds from exercise of</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8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stock options and warrants....</w:t>
            </w:r>
          </w:p>
        </w:tc>
        <w:tc>
          <w:tcPr>
            <w:tcW w:w="4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125.6</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125.6</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Payment of Preferred Stock</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8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dividends.....................</w:t>
            </w:r>
          </w:p>
        </w:tc>
        <w:tc>
          <w:tcPr>
            <w:tcW w:w="48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(60.0)</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(60.0)</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Settlement of CVRs...............</w:t>
            </w:r>
          </w:p>
        </w:tc>
        <w:tc>
          <w:tcPr>
            <w:tcW w:w="48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(81.9)</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(81.9)</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Deferred financing fees..........</w:t>
            </w:r>
          </w:p>
        </w:tc>
        <w:tc>
          <w:tcPr>
            <w:tcW w:w="48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(23.4)</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(23.4)</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48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(24.7)</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(4.3)</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(19.3)</w:t>
            </w:r>
          </w:p>
        </w:tc>
        <w:tc>
          <w:tcPr>
            <w:tcW w:w="620" w:type="dxa"/>
            <w:vAlign w:val="bottom"/>
          </w:tcPr>
          <w:p>
            <w:pPr>
              <w:spacing w:after="0"/>
              <w:rPr>
                <w:sz w:val="14"/>
                <w:szCs w:val="14"/>
                <w:color w:val="auto"/>
              </w:rPr>
            </w:pPr>
          </w:p>
        </w:tc>
        <w:tc>
          <w:tcPr>
            <w:tcW w:w="7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(48.3)</w:t>
            </w:r>
          </w:p>
        </w:tc>
      </w:tr>
      <w:tr>
        <w:trPr>
          <w:trHeight w:val="170"/>
        </w:trPr>
        <w:tc>
          <w:tcPr>
            <w:tcW w:w="3820" w:type="dxa"/>
            <w:vAlign w:val="bottom"/>
          </w:tcPr>
          <w:p>
            <w:pPr>
              <w:spacing w:after="0"/>
              <w:rPr>
                <w:sz w:val="14"/>
                <w:szCs w:val="14"/>
                <w:color w:val="auto"/>
              </w:rPr>
            </w:pP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NET CASH FLOW FROM FINANCING</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8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ACTIVITIES....................</w:t>
            </w:r>
          </w:p>
        </w:tc>
        <w:tc>
          <w:tcPr>
            <w:tcW w:w="4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354.3</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(620.5)</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156.6</w:t>
            </w:r>
          </w:p>
        </w:tc>
        <w:tc>
          <w:tcPr>
            <w:tcW w:w="620" w:type="dxa"/>
            <w:vAlign w:val="bottom"/>
          </w:tcPr>
          <w:p>
            <w:pPr>
              <w:spacing w:after="0"/>
              <w:rPr>
                <w:sz w:val="14"/>
                <w:szCs w:val="14"/>
                <w:color w:val="auto"/>
              </w:rPr>
            </w:pPr>
          </w:p>
        </w:tc>
        <w:tc>
          <w:tcPr>
            <w:tcW w:w="7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(109.6)</w:t>
            </w:r>
          </w:p>
        </w:tc>
      </w:tr>
      <w:tr>
        <w:trPr>
          <w:trHeight w:val="170"/>
        </w:trPr>
        <w:tc>
          <w:tcPr>
            <w:tcW w:w="3820" w:type="dxa"/>
            <w:vAlign w:val="bottom"/>
          </w:tcPr>
          <w:p>
            <w:pPr>
              <w:spacing w:after="0"/>
              <w:rPr>
                <w:sz w:val="14"/>
                <w:szCs w:val="14"/>
                <w:color w:val="auto"/>
              </w:rPr>
            </w:pP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8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cash equivalents..............</w:t>
            </w:r>
          </w:p>
        </w:tc>
        <w:tc>
          <w:tcPr>
            <w:tcW w:w="4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40.6</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159.9</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(334.1)</w:t>
            </w:r>
          </w:p>
        </w:tc>
        <w:tc>
          <w:tcPr>
            <w:tcW w:w="620" w:type="dxa"/>
            <w:vAlign w:val="bottom"/>
          </w:tcPr>
          <w:p>
            <w:pPr>
              <w:spacing w:after="0"/>
              <w:rPr>
                <w:sz w:val="14"/>
                <w:szCs w:val="14"/>
                <w:color w:val="auto"/>
              </w:rPr>
            </w:pPr>
          </w:p>
        </w:tc>
        <w:tc>
          <w:tcPr>
            <w:tcW w:w="7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(133.6)</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8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of year.......................</w:t>
            </w:r>
          </w:p>
        </w:tc>
        <w:tc>
          <w:tcPr>
            <w:tcW w:w="4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135.6</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63.4</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398.7</w:t>
            </w:r>
          </w:p>
        </w:tc>
        <w:tc>
          <w:tcPr>
            <w:tcW w:w="620" w:type="dxa"/>
            <w:vAlign w:val="bottom"/>
          </w:tcPr>
          <w:p>
            <w:pPr>
              <w:spacing w:after="0"/>
              <w:rPr>
                <w:sz w:val="14"/>
                <w:szCs w:val="14"/>
                <w:color w:val="auto"/>
              </w:rPr>
            </w:pPr>
          </w:p>
        </w:tc>
        <w:tc>
          <w:tcPr>
            <w:tcW w:w="7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597.7</w:t>
            </w:r>
          </w:p>
        </w:tc>
      </w:tr>
      <w:tr>
        <w:trPr>
          <w:trHeight w:val="170"/>
        </w:trPr>
        <w:tc>
          <w:tcPr>
            <w:tcW w:w="3820" w:type="dxa"/>
            <w:vAlign w:val="bottom"/>
          </w:tcPr>
          <w:p>
            <w:pPr>
              <w:spacing w:after="0"/>
              <w:rPr>
                <w:sz w:val="14"/>
                <w:szCs w:val="14"/>
                <w:color w:val="auto"/>
              </w:rPr>
            </w:pP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8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OF YEAR.......................</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176.2</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$223.3</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$ 64.6</w:t>
            </w:r>
          </w:p>
        </w:tc>
        <w:tc>
          <w:tcPr>
            <w:tcW w:w="620" w:type="dxa"/>
            <w:vAlign w:val="bottom"/>
          </w:tcPr>
          <w:p>
            <w:pPr>
              <w:spacing w:after="0"/>
              <w:rPr>
                <w:sz w:val="14"/>
                <w:szCs w:val="14"/>
                <w:color w:val="auto"/>
              </w:rPr>
            </w:pPr>
          </w:p>
        </w:tc>
        <w:tc>
          <w:tcPr>
            <w:tcW w:w="7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464.1</w:t>
            </w:r>
          </w:p>
        </w:tc>
      </w:tr>
      <w:tr>
        <w:trPr>
          <w:trHeight w:val="170"/>
        </w:trPr>
        <w:tc>
          <w:tcPr>
            <w:tcW w:w="3820" w:type="dxa"/>
            <w:vAlign w:val="bottom"/>
          </w:tcPr>
          <w:p>
            <w:pPr>
              <w:spacing w:after="0"/>
              <w:rPr>
                <w:sz w:val="14"/>
                <w:szCs w:val="14"/>
                <w:color w:val="auto"/>
              </w:rPr>
            </w:pP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439"/>
        <w:spacing w:after="0"/>
        <w:rPr>
          <w:sz w:val="20"/>
          <w:szCs w:val="20"/>
          <w:color w:val="auto"/>
        </w:rPr>
      </w:pPr>
      <w:r>
        <w:rPr>
          <w:rFonts w:ascii="Courier New" w:cs="Courier New" w:eastAsia="Courier New" w:hAnsi="Courier New"/>
          <w:sz w:val="15"/>
          <w:szCs w:val="15"/>
          <w:color w:val="auto"/>
        </w:rPr>
        <w:t>II-54</w:t>
      </w:r>
    </w:p>
    <w:p>
      <w:pPr>
        <w:sectPr>
          <w:pgSz w:w="11900" w:h="16838" w:orient="portrait"/>
          <w:cols w:equalWidth="0" w:num="1">
            <w:col w:w="10560"/>
          </w:cols>
          <w:pgMar w:left="240" w:top="622" w:right="1099" w:bottom="1440" w:gutter="0" w:footer="0" w:header="0"/>
        </w:sectPr>
      </w:pPr>
    </w:p>
    <w:bookmarkStart w:id="95" w:name="page96"/>
    <w:bookmarkEnd w:id="95"/>
    <w:p>
      <w:pPr>
        <w:ind w:left="2640"/>
        <w:spacing w:after="0"/>
        <w:rPr>
          <w:sz w:val="20"/>
          <w:szCs w:val="20"/>
          <w:color w:val="auto"/>
        </w:rPr>
      </w:pPr>
      <w:r>
        <w:rPr>
          <w:rFonts w:ascii="Courier New" w:cs="Courier New" w:eastAsia="Courier New" w:hAnsi="Courier New"/>
          <w:sz w:val="15"/>
          <w:szCs w:val="15"/>
          <w:color w:val="auto"/>
        </w:rPr>
        <w:t>VIACOM INC. AND SUBSIDIARIES</w:t>
      </w:r>
    </w:p>
    <w:p>
      <w:pPr>
        <w:ind w:left="14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ind w:left="148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7480"/>
        <w:spacing w:after="0"/>
        <w:rPr>
          <w:sz w:val="20"/>
          <w:szCs w:val="20"/>
          <w:color w:val="auto"/>
        </w:rPr>
      </w:pPr>
      <w:r>
        <w:rPr>
          <w:rFonts w:ascii="Courier New" w:cs="Courier New" w:eastAsia="Courier New" w:hAnsi="Courier New"/>
          <w:sz w:val="15"/>
          <w:szCs w:val="15"/>
          <w:color w:val="auto"/>
        </w:rPr>
        <w:t>1994</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7400"/>
        <w:spacing w:after="0"/>
        <w:tabs>
          <w:tab w:leader="none" w:pos="9940" w:val="left"/>
        </w:tabs>
        <w:rPr>
          <w:sz w:val="20"/>
          <w:szCs w:val="20"/>
          <w:color w:val="auto"/>
        </w:rPr>
      </w:pPr>
      <w:r>
        <w:rPr>
          <w:rFonts w:ascii="Courier New" w:cs="Courier New" w:eastAsia="Courier New" w:hAnsi="Courier New"/>
          <w:sz w:val="15"/>
          <w:szCs w:val="15"/>
          <w:color w:val="auto"/>
        </w:rPr>
        <w:t>NON-</w:t>
      </w:r>
      <w:r>
        <w:rPr>
          <w:sz w:val="20"/>
          <w:szCs w:val="20"/>
          <w:color w:val="auto"/>
        </w:rPr>
        <w:tab/>
      </w:r>
      <w:r>
        <w:rPr>
          <w:rFonts w:ascii="Courier New" w:cs="Courier New" w:eastAsia="Courier New" w:hAnsi="Courier New"/>
          <w:sz w:val="14"/>
          <w:szCs w:val="14"/>
          <w:color w:val="auto"/>
        </w:rPr>
        <w:t>THE</w:t>
      </w:r>
    </w:p>
    <w:p>
      <w:pPr>
        <w:ind w:left="5900"/>
        <w:spacing w:after="0"/>
        <w:tabs>
          <w:tab w:leader="none" w:pos="7120" w:val="left"/>
          <w:tab w:leader="none" w:pos="9760" w:val="left"/>
        </w:tabs>
        <w:rPr>
          <w:sz w:val="20"/>
          <w:szCs w:val="20"/>
          <w:color w:val="auto"/>
        </w:rPr>
      </w:pPr>
      <w:r>
        <w:rPr>
          <w:rFonts w:ascii="Courier New" w:cs="Courier New" w:eastAsia="Courier New" w:hAnsi="Courier New"/>
          <w:sz w:val="15"/>
          <w:szCs w:val="15"/>
          <w:color w:val="auto"/>
        </w:rPr>
        <w:t>VIACOM</w:t>
      </w:r>
      <w:r>
        <w:rPr>
          <w:sz w:val="20"/>
          <w:szCs w:val="20"/>
          <w:color w:val="auto"/>
        </w:rPr>
        <w:tab/>
      </w:r>
      <w:r>
        <w:rPr>
          <w:rFonts w:ascii="Courier New" w:cs="Courier New" w:eastAsia="Courier New" w:hAnsi="Courier New"/>
          <w:sz w:val="15"/>
          <w:szCs w:val="15"/>
          <w:color w:val="auto"/>
        </w:rPr>
        <w:t>GUARANTOR</w:t>
      </w:r>
      <w:r>
        <w:rPr>
          <w:sz w:val="20"/>
          <w:szCs w:val="20"/>
          <w:color w:val="auto"/>
        </w:rPr>
        <w:tab/>
      </w:r>
      <w:r>
        <w:rPr>
          <w:rFonts w:ascii="Courier New" w:cs="Courier New" w:eastAsia="Courier New" w:hAnsi="Courier New"/>
          <w:sz w:val="14"/>
          <w:szCs w:val="14"/>
          <w:color w:val="auto"/>
        </w:rPr>
        <w:t>COMPANY</w:t>
      </w:r>
    </w:p>
    <w:p>
      <w:pPr>
        <w:ind w:left="4840"/>
        <w:spacing w:after="0"/>
        <w:tabs>
          <w:tab w:leader="none" w:pos="5620" w:val="left"/>
          <w:tab w:leader="none" w:pos="7120" w:val="left"/>
          <w:tab w:leader="none" w:pos="8260" w:val="left"/>
          <w:tab w:leader="none" w:pos="9580" w:val="left"/>
        </w:tabs>
        <w:rPr>
          <w:sz w:val="20"/>
          <w:szCs w:val="20"/>
          <w:color w:val="auto"/>
        </w:rPr>
      </w:pPr>
      <w:r>
        <w:rPr>
          <w:rFonts w:ascii="Courier New" w:cs="Courier New" w:eastAsia="Courier New" w:hAnsi="Courier New"/>
          <w:sz w:val="15"/>
          <w:szCs w:val="15"/>
          <w:color w:val="auto"/>
        </w:rPr>
        <w:t>VIACOM</w:t>
      </w:r>
      <w:r>
        <w:rPr>
          <w:sz w:val="20"/>
          <w:szCs w:val="20"/>
          <w:color w:val="auto"/>
        </w:rPr>
        <w:tab/>
      </w:r>
      <w:r>
        <w:rPr>
          <w:rFonts w:ascii="Courier New" w:cs="Courier New" w:eastAsia="Courier New" w:hAnsi="Courier New"/>
          <w:sz w:val="15"/>
          <w:szCs w:val="15"/>
          <w:color w:val="auto"/>
        </w:rPr>
        <w:t>INTERNATIONAL</w:t>
      </w:r>
      <w:r>
        <w:rPr>
          <w:sz w:val="20"/>
          <w:szCs w:val="20"/>
          <w:color w:val="auto"/>
        </w:rPr>
        <w:tab/>
      </w:r>
      <w:r>
        <w:rPr>
          <w:rFonts w:ascii="Courier New" w:cs="Courier New" w:eastAsia="Courier New" w:hAnsi="Courier New"/>
          <w:sz w:val="15"/>
          <w:szCs w:val="15"/>
          <w:color w:val="auto"/>
        </w:rPr>
        <w:t>AFFILIATES</w:t>
        <w:tab/>
        <w:t>ELIMINATION</w:t>
      </w:r>
      <w:r>
        <w:rPr>
          <w:sz w:val="20"/>
          <w:szCs w:val="20"/>
          <w:color w:val="auto"/>
        </w:rPr>
        <w:tab/>
      </w:r>
      <w:r>
        <w:rPr>
          <w:rFonts w:ascii="Courier New" w:cs="Courier New" w:eastAsia="Courier New" w:hAnsi="Courier New"/>
          <w:sz w:val="14"/>
          <w:szCs w:val="14"/>
          <w:color w:val="auto"/>
        </w:rPr>
        <w:t>CONSOLIDATED</w:t>
      </w:r>
    </w:p>
    <w:p>
      <w:pPr>
        <w:ind w:left="4840"/>
        <w:spacing w:after="0"/>
        <w:tabs>
          <w:tab w:leader="none" w:pos="5620" w:val="left"/>
          <w:tab w:leader="none" w:pos="7120" w:val="left"/>
          <w:tab w:leader="none" w:pos="8260" w:val="left"/>
          <w:tab w:leader="none" w:pos="95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660"/>
          </w:cols>
          <w:pgMar w:left="240" w:top="961" w:right="999" w:bottom="1440" w:gutter="0" w:footer="0" w:header="0"/>
        </w:sect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CASH FLOW FROM OPERATING ACTIVITIES.......</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(25.5)</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w:t>
        <w:tab/>
        <w:t>26.9</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410.0</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(34.5)</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376.9</w:t>
      </w:r>
    </w:p>
    <w:p>
      <w:pPr>
        <w:spacing w:after="0" w:line="1" w:lineRule="exact"/>
        <w:rPr>
          <w:sz w:val="20"/>
          <w:szCs w:val="20"/>
          <w:color w:val="auto"/>
        </w:rPr>
      </w:pPr>
    </w:p>
    <w:p>
      <w:pPr>
        <w:sectPr>
          <w:pgSz w:w="11900" w:h="16838" w:orient="portrait"/>
          <w:cols w:equalWidth="0" w:num="6">
            <w:col w:w="4040" w:space="620"/>
            <w:col w:w="700" w:space="440"/>
            <w:col w:w="720" w:space="620"/>
            <w:col w:w="780" w:space="440"/>
            <w:col w:w="880" w:space="540"/>
            <w:col w:w="880"/>
          </w:cols>
          <w:pgMar w:left="240" w:top="961" w:right="999"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4360" w:type="dxa"/>
            <w:vAlign w:val="bottom"/>
          </w:tcPr>
          <w:p>
            <w:pPr>
              <w:spacing w:after="0"/>
              <w:rPr>
                <w:sz w:val="14"/>
                <w:szCs w:val="14"/>
                <w:color w:val="auto"/>
              </w:rPr>
            </w:pP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436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Proceeds from dispositions.....</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317.6</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317.6</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Acquisitions, net of cash acquired............</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(6,609.1)</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354.5</w:t>
            </w:r>
          </w:p>
        </w:tc>
        <w:tc>
          <w:tcPr>
            <w:tcW w:w="280" w:type="dxa"/>
            <w:vAlign w:val="bottom"/>
          </w:tcPr>
          <w:p>
            <w:pPr>
              <w:spacing w:after="0"/>
              <w:rPr>
                <w:sz w:val="14"/>
                <w:szCs w:val="1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(6,254.6)</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(112.2)</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(39.5)</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(213.2)</w:t>
            </w:r>
          </w:p>
        </w:tc>
        <w:tc>
          <w:tcPr>
            <w:tcW w:w="280" w:type="dxa"/>
            <w:vAlign w:val="bottom"/>
          </w:tcPr>
          <w:p>
            <w:pPr>
              <w:spacing w:after="0"/>
              <w:rPr>
                <w:sz w:val="14"/>
                <w:szCs w:val="1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(364.9)</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Investments in and advances to</w:t>
            </w: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affiliated companies.......</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(26.5)</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(24.8)</w:t>
            </w:r>
          </w:p>
        </w:tc>
        <w:tc>
          <w:tcPr>
            <w:tcW w:w="280" w:type="dxa"/>
            <w:vAlign w:val="bottom"/>
          </w:tcPr>
          <w:p>
            <w:pPr>
              <w:spacing w:after="0"/>
              <w:rPr>
                <w:sz w:val="14"/>
                <w:szCs w:val="1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(51.3)</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Proceeds from sale of short-term</w:t>
            </w: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investments.................</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156.2</w:t>
            </w:r>
          </w:p>
        </w:tc>
        <w:tc>
          <w:tcPr>
            <w:tcW w:w="280" w:type="dxa"/>
            <w:vAlign w:val="bottom"/>
          </w:tcPr>
          <w:p>
            <w:pPr>
              <w:spacing w:after="0"/>
              <w:rPr>
                <w:sz w:val="14"/>
                <w:szCs w:val="1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156.2</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Payments for purchase of short-term</w:t>
            </w: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investments.................</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(102.2)</w:t>
            </w:r>
          </w:p>
        </w:tc>
        <w:tc>
          <w:tcPr>
            <w:tcW w:w="280" w:type="dxa"/>
            <w:vAlign w:val="bottom"/>
          </w:tcPr>
          <w:p>
            <w:pPr>
              <w:spacing w:after="0"/>
              <w:rPr>
                <w:sz w:val="14"/>
                <w:szCs w:val="1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(102.2)</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(19.2)</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(3.3)</w:t>
            </w:r>
          </w:p>
        </w:tc>
        <w:tc>
          <w:tcPr>
            <w:tcW w:w="28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(37.2)</w:t>
            </w:r>
          </w:p>
        </w:tc>
      </w:tr>
      <w:tr>
        <w:trPr>
          <w:trHeight w:val="170"/>
        </w:trPr>
        <w:tc>
          <w:tcPr>
            <w:tcW w:w="4360" w:type="dxa"/>
            <w:vAlign w:val="bottom"/>
          </w:tcPr>
          <w:p>
            <w:pPr>
              <w:spacing w:after="0"/>
              <w:rPr>
                <w:sz w:val="14"/>
                <w:szCs w:val="1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NET CASH FLOW FROM INVESTING</w:t>
            </w: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ACTIVITIES..................</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(6,740.5)</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244.7</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167.2</w:t>
            </w:r>
          </w:p>
        </w:tc>
        <w:tc>
          <w:tcPr>
            <w:tcW w:w="28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(6,336.4)</w:t>
            </w:r>
          </w:p>
        </w:tc>
      </w:tr>
      <w:tr>
        <w:trPr>
          <w:trHeight w:val="170"/>
        </w:trPr>
        <w:tc>
          <w:tcPr>
            <w:tcW w:w="4360" w:type="dxa"/>
            <w:vAlign w:val="bottom"/>
          </w:tcPr>
          <w:p>
            <w:pPr>
              <w:spacing w:after="0"/>
              <w:rPr>
                <w:sz w:val="14"/>
                <w:szCs w:val="1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Short-term borrowings (repayments)</w:t>
            </w: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from banks, net.............</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5,175.9</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(1,541.1)</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(74.8)</w:t>
            </w:r>
          </w:p>
        </w:tc>
        <w:tc>
          <w:tcPr>
            <w:tcW w:w="280" w:type="dxa"/>
            <w:vAlign w:val="bottom"/>
          </w:tcPr>
          <w:p>
            <w:pPr>
              <w:spacing w:after="0"/>
              <w:rPr>
                <w:sz w:val="14"/>
                <w:szCs w:val="1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3,560.0</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Increase (decrease) in intercompany</w:t>
            </w: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payables ...................</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(1,202.1)</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1,271.2</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(111.4)</w:t>
            </w:r>
          </w:p>
        </w:tc>
        <w:tc>
          <w:tcPr>
            <w:tcW w:w="280" w:type="dxa"/>
            <w:vAlign w:val="bottom"/>
          </w:tcPr>
          <w:p>
            <w:pPr>
              <w:spacing w:after="0"/>
              <w:rPr>
                <w:sz w:val="14"/>
                <w:szCs w:val="1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42.3</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Proceeds from issuance of Class B</w:t>
            </w: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Common Stock................</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1,250.0</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1,250.0</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Proceeds from exercise of</w:t>
            </w: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stock options and warrants..</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52.6</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52.6</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Payment of Preferred Stock</w:t>
            </w: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dividends...................</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(72.7)</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(72.7)</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Deferred financing fees........</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(86.8)</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(87.1)</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(23.7)</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(3.4)</w:t>
            </w:r>
          </w:p>
        </w:tc>
        <w:tc>
          <w:tcPr>
            <w:tcW w:w="280" w:type="dxa"/>
            <w:vAlign w:val="bottom"/>
          </w:tcPr>
          <w:p>
            <w:pPr>
              <w:spacing w:after="0"/>
              <w:rPr>
                <w:sz w:val="14"/>
                <w:szCs w:val="1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(28.0)</w:t>
            </w:r>
          </w:p>
        </w:tc>
      </w:tr>
      <w:tr>
        <w:trPr>
          <w:trHeight w:val="170"/>
        </w:trPr>
        <w:tc>
          <w:tcPr>
            <w:tcW w:w="4360" w:type="dxa"/>
            <w:vAlign w:val="bottom"/>
          </w:tcPr>
          <w:p>
            <w:pPr>
              <w:spacing w:after="0"/>
              <w:rPr>
                <w:sz w:val="14"/>
                <w:szCs w:val="14"/>
                <w:color w:val="auto"/>
              </w:rPr>
            </w:pP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NET CASH FLOW FROM FINANCING</w:t>
            </w: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ACTIVITIES..................</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5,093.2</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(271.1)</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(189.6)</w:t>
            </w:r>
          </w:p>
        </w:tc>
        <w:tc>
          <w:tcPr>
            <w:tcW w:w="280" w:type="dxa"/>
            <w:vAlign w:val="bottom"/>
          </w:tcPr>
          <w:p>
            <w:pPr>
              <w:spacing w:after="0"/>
              <w:rPr>
                <w:sz w:val="14"/>
                <w:szCs w:val="1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42.3</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4,674.8</w:t>
            </w:r>
          </w:p>
        </w:tc>
      </w:tr>
      <w:tr>
        <w:trPr>
          <w:trHeight w:val="170"/>
        </w:trPr>
        <w:tc>
          <w:tcPr>
            <w:tcW w:w="4360" w:type="dxa"/>
            <w:vAlign w:val="bottom"/>
          </w:tcPr>
          <w:p>
            <w:pPr>
              <w:spacing w:after="0"/>
              <w:rPr>
                <w:sz w:val="14"/>
                <w:szCs w:val="14"/>
                <w:color w:val="auto"/>
              </w:rPr>
            </w:pP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w:t>
            </w: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cash equivalents............</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(1,672.8)</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387.6</w:t>
            </w:r>
          </w:p>
        </w:tc>
        <w:tc>
          <w:tcPr>
            <w:tcW w:w="280" w:type="dxa"/>
            <w:vAlign w:val="bottom"/>
          </w:tcPr>
          <w:p>
            <w:pPr>
              <w:spacing w:after="0"/>
              <w:rPr>
                <w:sz w:val="14"/>
                <w:szCs w:val="1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(1,284.7)</w:t>
            </w: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w:t>
            </w: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beginning of year...........</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1,808.4</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62.9</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11.1</w:t>
            </w:r>
          </w:p>
        </w:tc>
        <w:tc>
          <w:tcPr>
            <w:tcW w:w="280" w:type="dxa"/>
            <w:vAlign w:val="bottom"/>
          </w:tcPr>
          <w:p>
            <w:pPr>
              <w:spacing w:after="0"/>
              <w:rPr>
                <w:sz w:val="14"/>
                <w:szCs w:val="1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1,882.4</w:t>
            </w:r>
          </w:p>
        </w:tc>
      </w:tr>
      <w:tr>
        <w:trPr>
          <w:trHeight w:val="170"/>
        </w:trPr>
        <w:tc>
          <w:tcPr>
            <w:tcW w:w="4360" w:type="dxa"/>
            <w:vAlign w:val="bottom"/>
          </w:tcPr>
          <w:p>
            <w:pPr>
              <w:spacing w:after="0"/>
              <w:rPr>
                <w:sz w:val="14"/>
                <w:szCs w:val="14"/>
                <w:color w:val="auto"/>
              </w:rPr>
            </w:pP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w:t>
            </w: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OF YEAR.....................</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135.6</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63.4</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398.7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597.7</w:t>
            </w:r>
          </w:p>
        </w:tc>
      </w:tr>
      <w:tr>
        <w:trPr>
          <w:trHeight w:val="170"/>
        </w:trPr>
        <w:tc>
          <w:tcPr>
            <w:tcW w:w="4360" w:type="dxa"/>
            <w:vAlign w:val="bottom"/>
          </w:tcPr>
          <w:p>
            <w:pPr>
              <w:spacing w:after="0"/>
              <w:rPr>
                <w:sz w:val="14"/>
                <w:szCs w:val="14"/>
                <w:color w:val="auto"/>
              </w:rPr>
            </w:pP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9. Disagreements on Accounting and Financial Disclosure - 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II-55</w:t>
      </w:r>
    </w:p>
    <w:p>
      <w:pPr>
        <w:sectPr>
          <w:pgSz w:w="11900" w:h="16838" w:orient="portrait"/>
          <w:cols w:equalWidth="0" w:num="1">
            <w:col w:w="10660"/>
          </w:cols>
          <w:pgMar w:left="240" w:top="961" w:right="999" w:bottom="1440" w:gutter="0" w:footer="0" w:header="0"/>
          <w:type w:val="continuous"/>
        </w:sectPr>
      </w:pPr>
    </w:p>
    <w:bookmarkStart w:id="96" w:name="page97"/>
    <w:bookmarkEnd w:id="96"/>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w:t>
      </w:r>
    </w:p>
    <w:p>
      <w:pPr>
        <w:spacing w:after="0" w:line="175" w:lineRule="exact"/>
        <w:rPr>
          <w:sz w:val="20"/>
          <w:szCs w:val="20"/>
          <w:color w:val="auto"/>
        </w:rPr>
      </w:pPr>
    </w:p>
    <w:p>
      <w:pPr>
        <w:ind w:right="3259" w:firstLine="705"/>
        <w:spacing w:after="0" w:line="237" w:lineRule="auto"/>
        <w:rPr>
          <w:sz w:val="20"/>
          <w:szCs w:val="20"/>
          <w:color w:val="auto"/>
        </w:rPr>
      </w:pPr>
      <w:r>
        <w:rPr>
          <w:rFonts w:ascii="Courier New" w:cs="Courier New" w:eastAsia="Courier New" w:hAnsi="Courier New"/>
          <w:sz w:val="15"/>
          <w:szCs w:val="15"/>
          <w:color w:val="auto"/>
        </w:rPr>
        <w:t>The information contained in the Viacom Inc. Definitive Proxy Statement under the captions "Information Concerning Directors and Nominees" and "Compliance with Section 16(a) of the Securities Exchange Act of 1934" is incorporated herein by reference.</w:t>
      </w:r>
    </w:p>
    <w:p>
      <w:pPr>
        <w:spacing w:after="0" w:line="17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5" w:lineRule="exact"/>
        <w:rPr>
          <w:sz w:val="20"/>
          <w:szCs w:val="20"/>
          <w:color w:val="auto"/>
        </w:rPr>
      </w:pPr>
    </w:p>
    <w:p>
      <w:pPr>
        <w:ind w:right="3259" w:firstLine="705"/>
        <w:spacing w:after="0" w:line="237" w:lineRule="auto"/>
        <w:rPr>
          <w:sz w:val="20"/>
          <w:szCs w:val="20"/>
          <w:color w:val="auto"/>
        </w:rPr>
      </w:pPr>
      <w:r>
        <w:rPr>
          <w:rFonts w:ascii="Courier New" w:cs="Courier New" w:eastAsia="Courier New" w:hAnsi="Courier New"/>
          <w:sz w:val="15"/>
          <w:szCs w:val="15"/>
          <w:color w:val="auto"/>
        </w:rPr>
        <w:t>The information contained in the Viacom Inc. Definitive Proxy Statement under the captions "Directors' Compensation" and "Executive Compensation" is incorporated herein by reference.</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75" w:lineRule="exact"/>
        <w:rPr>
          <w:sz w:val="20"/>
          <w:szCs w:val="20"/>
          <w:color w:val="auto"/>
        </w:rPr>
      </w:pPr>
    </w:p>
    <w:p>
      <w:pPr>
        <w:ind w:right="3259" w:firstLine="705"/>
        <w:spacing w:after="0" w:line="237" w:lineRule="auto"/>
        <w:rPr>
          <w:sz w:val="20"/>
          <w:szCs w:val="20"/>
          <w:color w:val="auto"/>
        </w:rPr>
      </w:pPr>
      <w:r>
        <w:rPr>
          <w:rFonts w:ascii="Courier New" w:cs="Courier New" w:eastAsia="Courier New" w:hAnsi="Courier New"/>
          <w:sz w:val="15"/>
          <w:szCs w:val="15"/>
          <w:color w:val="auto"/>
        </w:rPr>
        <w:t>The information contained in the Viacom Inc. Definitive Proxy Statement under the caption "Security Ownership of Certain Beneficial Owners and Management" is incorporated herein by reference.</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5" w:lineRule="exact"/>
        <w:rPr>
          <w:sz w:val="20"/>
          <w:szCs w:val="20"/>
          <w:color w:val="auto"/>
        </w:rPr>
      </w:pPr>
    </w:p>
    <w:p>
      <w:pPr>
        <w:ind w:right="3179" w:firstLine="705"/>
        <w:spacing w:after="0" w:line="237" w:lineRule="auto"/>
        <w:rPr>
          <w:sz w:val="20"/>
          <w:szCs w:val="20"/>
          <w:color w:val="auto"/>
        </w:rPr>
      </w:pPr>
      <w:r>
        <w:rPr>
          <w:rFonts w:ascii="Courier New" w:cs="Courier New" w:eastAsia="Courier New" w:hAnsi="Courier New"/>
          <w:sz w:val="15"/>
          <w:szCs w:val="15"/>
          <w:color w:val="auto"/>
        </w:rPr>
        <w:t>The information contained in the Viacom Inc. Definitive Proxy Statement under the captions "Compensation Committee Interlocks and Insider Participation" and "Related Transactions" is incorporated herein by reference.</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622" w:right="1440" w:bottom="1440" w:gutter="0" w:footer="0" w:header="0"/>
        </w:sectPr>
      </w:pPr>
    </w:p>
    <w:bookmarkStart w:id="97" w:name="page98"/>
    <w:bookmarkEnd w:id="97"/>
    <w:p>
      <w:pPr>
        <w:ind w:left="3260"/>
        <w:spacing w:after="0"/>
        <w:rPr>
          <w:sz w:val="20"/>
          <w:szCs w:val="20"/>
          <w:color w:val="auto"/>
        </w:rPr>
      </w:pPr>
      <w:r>
        <w:rPr>
          <w:rFonts w:ascii="Courier New" w:cs="Courier New" w:eastAsia="Courier New" w:hAnsi="Courier New"/>
          <w:sz w:val="15"/>
          <w:szCs w:val="15"/>
          <w:color w:val="auto"/>
        </w:rPr>
        <w:t>PART IV</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69" w:lineRule="exact"/>
        <w:rPr>
          <w:sz w:val="20"/>
          <w:szCs w:val="20"/>
          <w:color w:val="auto"/>
        </w:rPr>
      </w:pPr>
    </w:p>
    <w:p>
      <w:pPr>
        <w:ind w:left="1040" w:hanging="344"/>
        <w:spacing w:after="0"/>
        <w:tabs>
          <w:tab w:leader="none" w:pos="10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(d) Financial Statements and Schedules (see Index on Page F-1)</w:t>
      </w:r>
    </w:p>
    <w:p>
      <w:pPr>
        <w:spacing w:after="0" w:line="169" w:lineRule="exact"/>
        <w:rPr>
          <w:rFonts w:ascii="Courier New" w:cs="Courier New" w:eastAsia="Courier New" w:hAnsi="Courier New"/>
          <w:sz w:val="15"/>
          <w:szCs w:val="15"/>
          <w:color w:val="auto"/>
        </w:rPr>
      </w:pPr>
    </w:p>
    <w:p>
      <w:pPr>
        <w:ind w:left="1040" w:hanging="344"/>
        <w:spacing w:after="0"/>
        <w:tabs>
          <w:tab w:leader="none" w:pos="10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5"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Current Report on Form 8-K of Viacom Inc. with a report date of December 15, 1995, relating to the execution of an underwriting agreement between Viacom Inc. and Viacom International Inc. and Goldman, Sachs &amp; Co., Bear, Stearns &amp; Co. Inc., Lehman Brothers Inc. and Smith Barney Inc., dated December 12, 1995, pursuant to which, on December 15, 1995, Viacom Inc. issued and sold $550 million aggregate principal amount of Viacom Inc.'s 6.75% Senior Notes due 2003 and 7.625% Senior Debentures due 2016, unconditionally guaranteed as to payment of principal and interest by Viacom International Inc.</w:t>
      </w:r>
    </w:p>
    <w:p>
      <w:pPr>
        <w:spacing w:after="0" w:line="167" w:lineRule="exact"/>
        <w:rPr>
          <w:sz w:val="20"/>
          <w:szCs w:val="20"/>
          <w:color w:val="auto"/>
        </w:rPr>
      </w:pPr>
    </w:p>
    <w:p>
      <w:pPr>
        <w:ind w:left="3420" w:right="6359" w:hanging="2724"/>
        <w:spacing w:after="0" w:line="778" w:lineRule="auto"/>
        <w:tabs>
          <w:tab w:leader="none" w:pos="10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 (see index on Page E-1) 42</w:t>
      </w:r>
    </w:p>
    <w:p>
      <w:pPr>
        <w:sectPr>
          <w:pgSz w:w="11900" w:h="16838" w:orient="portrait"/>
          <w:cols w:equalWidth="0" w:num="1">
            <w:col w:w="10219"/>
          </w:cols>
          <w:pgMar w:left="240" w:top="622" w:right="1440" w:bottom="1440" w:gutter="0" w:footer="0" w:header="0"/>
        </w:sectPr>
      </w:pPr>
    </w:p>
    <w:bookmarkStart w:id="98" w:name="page99"/>
    <w:bookmarkEnd w:id="98"/>
    <w:p>
      <w:pPr>
        <w:jc w:val="center"/>
        <w:ind w:right="3170"/>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Viacom Inc. has duly caused this report to be signed on its behalf by the undersigned, thereto duly authorized.</w:t>
      </w:r>
    </w:p>
    <w:p>
      <w:pPr>
        <w:spacing w:after="0" w:line="169" w:lineRule="exact"/>
        <w:rPr>
          <w:sz w:val="20"/>
          <w:szCs w:val="20"/>
          <w:color w:val="auto"/>
        </w:rPr>
      </w:pPr>
    </w:p>
    <w:p>
      <w:pPr>
        <w:ind w:left="4150"/>
        <w:spacing w:after="0"/>
        <w:rPr>
          <w:sz w:val="20"/>
          <w:szCs w:val="20"/>
          <w:color w:val="auto"/>
        </w:rPr>
      </w:pPr>
      <w:r>
        <w:rPr>
          <w:rFonts w:ascii="Courier New" w:cs="Courier New" w:eastAsia="Courier New" w:hAnsi="Courier New"/>
          <w:sz w:val="15"/>
          <w:szCs w:val="15"/>
          <w:color w:val="auto"/>
        </w:rPr>
        <w:t>VIACOM INC.</w:t>
      </w:r>
    </w:p>
    <w:p>
      <w:pPr>
        <w:spacing w:after="0" w:line="169" w:lineRule="exact"/>
        <w:rPr>
          <w:sz w:val="20"/>
          <w:szCs w:val="20"/>
          <w:color w:val="auto"/>
        </w:rPr>
      </w:pPr>
    </w:p>
    <w:p>
      <w:pPr>
        <w:ind w:left="4150"/>
        <w:spacing w:after="0"/>
        <w:tabs>
          <w:tab w:leader="none" w:pos="4469"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SUMNER M. REDSTONE</w:t>
      </w:r>
    </w:p>
    <w:p>
      <w:pPr>
        <w:ind w:left="4410"/>
        <w:spacing w:after="0"/>
        <w:rPr>
          <w:sz w:val="20"/>
          <w:szCs w:val="20"/>
          <w:color w:val="auto"/>
        </w:rPr>
      </w:pPr>
      <w:r>
        <w:rPr>
          <w:rFonts w:ascii="Courier New" w:cs="Courier New" w:eastAsia="Courier New" w:hAnsi="Courier New"/>
          <w:sz w:val="15"/>
          <w:szCs w:val="15"/>
          <w:color w:val="auto"/>
        </w:rPr>
        <w:t>-----------------------</w:t>
      </w:r>
    </w:p>
    <w:p>
      <w:pPr>
        <w:ind w:left="4490"/>
        <w:spacing w:after="0"/>
        <w:rPr>
          <w:sz w:val="20"/>
          <w:szCs w:val="20"/>
          <w:color w:val="auto"/>
        </w:rPr>
      </w:pPr>
      <w:r>
        <w:rPr>
          <w:rFonts w:ascii="Courier New" w:cs="Courier New" w:eastAsia="Courier New" w:hAnsi="Courier New"/>
          <w:sz w:val="15"/>
          <w:szCs w:val="15"/>
          <w:color w:val="auto"/>
        </w:rPr>
        <w:t>Sumner M. Redstone,</w:t>
      </w:r>
    </w:p>
    <w:p>
      <w:pPr>
        <w:ind w:left="4490"/>
        <w:spacing w:after="0" w:line="238" w:lineRule="auto"/>
        <w:rPr>
          <w:sz w:val="20"/>
          <w:szCs w:val="20"/>
          <w:color w:val="auto"/>
        </w:rPr>
      </w:pPr>
      <w:r>
        <w:rPr>
          <w:rFonts w:ascii="Courier New" w:cs="Courier New" w:eastAsia="Courier New" w:hAnsi="Courier New"/>
          <w:sz w:val="15"/>
          <w:szCs w:val="15"/>
          <w:color w:val="auto"/>
        </w:rPr>
        <w:t>Chairman of the Board of</w:t>
      </w:r>
    </w:p>
    <w:p>
      <w:pPr>
        <w:ind w:left="4490"/>
        <w:spacing w:after="0"/>
        <w:rPr>
          <w:sz w:val="20"/>
          <w:szCs w:val="20"/>
          <w:color w:val="auto"/>
        </w:rPr>
      </w:pPr>
      <w:r>
        <w:rPr>
          <w:rFonts w:ascii="Courier New" w:cs="Courier New" w:eastAsia="Courier New" w:hAnsi="Courier New"/>
          <w:sz w:val="15"/>
          <w:szCs w:val="15"/>
          <w:color w:val="auto"/>
        </w:rPr>
        <w:t>Directors, Chief Executive</w:t>
      </w:r>
    </w:p>
    <w:p>
      <w:pPr>
        <w:ind w:left="4490"/>
        <w:spacing w:after="0"/>
        <w:rPr>
          <w:sz w:val="20"/>
          <w:szCs w:val="20"/>
          <w:color w:val="auto"/>
        </w:rPr>
      </w:pPr>
      <w:r>
        <w:rPr>
          <w:rFonts w:ascii="Courier New" w:cs="Courier New" w:eastAsia="Courier New" w:hAnsi="Courier New"/>
          <w:sz w:val="15"/>
          <w:szCs w:val="15"/>
          <w:color w:val="auto"/>
        </w:rPr>
        <w:t>Officer</w:t>
      </w:r>
    </w:p>
    <w:p>
      <w:pPr>
        <w:spacing w:after="0" w:line="168" w:lineRule="exact"/>
        <w:rPr>
          <w:sz w:val="20"/>
          <w:szCs w:val="20"/>
          <w:color w:val="auto"/>
        </w:rPr>
      </w:pPr>
    </w:p>
    <w:p>
      <w:pPr>
        <w:ind w:left="4150"/>
        <w:spacing w:after="0"/>
        <w:tabs>
          <w:tab w:leader="none" w:pos="4469"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GEORGE S. SMITH, JR.</w:t>
      </w:r>
    </w:p>
    <w:p>
      <w:pPr>
        <w:ind w:left="4410"/>
        <w:spacing w:after="0"/>
        <w:rPr>
          <w:sz w:val="20"/>
          <w:szCs w:val="20"/>
          <w:color w:val="auto"/>
        </w:rPr>
      </w:pPr>
      <w:r>
        <w:rPr>
          <w:rFonts w:ascii="Courier New" w:cs="Courier New" w:eastAsia="Courier New" w:hAnsi="Courier New"/>
          <w:sz w:val="15"/>
          <w:szCs w:val="15"/>
          <w:color w:val="auto"/>
        </w:rPr>
        <w:t>-----------------------</w:t>
      </w:r>
    </w:p>
    <w:p>
      <w:pPr>
        <w:ind w:left="4590"/>
        <w:spacing w:after="0"/>
        <w:rPr>
          <w:sz w:val="20"/>
          <w:szCs w:val="20"/>
          <w:color w:val="auto"/>
        </w:rPr>
      </w:pPr>
      <w:r>
        <w:rPr>
          <w:rFonts w:ascii="Courier New" w:cs="Courier New" w:eastAsia="Courier New" w:hAnsi="Courier New"/>
          <w:sz w:val="15"/>
          <w:szCs w:val="15"/>
          <w:color w:val="auto"/>
        </w:rPr>
        <w:t>George S. Smith, Jr.,</w:t>
      </w:r>
    </w:p>
    <w:p>
      <w:pPr>
        <w:ind w:left="4590"/>
        <w:spacing w:after="0" w:line="238" w:lineRule="auto"/>
        <w:rPr>
          <w:sz w:val="20"/>
          <w:szCs w:val="20"/>
          <w:color w:val="auto"/>
        </w:rPr>
      </w:pPr>
      <w:r>
        <w:rPr>
          <w:rFonts w:ascii="Courier New" w:cs="Courier New" w:eastAsia="Courier New" w:hAnsi="Courier New"/>
          <w:sz w:val="15"/>
          <w:szCs w:val="15"/>
          <w:color w:val="auto"/>
        </w:rPr>
        <w:t>Senior Vice President,</w:t>
      </w:r>
    </w:p>
    <w:p>
      <w:pPr>
        <w:ind w:left="4590"/>
        <w:spacing w:after="0"/>
        <w:rPr>
          <w:sz w:val="20"/>
          <w:szCs w:val="20"/>
          <w:color w:val="auto"/>
        </w:rPr>
      </w:pPr>
      <w:r>
        <w:rPr>
          <w:rFonts w:ascii="Courier New" w:cs="Courier New" w:eastAsia="Courier New" w:hAnsi="Courier New"/>
          <w:sz w:val="15"/>
          <w:szCs w:val="15"/>
          <w:color w:val="auto"/>
        </w:rPr>
        <w:t>Chief Financial Officer</w:t>
      </w:r>
    </w:p>
    <w:p>
      <w:pPr>
        <w:spacing w:after="0" w:line="169" w:lineRule="exact"/>
        <w:rPr>
          <w:sz w:val="20"/>
          <w:szCs w:val="20"/>
          <w:color w:val="auto"/>
        </w:rPr>
      </w:pPr>
    </w:p>
    <w:p>
      <w:pPr>
        <w:jc w:val="center"/>
        <w:ind w:right="-89"/>
        <w:spacing w:after="0"/>
        <w:tabs>
          <w:tab w:leader="none" w:pos="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SUSAN C. GORDON</w:t>
      </w:r>
    </w:p>
    <w:p>
      <w:pPr>
        <w:ind w:left="4410"/>
        <w:spacing w:after="0"/>
        <w:rPr>
          <w:sz w:val="20"/>
          <w:szCs w:val="20"/>
          <w:color w:val="auto"/>
        </w:rPr>
      </w:pPr>
      <w:r>
        <w:rPr>
          <w:rFonts w:ascii="Courier New" w:cs="Courier New" w:eastAsia="Courier New" w:hAnsi="Courier New"/>
          <w:sz w:val="15"/>
          <w:szCs w:val="15"/>
          <w:color w:val="auto"/>
        </w:rPr>
        <w:t>------------------------</w:t>
      </w:r>
    </w:p>
    <w:p>
      <w:pPr>
        <w:ind w:left="4590"/>
        <w:spacing w:after="0"/>
        <w:rPr>
          <w:sz w:val="20"/>
          <w:szCs w:val="20"/>
          <w:color w:val="auto"/>
        </w:rPr>
      </w:pPr>
      <w:r>
        <w:rPr>
          <w:rFonts w:ascii="Courier New" w:cs="Courier New" w:eastAsia="Courier New" w:hAnsi="Courier New"/>
          <w:sz w:val="15"/>
          <w:szCs w:val="15"/>
          <w:color w:val="auto"/>
        </w:rPr>
        <w:t>Susan C. Gordon,</w:t>
      </w:r>
    </w:p>
    <w:p>
      <w:pPr>
        <w:ind w:left="4590"/>
        <w:spacing w:after="0" w:line="238" w:lineRule="auto"/>
        <w:rPr>
          <w:sz w:val="20"/>
          <w:szCs w:val="20"/>
          <w:color w:val="auto"/>
        </w:rPr>
      </w:pPr>
      <w:r>
        <w:rPr>
          <w:rFonts w:ascii="Courier New" w:cs="Courier New" w:eastAsia="Courier New" w:hAnsi="Courier New"/>
          <w:sz w:val="15"/>
          <w:szCs w:val="15"/>
          <w:color w:val="auto"/>
        </w:rPr>
        <w:t>Vice President,</w:t>
      </w:r>
    </w:p>
    <w:p>
      <w:pPr>
        <w:ind w:left="4590"/>
        <w:spacing w:after="0"/>
        <w:rPr>
          <w:sz w:val="20"/>
          <w:szCs w:val="20"/>
          <w:color w:val="auto"/>
        </w:rPr>
      </w:pPr>
      <w:r>
        <w:rPr>
          <w:rFonts w:ascii="Courier New" w:cs="Courier New" w:eastAsia="Courier New" w:hAnsi="Courier New"/>
          <w:sz w:val="15"/>
          <w:szCs w:val="15"/>
          <w:color w:val="auto"/>
        </w:rPr>
        <w:t>Controller, Chief</w:t>
      </w:r>
    </w:p>
    <w:p>
      <w:pPr>
        <w:ind w:left="4590"/>
        <w:spacing w:after="0"/>
        <w:rPr>
          <w:sz w:val="20"/>
          <w:szCs w:val="20"/>
          <w:color w:val="auto"/>
        </w:rPr>
      </w:pPr>
      <w:r>
        <w:rPr>
          <w:rFonts w:ascii="Courier New" w:cs="Courier New" w:eastAsia="Courier New" w:hAnsi="Courier New"/>
          <w:sz w:val="15"/>
          <w:szCs w:val="15"/>
          <w:color w:val="auto"/>
        </w:rPr>
        <w:t>Accounting Officer</w:t>
      </w:r>
    </w:p>
    <w:p>
      <w:pPr>
        <w:spacing w:after="0" w:line="16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Date: April 1, 1996</w:t>
      </w:r>
    </w:p>
    <w:p>
      <w:pPr>
        <w:spacing w:after="0" w:line="175" w:lineRule="exact"/>
        <w:rPr>
          <w:sz w:val="20"/>
          <w:szCs w:val="20"/>
          <w:color w:val="auto"/>
        </w:rPr>
      </w:pPr>
    </w:p>
    <w:p>
      <w:pPr>
        <w:ind w:left="10" w:right="3439" w:firstLine="705"/>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by the following persons on behalf of Viacom Inc. and in the capacities and on the dates indicated:</w:t>
      </w:r>
    </w:p>
    <w:p>
      <w:pPr>
        <w:sectPr>
          <w:pgSz w:w="11900" w:h="16838" w:orient="portrait"/>
          <w:cols w:equalWidth="0" w:num="1">
            <w:col w:w="10229"/>
          </w:cols>
          <w:pgMar w:left="230" w:top="961" w:right="1440" w:bottom="1440" w:gutter="0" w:footer="0" w:header="0"/>
        </w:sectPr>
      </w:pPr>
    </w:p>
    <w:p>
      <w:pPr>
        <w:spacing w:after="0" w:line="175" w:lineRule="exact"/>
        <w:rPr>
          <w:sz w:val="20"/>
          <w:szCs w:val="20"/>
          <w:color w:val="auto"/>
        </w:rPr>
      </w:pPr>
    </w:p>
    <w:p>
      <w:pPr>
        <w:ind w:left="710"/>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860"/>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169" w:lineRule="exact"/>
        <w:rPr>
          <w:sz w:val="20"/>
          <w:szCs w:val="20"/>
          <w:color w:val="auto"/>
        </w:rPr>
      </w:pPr>
    </w:p>
    <w:p>
      <w:pPr>
        <w:sectPr>
          <w:pgSz w:w="11900" w:h="16838" w:orient="portrait"/>
          <w:cols w:equalWidth="0" w:num="3">
            <w:col w:w="2370" w:space="720"/>
            <w:col w:w="1300" w:space="720"/>
            <w:col w:w="5119"/>
          </w:cols>
          <w:pgMar w:left="230" w:top="961" w:right="1440" w:bottom="1440" w:gutter="0" w:footer="0" w:header="0"/>
          <w:type w:val="continuous"/>
        </w:sectPr>
      </w:pPr>
    </w:p>
    <w:p>
      <w:pPr>
        <w:ind w:left="105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April 1, 1996</w:t>
      </w:r>
    </w:p>
    <w:p>
      <w:pPr>
        <w:spacing w:after="0" w:line="6" w:lineRule="exact"/>
        <w:rPr>
          <w:sz w:val="20"/>
          <w:szCs w:val="20"/>
          <w:color w:val="auto"/>
        </w:rPr>
      </w:pPr>
    </w:p>
    <w:p>
      <w:pPr>
        <w:sectPr>
          <w:pgSz w:w="11900" w:h="16838" w:orient="portrait"/>
          <w:cols w:equalWidth="0" w:num="3">
            <w:col w:w="2370" w:space="720"/>
            <w:col w:w="1300" w:space="720"/>
            <w:col w:w="5119"/>
          </w:cols>
          <w:pgMar w:left="230" w:top="961" w:right="1440" w:bottom="1440" w:gutter="0" w:footer="0" w:header="0"/>
          <w:type w:val="continuous"/>
        </w:sectPr>
      </w:pPr>
    </w:p>
    <w:p>
      <w:pPr>
        <w:ind w:left="170" w:hanging="170"/>
        <w:spacing w:after="0"/>
        <w:tabs>
          <w:tab w:leader="none" w:pos="17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George S. Abrams</w:t>
      </w:r>
    </w:p>
    <w:p>
      <w:pPr>
        <w:spacing w:after="0" w:line="169" w:lineRule="exact"/>
        <w:rPr>
          <w:sz w:val="20"/>
          <w:szCs w:val="20"/>
          <w:color w:val="auto"/>
        </w:rPr>
      </w:pPr>
    </w:p>
    <w:p>
      <w:pPr>
        <w:ind w:left="10"/>
        <w:spacing w:after="0"/>
        <w:tabs>
          <w:tab w:leader="none" w:pos="3069" w:val="left"/>
          <w:tab w:leader="none" w:pos="5089" w:val="left"/>
        </w:tabs>
        <w:rPr>
          <w:sz w:val="20"/>
          <w:szCs w:val="20"/>
          <w:color w:val="auto"/>
        </w:rPr>
      </w:pPr>
      <w:r>
        <w:rPr>
          <w:rFonts w:ascii="Courier New" w:cs="Courier New" w:eastAsia="Courier New" w:hAnsi="Courier New"/>
          <w:sz w:val="15"/>
          <w:szCs w:val="15"/>
          <w:color w:val="auto"/>
        </w:rPr>
        <w:t>/s/ PHILIPPE P. DAUMAN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April 1, 1996</w:t>
      </w:r>
    </w:p>
    <w:p>
      <w:pPr>
        <w:ind w:left="170" w:hanging="170"/>
        <w:spacing w:after="0"/>
        <w:tabs>
          <w:tab w:leader="none" w:pos="17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Philippe P. Dauman</w:t>
      </w:r>
    </w:p>
    <w:p>
      <w:pPr>
        <w:spacing w:after="0" w:line="169" w:lineRule="exact"/>
        <w:rPr>
          <w:sz w:val="20"/>
          <w:szCs w:val="20"/>
          <w:color w:val="auto"/>
        </w:rPr>
      </w:pPr>
    </w:p>
    <w:p>
      <w:pPr>
        <w:ind w:left="1050"/>
        <w:spacing w:after="0"/>
        <w:tabs>
          <w:tab w:leader="none" w:pos="3069" w:val="left"/>
          <w:tab w:leader="none" w:pos="508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April 1, 1996</w:t>
      </w:r>
    </w:p>
    <w:p>
      <w:pPr>
        <w:ind w:left="170" w:hanging="170"/>
        <w:spacing w:after="0"/>
        <w:tabs>
          <w:tab w:leader="none" w:pos="17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Thomas E. Dooley</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29"/>
          </w:cols>
          <w:pgMar w:left="230" w:top="961" w:right="1440" w:bottom="1440" w:gutter="0" w:footer="0" w:header="0"/>
          <w:type w:val="continuous"/>
        </w:sectPr>
      </w:pPr>
    </w:p>
    <w:bookmarkStart w:id="99" w:name="page100"/>
    <w:bookmarkEnd w:id="99"/>
    <w:p>
      <w:pPr>
        <w:ind w:left="10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George D. Johnson, Jr.</w:t>
      </w:r>
    </w:p>
    <w:p>
      <w:pPr>
        <w:spacing w:after="0" w:line="169"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Ken Miller</w:t>
      </w:r>
    </w:p>
    <w:p>
      <w:pPr>
        <w:spacing w:after="0" w:line="169"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Brent D. Redstone</w:t>
      </w:r>
    </w:p>
    <w:p>
      <w:pPr>
        <w:spacing w:after="0" w:line="169"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Shari Redstone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SUMNER M. REDSTONE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Sumner M. Redstone</w:t>
      </w:r>
    </w:p>
    <w:p>
      <w:pPr>
        <w:spacing w:after="0" w:line="169"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Frederic V. Salerno</w:t>
      </w:r>
    </w:p>
    <w:p>
      <w:pPr>
        <w:spacing w:after="0" w:line="169"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William Schwartz</w:t>
      </w:r>
    </w:p>
    <w:p>
      <w:pPr>
        <w:spacing w:after="0" w:line="169"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April 1, 1996</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 1996</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 1996</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 1996</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 1996</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 1996</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 1996</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 1996</w:t>
      </w:r>
    </w:p>
    <w:p>
      <w:pPr>
        <w:spacing w:after="0" w:line="10" w:lineRule="exact"/>
        <w:rPr>
          <w:sz w:val="20"/>
          <w:szCs w:val="20"/>
          <w:color w:val="auto"/>
        </w:rPr>
      </w:pPr>
    </w:p>
    <w:p>
      <w:pPr>
        <w:sectPr>
          <w:pgSz w:w="11900" w:h="16838" w:orient="portrait"/>
          <w:cols w:equalWidth="0" w:num="3">
            <w:col w:w="2380" w:space="700"/>
            <w:col w:w="1300" w:space="720"/>
            <w:col w:w="5119"/>
          </w:cols>
          <w:pgMar w:left="240" w:top="791"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Ivan Seidenberg</w:t>
      </w:r>
    </w:p>
    <w:p>
      <w:pPr>
        <w:sectPr>
          <w:pgSz w:w="11900" w:h="16838" w:orient="portrait"/>
          <w:cols w:equalWidth="0" w:num="1">
            <w:col w:w="10219"/>
          </w:cols>
          <w:pgMar w:left="240" w:top="791" w:right="1440" w:bottom="1440" w:gutter="0" w:footer="0" w:header="0"/>
          <w:type w:val="continuous"/>
        </w:sect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PHILIPPE P. DAUMAN</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Philippe P. Dauman</w:t>
      </w:r>
    </w:p>
    <w:p>
      <w:pPr>
        <w:ind w:left="340"/>
        <w:spacing w:after="0"/>
        <w:rPr>
          <w:sz w:val="20"/>
          <w:szCs w:val="20"/>
          <w:color w:val="auto"/>
        </w:rPr>
      </w:pPr>
      <w:r>
        <w:rPr>
          <w:rFonts w:ascii="Courier New" w:cs="Courier New" w:eastAsia="Courier New" w:hAnsi="Courier New"/>
          <w:sz w:val="15"/>
          <w:szCs w:val="15"/>
          <w:color w:val="auto"/>
        </w:rPr>
        <w:t>Attorney-in-Fact</w:t>
      </w:r>
    </w:p>
    <w:p>
      <w:pPr>
        <w:ind w:left="340"/>
        <w:spacing w:after="0"/>
        <w:rPr>
          <w:sz w:val="20"/>
          <w:szCs w:val="20"/>
          <w:color w:val="auto"/>
        </w:rPr>
      </w:pPr>
      <w:r>
        <w:rPr>
          <w:rFonts w:ascii="Courier New" w:cs="Courier New" w:eastAsia="Courier New" w:hAnsi="Courier New"/>
          <w:sz w:val="15"/>
          <w:szCs w:val="15"/>
          <w:color w:val="auto"/>
        </w:rPr>
        <w:t>for the Directors</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 1996</w:t>
      </w:r>
    </w:p>
    <w:p>
      <w:pPr>
        <w:spacing w:after="0" w:line="884" w:lineRule="exact"/>
        <w:rPr>
          <w:sz w:val="20"/>
          <w:szCs w:val="20"/>
          <w:color w:val="auto"/>
        </w:rPr>
      </w:pPr>
    </w:p>
    <w:p>
      <w:pPr>
        <w:sectPr>
          <w:pgSz w:w="11900" w:h="16838" w:orient="portrait"/>
          <w:cols w:equalWidth="0" w:num="2">
            <w:col w:w="4380" w:space="720"/>
            <w:col w:w="5119"/>
          </w:cols>
          <w:pgMar w:left="240" w:top="791" w:right="1440" w:bottom="1440" w:gutter="0" w:footer="0" w:header="0"/>
          <w:type w:val="continuous"/>
        </w:sectPr>
      </w:pPr>
    </w:p>
    <w:p>
      <w:pPr>
        <w:spacing w:after="0" w:line="1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791" w:right="1440" w:bottom="1440" w:gutter="0" w:footer="0" w:header="0"/>
          <w:type w:val="continuous"/>
        </w:sectPr>
      </w:pPr>
    </w:p>
    <w:bookmarkStart w:id="100" w:name="page101"/>
    <w:bookmarkEnd w:id="100"/>
    <w:p>
      <w:pPr>
        <w:ind w:left="2290"/>
        <w:spacing w:after="0"/>
        <w:rPr>
          <w:sz w:val="20"/>
          <w:szCs w:val="20"/>
          <w:color w:val="auto"/>
        </w:rPr>
      </w:pPr>
      <w:r>
        <w:rPr>
          <w:rFonts w:ascii="Courier New" w:cs="Courier New" w:eastAsia="Courier New" w:hAnsi="Courier New"/>
          <w:sz w:val="14"/>
          <w:szCs w:val="14"/>
          <w:color w:val="auto"/>
        </w:rPr>
        <w:t>VIACOM INC. AND SUBSIDIARIES</w:t>
      </w:r>
    </w:p>
    <w:p>
      <w:pPr>
        <w:spacing w:after="0" w:line="5" w:lineRule="exact"/>
        <w:rPr>
          <w:sz w:val="20"/>
          <w:szCs w:val="20"/>
          <w:color w:val="auto"/>
        </w:rPr>
      </w:pPr>
    </w:p>
    <w:p>
      <w:pPr>
        <w:ind w:left="2830"/>
        <w:spacing w:after="0"/>
        <w:rPr>
          <w:sz w:val="20"/>
          <w:szCs w:val="20"/>
          <w:color w:val="auto"/>
        </w:rPr>
      </w:pPr>
      <w:r>
        <w:rPr>
          <w:rFonts w:ascii="Courier New" w:cs="Courier New" w:eastAsia="Courier New" w:hAnsi="Courier New"/>
          <w:sz w:val="15"/>
          <w:szCs w:val="15"/>
          <w:color w:val="auto"/>
        </w:rPr>
        <w:t>INDEX TO EXHIBITS</w:t>
      </w:r>
    </w:p>
    <w:p>
      <w:pPr>
        <w:ind w:left="3090"/>
        <w:spacing w:after="0"/>
        <w:rPr>
          <w:sz w:val="20"/>
          <w:szCs w:val="20"/>
          <w:color w:val="auto"/>
        </w:rPr>
      </w:pPr>
      <w:r>
        <w:rPr>
          <w:rFonts w:ascii="Courier New" w:cs="Courier New" w:eastAsia="Courier New" w:hAnsi="Courier New"/>
          <w:sz w:val="15"/>
          <w:szCs w:val="15"/>
          <w:color w:val="auto"/>
        </w:rPr>
        <w:t>ITEM 14(C)</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EXHIBIT</w:t>
      </w:r>
    </w:p>
    <w:p>
      <w:pPr>
        <w:sectPr>
          <w:pgSz w:w="11900" w:h="16838" w:orient="portrait"/>
          <w:cols w:equalWidth="0" w:num="1">
            <w:col w:w="10229"/>
          </w:cols>
          <w:pgMar w:left="230" w:top="627" w:right="1440" w:bottom="1440" w:gutter="0" w:footer="0" w:header="0"/>
        </w:sectPr>
      </w:pP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DESCRIPTION OF DOCUMENT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PAGE NO.</w:t>
      </w:r>
    </w:p>
    <w:p>
      <w:pPr>
        <w:spacing w:after="0" w:line="175" w:lineRule="exact"/>
        <w:rPr>
          <w:sz w:val="20"/>
          <w:szCs w:val="20"/>
          <w:color w:val="auto"/>
        </w:rPr>
      </w:pPr>
    </w:p>
    <w:p>
      <w:pPr>
        <w:sectPr>
          <w:pgSz w:w="11900" w:h="16838" w:orient="portrait"/>
          <w:cols w:equalWidth="0" w:num="3">
            <w:col w:w="1210" w:space="720"/>
            <w:col w:w="2460" w:space="720"/>
            <w:col w:w="5119"/>
          </w:cols>
          <w:pgMar w:left="230" w:top="627" w:right="1440" w:bottom="1440" w:gutter="0" w:footer="0" w:header="0"/>
          <w:type w:val="continuous"/>
        </w:sectPr>
      </w:pPr>
    </w:p>
    <w:p>
      <w:pPr>
        <w:ind w:left="890" w:hanging="890"/>
        <w:spacing w:after="0"/>
        <w:tabs>
          <w:tab w:leader="none" w:pos="89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of Acquisition</w:t>
      </w:r>
    </w:p>
    <w:p>
      <w:pPr>
        <w:spacing w:after="0" w:line="5" w:lineRule="exact"/>
        <w:rPr>
          <w:rFonts w:ascii="Courier New" w:cs="Courier New" w:eastAsia="Courier New" w:hAnsi="Courier New"/>
          <w:sz w:val="15"/>
          <w:szCs w:val="15"/>
          <w:color w:val="auto"/>
        </w:rPr>
      </w:pPr>
    </w:p>
    <w:p>
      <w:pPr>
        <w:ind w:left="890" w:right="3179" w:hanging="449"/>
        <w:spacing w:after="0" w:line="256" w:lineRule="auto"/>
        <w:tabs>
          <w:tab w:leader="none" w:pos="890"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and Plan of Merger dated as of January 7, 1994, as amended as of June 15, 1994, between Viacom Inc. and Blockbuster Entertainment Corporation (incorporated by reference to Exhibit 2.1 to the Registration Statement on Form S-4 filed by Viacom Inc.) (File No.</w:t>
      </w:r>
    </w:p>
    <w:p>
      <w:pPr>
        <w:ind w:left="8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33-55271).</w:t>
      </w:r>
    </w:p>
    <w:p>
      <w:pPr>
        <w:spacing w:after="0" w:line="4" w:lineRule="exact"/>
        <w:rPr>
          <w:rFonts w:ascii="Courier New" w:cs="Courier New" w:eastAsia="Courier New" w:hAnsi="Courier New"/>
          <w:sz w:val="14"/>
          <w:szCs w:val="14"/>
          <w:color w:val="auto"/>
        </w:rPr>
      </w:pPr>
    </w:p>
    <w:p>
      <w:pPr>
        <w:ind w:left="890" w:right="3179" w:hanging="449"/>
        <w:spacing w:after="0" w:line="238" w:lineRule="auto"/>
        <w:tabs>
          <w:tab w:leader="none" w:pos="89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Amended and Restated Agreement and Plan of Merger dated as of February 4, 1994 between Viacom Inc. and Paramount Communications Inc., as further amended as of May 26, 1994, among Viacom, Viacom Sub Inc. and Paramount Communications Inc. (incorporated by reference to Exhibit 2.1, included as Annex I, to the Registration Statement on Form S-4 filed by Viacom Inc.) (File No. 33-53977).</w:t>
      </w:r>
    </w:p>
    <w:p>
      <w:pPr>
        <w:ind w:left="890" w:hanging="890"/>
        <w:spacing w:after="0"/>
        <w:tabs>
          <w:tab w:leader="none" w:pos="89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Articles of Incorporation and By-laws</w:t>
      </w:r>
    </w:p>
    <w:p>
      <w:pPr>
        <w:spacing w:after="0" w:line="4" w:lineRule="exact"/>
        <w:rPr>
          <w:rFonts w:ascii="Courier New" w:cs="Courier New" w:eastAsia="Courier New" w:hAnsi="Courier New"/>
          <w:sz w:val="15"/>
          <w:szCs w:val="15"/>
          <w:color w:val="auto"/>
        </w:rPr>
      </w:pPr>
    </w:p>
    <w:p>
      <w:pPr>
        <w:jc w:val="both"/>
        <w:ind w:left="890" w:right="3259" w:hanging="449"/>
        <w:spacing w:after="0" w:line="256" w:lineRule="auto"/>
        <w:tabs>
          <w:tab w:leader="none" w:pos="890"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Restated Certificate of Incorporation of Viacom Inc. (incorporated by reference to Exhibit 3(a) to the Annual Report on Form 10-K of Viacom Inc. for the fiscal year ended December 31, 1992, as amended by Form</w:t>
      </w:r>
    </w:p>
    <w:p>
      <w:pPr>
        <w:ind w:left="890" w:right="325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10-K/A Amendment No. 1 dated November 29, 1993 and as further amended by Form 10-K/A Amendment No. 2 dated December 9, 1993) (File No.</w:t>
      </w:r>
    </w:p>
    <w:p>
      <w:pPr>
        <w:ind w:left="8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1-9553).</w:t>
      </w:r>
    </w:p>
    <w:p>
      <w:pPr>
        <w:spacing w:after="0" w:line="4" w:lineRule="exact"/>
        <w:rPr>
          <w:rFonts w:ascii="Courier New" w:cs="Courier New" w:eastAsia="Courier New" w:hAnsi="Courier New"/>
          <w:sz w:val="14"/>
          <w:szCs w:val="14"/>
          <w:color w:val="auto"/>
        </w:rPr>
      </w:pPr>
    </w:p>
    <w:p>
      <w:pPr>
        <w:ind w:left="890" w:right="3619" w:hanging="449"/>
        <w:spacing w:after="0" w:line="256" w:lineRule="auto"/>
        <w:tabs>
          <w:tab w:leader="none" w:pos="890"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to Restated Certificate of Incorporation of Viacom Inc. (incorporated by reference to Exhibit 3.2 to the Registration Statement on Form S-4 filed by Viacom Inc. (File No. 33-55271).</w:t>
      </w:r>
    </w:p>
    <w:p>
      <w:pPr>
        <w:ind w:left="890" w:right="3179" w:hanging="449"/>
        <w:spacing w:after="0" w:line="237" w:lineRule="auto"/>
        <w:tabs>
          <w:tab w:leader="none" w:pos="89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of Merger merging Blockbuster Entertainment Corporation with and into Viacom Inc. (incorporated by reference to Exhibit 4.3 to the Registration Statement on Form S-3 filed by Viacom Inc.) (File No. 33-55785).</w:t>
      </w:r>
    </w:p>
    <w:p>
      <w:pPr>
        <w:spacing w:after="0" w:line="6" w:lineRule="exact"/>
        <w:rPr>
          <w:rFonts w:ascii="Courier New" w:cs="Courier New" w:eastAsia="Courier New" w:hAnsi="Courier New"/>
          <w:sz w:val="15"/>
          <w:szCs w:val="15"/>
          <w:color w:val="auto"/>
        </w:rPr>
      </w:pPr>
    </w:p>
    <w:p>
      <w:pPr>
        <w:ind w:left="890" w:right="3259" w:hanging="449"/>
        <w:spacing w:after="0" w:line="256" w:lineRule="auto"/>
        <w:tabs>
          <w:tab w:leader="none" w:pos="890"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of the Designations, Powers, Preferences and Relative, Participating or other Rights, and the Qualifications, Limitations or Restrictions thereof, of Series B Cumulative Convertible Preferred Stock ($0.01 par value) of Viacom Inc. (incorporated by reference to Exhibit 4.1 to the Quarterly Report on Form 10-Q of Viacom Inc. for the quarter ended September 30, 1993) (File No. 1-9553).</w:t>
      </w:r>
    </w:p>
    <w:p>
      <w:pPr>
        <w:spacing w:after="0" w:line="2" w:lineRule="exact"/>
        <w:rPr>
          <w:rFonts w:ascii="Courier New" w:cs="Courier New" w:eastAsia="Courier New" w:hAnsi="Courier New"/>
          <w:sz w:val="14"/>
          <w:szCs w:val="14"/>
          <w:color w:val="auto"/>
        </w:rPr>
      </w:pPr>
    </w:p>
    <w:p>
      <w:pPr>
        <w:ind w:left="890" w:right="3179" w:hanging="449"/>
        <w:spacing w:after="0" w:line="237" w:lineRule="auto"/>
        <w:tabs>
          <w:tab w:leader="none" w:pos="89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By-laws of Viacom Inc. (incorporated by reference to Exhibit 3.3 to the Registration Statement on Form S-4 filed by Viacom Inc.) (File No. 33-13812).</w:t>
      </w:r>
    </w:p>
    <w:p>
      <w:pPr>
        <w:spacing w:after="0" w:line="5" w:lineRule="exact"/>
        <w:rPr>
          <w:rFonts w:ascii="Courier New" w:cs="Courier New" w:eastAsia="Courier New" w:hAnsi="Courier New"/>
          <w:sz w:val="15"/>
          <w:szCs w:val="15"/>
          <w:color w:val="auto"/>
        </w:rPr>
      </w:pPr>
    </w:p>
    <w:p>
      <w:pPr>
        <w:ind w:left="890" w:right="3879" w:hanging="890"/>
        <w:spacing w:after="0" w:line="235" w:lineRule="auto"/>
        <w:tabs>
          <w:tab w:leader="none" w:pos="89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Instruments defining the rights of security holders, including indentures</w:t>
      </w:r>
    </w:p>
    <w:p>
      <w:pPr>
        <w:spacing w:after="0" w:line="6" w:lineRule="exact"/>
        <w:rPr>
          <w:rFonts w:ascii="Courier New" w:cs="Courier New" w:eastAsia="Courier New" w:hAnsi="Courier New"/>
          <w:sz w:val="15"/>
          <w:szCs w:val="15"/>
          <w:color w:val="auto"/>
        </w:rPr>
      </w:pPr>
    </w:p>
    <w:p>
      <w:pPr>
        <w:ind w:left="890" w:right="3179" w:hanging="449"/>
        <w:spacing w:after="0" w:line="237" w:lineRule="auto"/>
        <w:tabs>
          <w:tab w:leader="none" w:pos="89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Specimen certificate representing the Viacom Inc. Voting Common Stock (currently Class A Common Stock) (incorporated by reference to Exhibit 4.1 to the Registration Statement on Form S-4 filed by Viacom Inc.) (File No. 33-13812).</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29"/>
          </w:cols>
          <w:pgMar w:left="230" w:top="627" w:right="1440" w:bottom="1440" w:gutter="0" w:footer="0" w:header="0"/>
          <w:type w:val="continuous"/>
        </w:sectPr>
      </w:pPr>
    </w:p>
    <w:bookmarkStart w:id="101" w:name="page102"/>
    <w:bookmarkEnd w:id="101"/>
    <w:p>
      <w:pPr>
        <w:spacing w:after="0"/>
        <w:rPr>
          <w:sz w:val="20"/>
          <w:szCs w:val="20"/>
          <w:color w:val="auto"/>
        </w:rPr>
      </w:pPr>
      <w:r>
        <w:rPr>
          <w:rFonts w:ascii="Courier New" w:cs="Courier New" w:eastAsia="Courier New" w:hAnsi="Courier New"/>
          <w:sz w:val="14"/>
          <w:szCs w:val="14"/>
          <w:color w:val="auto"/>
        </w:rPr>
        <w:t>EXHIBIT</w:t>
      </w:r>
    </w:p>
    <w:p>
      <w:pPr>
        <w:sectPr>
          <w:pgSz w:w="11900" w:h="16838" w:orient="portrait"/>
          <w:cols w:equalWidth="0" w:num="1">
            <w:col w:w="10219"/>
          </w:cols>
          <w:pgMar w:left="240" w:top="627" w:right="1440" w:bottom="1440" w:gutter="0" w:footer="0" w:header="0"/>
        </w:sectPr>
      </w:pP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DESCRIPTION OF DOCUMENT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PAGE NO.</w:t>
      </w:r>
    </w:p>
    <w:p>
      <w:pPr>
        <w:spacing w:after="0" w:line="180" w:lineRule="exact"/>
        <w:rPr>
          <w:sz w:val="20"/>
          <w:szCs w:val="20"/>
          <w:color w:val="auto"/>
        </w:rPr>
      </w:pPr>
    </w:p>
    <w:p>
      <w:pPr>
        <w:sectPr>
          <w:pgSz w:w="11900" w:h="16838" w:orient="portrait"/>
          <w:cols w:equalWidth="0" w:num="3">
            <w:col w:w="1200" w:space="720"/>
            <w:col w:w="2460" w:space="720"/>
            <w:col w:w="5119"/>
          </w:cols>
          <w:pgMar w:left="240" w:top="627" w:right="1440" w:bottom="1440" w:gutter="0" w:footer="0" w:header="0"/>
          <w:type w:val="continuous"/>
        </w:sectPr>
      </w:pPr>
    </w:p>
    <w:p>
      <w:pPr>
        <w:ind w:left="880" w:right="3539" w:hanging="449"/>
        <w:spacing w:after="0" w:line="237" w:lineRule="auto"/>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Specimen certificate representing Viacom Inc. Class B Non-Voting Common Stock (incorporated by reference to Exhibit 4(a) to the Quarterly Report on Form 10-Q of Viacom Inc. for the quarter ended June 30, 1990) (File No. 1-9553).</w:t>
      </w:r>
    </w:p>
    <w:p>
      <w:pPr>
        <w:spacing w:after="0" w:line="6" w:lineRule="exact"/>
        <w:rPr>
          <w:rFonts w:ascii="Courier New" w:cs="Courier New" w:eastAsia="Courier New" w:hAnsi="Courier New"/>
          <w:sz w:val="15"/>
          <w:szCs w:val="15"/>
          <w:color w:val="auto"/>
        </w:rPr>
      </w:pPr>
    </w:p>
    <w:p>
      <w:pPr>
        <w:ind w:left="880" w:right="3259" w:hanging="449"/>
        <w:spacing w:after="0" w:line="256" w:lineRule="auto"/>
        <w:tabs>
          <w:tab w:leader="none" w:pos="8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Specimen certificate representing Viacom Inc. Series B Cumulative Convertible Preferred Stock of Viacom Inc. (incorporated by reference to Exhibit 4(d) to the Annual Report on Form 10-K of Viacom Inc. for the fiscal year ended December 31, 1993, as amended by Form 10-K/A Amendment No. 1 dated May 2, 1994) (File No. 1-9553).</w:t>
      </w:r>
    </w:p>
    <w:p>
      <w:pPr>
        <w:spacing w:after="0" w:line="1" w:lineRule="exact"/>
        <w:rPr>
          <w:rFonts w:ascii="Courier New" w:cs="Courier New" w:eastAsia="Courier New" w:hAnsi="Courier New"/>
          <w:sz w:val="14"/>
          <w:szCs w:val="14"/>
          <w:color w:val="auto"/>
        </w:rPr>
      </w:pPr>
    </w:p>
    <w:p>
      <w:pPr>
        <w:ind w:left="880" w:right="3359" w:hanging="449"/>
        <w:spacing w:after="0" w:line="256" w:lineRule="auto"/>
        <w:tabs>
          <w:tab w:leader="none" w:pos="8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Warrant Agreement between Viacom Inc. and Harris Trust and Savings Bank, as Warrant Agent with respect to the Warrants expiring July 1, 1997 of Viacom Inc. (including the Form of Warrant expiring July 1, 1997) (incorporated by reference to Exhibit 4.7 to the Registration Statement on Form S-4 filed by Viacom Inc.) (File No.</w:t>
      </w:r>
    </w:p>
    <w:p>
      <w:pPr>
        <w:ind w:left="8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33-53977).</w:t>
      </w:r>
    </w:p>
    <w:p>
      <w:pPr>
        <w:spacing w:after="0" w:line="4" w:lineRule="exact"/>
        <w:rPr>
          <w:rFonts w:ascii="Courier New" w:cs="Courier New" w:eastAsia="Courier New" w:hAnsi="Courier New"/>
          <w:sz w:val="14"/>
          <w:szCs w:val="14"/>
          <w:color w:val="auto"/>
        </w:rPr>
      </w:pPr>
    </w:p>
    <w:p>
      <w:pPr>
        <w:ind w:left="880" w:right="3359" w:hanging="449"/>
        <w:spacing w:after="0" w:line="256" w:lineRule="auto"/>
        <w:tabs>
          <w:tab w:leader="none" w:pos="8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Warrant Agreement between Viacom Inc. and Harris Trust and Savings Bank, as Warrant Agent with respect to the Warrants expiring July 1, 1999 of Viacom Inc. (including the Form of Warrant expiring July 1, 1999) (incorporated by reference to Exhibit 4.8 to the Registration Statement on Form S-4 filed by Viacom Inc.) (File No.</w:t>
      </w:r>
    </w:p>
    <w:p>
      <w:pPr>
        <w:ind w:left="8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33-53977).</w:t>
      </w:r>
    </w:p>
    <w:p>
      <w:pPr>
        <w:spacing w:after="0" w:line="4" w:lineRule="exact"/>
        <w:rPr>
          <w:rFonts w:ascii="Courier New" w:cs="Courier New" w:eastAsia="Courier New" w:hAnsi="Courier New"/>
          <w:sz w:val="14"/>
          <w:szCs w:val="14"/>
          <w:color w:val="auto"/>
        </w:rPr>
      </w:pPr>
    </w:p>
    <w:p>
      <w:pPr>
        <w:ind w:left="880" w:right="3179" w:hanging="449"/>
        <w:spacing w:after="0" w:line="238" w:lineRule="auto"/>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 Agreement dated as of July 1, 1994 among Viacom Inc.; the Bank parties thereto; The Bank of New York ("BNY"), Citibank N.A. ("Citibank"), Morgan Guaranty Trust Company of New York and Bank of America NT&amp;SA, as Managing Agents; BNY, as Documentation Agent; Citibank, as Administrative Agent; JP Morgan Securities Inc., as Syndication Agent; and the Agents and Co-Agents named therein (incorporated by reference to Exhibit 4.1 to the Current Report on Form 8-K of Viacom Inc. dated July 22, 1994) (File No. 1-9553) as amended by Amendment No. 1 dated as of August 5, 1994, Amendment No. 2 dated as of September 29, 1994, Amendment No. 3 dated as of May 15, 1995 and Amendments No. 4 and 5 dated as of November 17, 1995 (filed herewith).</w:t>
      </w:r>
    </w:p>
    <w:p>
      <w:pPr>
        <w:spacing w:after="0" w:line="12" w:lineRule="exact"/>
        <w:rPr>
          <w:rFonts w:ascii="Courier New" w:cs="Courier New" w:eastAsia="Courier New" w:hAnsi="Courier New"/>
          <w:sz w:val="15"/>
          <w:szCs w:val="15"/>
          <w:color w:val="auto"/>
        </w:rPr>
      </w:pPr>
    </w:p>
    <w:p>
      <w:pPr>
        <w:ind w:left="880" w:right="3179" w:hanging="449"/>
        <w:spacing w:after="0" w:line="238" w:lineRule="auto"/>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 Agreement dated as of July 1, 1994 among Viacom Cablevision of Dayton Inc.; WNYT Inc., WMZQ Inc., WVIT Inc. and Viacom International Inc.; the Bank parties thereto; The Bank of New York ("BNY"), Citibank N.A. ("Citibank"), Morgan Guaranty Trust Company of New York and Bank of America NT&amp;SA, as Managing Agents; BNY, as Documentation Agent; Citibank, as Administrative Agent; JP Morgan Securities Inc., as Syndication Agent; and the Agents and Co-Agents named therein (incorporated by reference to Exhibit 4.2 to the Current Report on Form 8-K of Viacom Inc. dated July 22, 1994) (File No. 1-9553) as amended by Amendment No. 1 dated as of August 5, 1994, Amendment No. 2 dated as of May 15, 1995 and Amendments No. 3 and 4 dated as of November 17, 1995 (filed herewith).</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627" w:right="1440" w:bottom="1440" w:gutter="0" w:footer="0" w:header="0"/>
          <w:type w:val="continuous"/>
        </w:sectPr>
      </w:pPr>
    </w:p>
    <w:bookmarkStart w:id="102" w:name="page103"/>
    <w:bookmarkEnd w:id="102"/>
    <w:p>
      <w:pPr>
        <w:ind w:left="10"/>
        <w:spacing w:after="0"/>
        <w:rPr>
          <w:sz w:val="20"/>
          <w:szCs w:val="20"/>
          <w:color w:val="auto"/>
        </w:rPr>
      </w:pPr>
      <w:r>
        <w:rPr>
          <w:rFonts w:ascii="Courier New" w:cs="Courier New" w:eastAsia="Courier New" w:hAnsi="Courier New"/>
          <w:sz w:val="14"/>
          <w:szCs w:val="14"/>
          <w:color w:val="auto"/>
        </w:rPr>
        <w:t>EXHIBIT</w:t>
      </w:r>
    </w:p>
    <w:p>
      <w:pPr>
        <w:sectPr>
          <w:pgSz w:w="11900" w:h="16838" w:orient="portrait"/>
          <w:cols w:equalWidth="0" w:num="1">
            <w:col w:w="10229"/>
          </w:cols>
          <w:pgMar w:left="230" w:top="627" w:right="1440" w:bottom="1440" w:gutter="0" w:footer="0" w:header="0"/>
        </w:sectPr>
      </w:pP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DESCRIPTION OF DOCUMENT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PAGE NO.</w:t>
      </w:r>
    </w:p>
    <w:p>
      <w:pPr>
        <w:spacing w:after="0" w:line="180" w:lineRule="exact"/>
        <w:rPr>
          <w:sz w:val="20"/>
          <w:szCs w:val="20"/>
          <w:color w:val="auto"/>
        </w:rPr>
      </w:pPr>
    </w:p>
    <w:p>
      <w:pPr>
        <w:sectPr>
          <w:pgSz w:w="11900" w:h="16838" w:orient="portrait"/>
          <w:cols w:equalWidth="0" w:num="3">
            <w:col w:w="1210" w:space="720"/>
            <w:col w:w="2460" w:space="720"/>
            <w:col w:w="5119"/>
          </w:cols>
          <w:pgMar w:left="230" w:top="627" w:right="1440" w:bottom="1440" w:gutter="0" w:footer="0" w:header="0"/>
          <w:type w:val="continuous"/>
        </w:sectPr>
      </w:pPr>
    </w:p>
    <w:p>
      <w:pPr>
        <w:ind w:left="890" w:right="3179" w:hanging="449"/>
        <w:spacing w:after="0" w:line="238" w:lineRule="auto"/>
        <w:tabs>
          <w:tab w:leader="none" w:pos="89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 Agreement dated as of September 29, 1994, among Viacom Inc., the Bank parties thereto, The Bank of New York, as a Managing Agent and as the Documentation Agent, Citibank, N.A, as a Managing Agent and as the Administrative Agent, Morgan Guaranty Trust Company of New York, as a Managing Agent, JP Morgan Securities Inc., as the Syndication Agent, Bank of America NT&amp;SA, as a Managing Agent, and the Banks named as Agents therein (incorporated by reference to Exhibit 99.2 to the Current Report on Form 8-K of Viacom Inc. dated September 29, 1994) (File No. 1-9553) as amended by Amendment No. 1 dated as of May 15, 1995 and Amendments No. 2 and 3 dated as of November 17, 1995 (filed herewith).</w:t>
      </w:r>
    </w:p>
    <w:p>
      <w:pPr>
        <w:spacing w:after="0" w:line="11" w:lineRule="exact"/>
        <w:rPr>
          <w:rFonts w:ascii="Courier New" w:cs="Courier New" w:eastAsia="Courier New" w:hAnsi="Courier New"/>
          <w:sz w:val="15"/>
          <w:szCs w:val="15"/>
          <w:color w:val="auto"/>
        </w:rPr>
      </w:pPr>
    </w:p>
    <w:p>
      <w:pPr>
        <w:ind w:left="890" w:right="3179" w:hanging="449"/>
        <w:spacing w:after="0" w:line="237" w:lineRule="auto"/>
        <w:tabs>
          <w:tab w:leader="none" w:pos="89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instruments defining the rights of holders of the long-term debt securities of Viacom Inc. and its subsidiaries are omitted pursuant to section (b)(4)(iii)(A) of Item 601 of Regulation S-K. Viacom Inc. hereby agrees to furnish copies of these instruments to the Securities and Exchange Commission upon request.</w:t>
      </w:r>
    </w:p>
    <w:p>
      <w:pPr>
        <w:spacing w:after="0" w:line="3" w:lineRule="exact"/>
        <w:rPr>
          <w:rFonts w:ascii="Courier New" w:cs="Courier New" w:eastAsia="Courier New" w:hAnsi="Courier New"/>
          <w:sz w:val="15"/>
          <w:szCs w:val="15"/>
          <w:color w:val="auto"/>
        </w:rPr>
      </w:pPr>
    </w:p>
    <w:p>
      <w:pPr>
        <w:ind w:left="890" w:hanging="890"/>
        <w:spacing w:after="0"/>
        <w:tabs>
          <w:tab w:leader="none" w:pos="89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Contracts</w:t>
      </w:r>
    </w:p>
    <w:p>
      <w:pPr>
        <w:spacing w:after="0" w:line="4" w:lineRule="exact"/>
        <w:rPr>
          <w:rFonts w:ascii="Courier New" w:cs="Courier New" w:eastAsia="Courier New" w:hAnsi="Courier New"/>
          <w:sz w:val="15"/>
          <w:szCs w:val="15"/>
          <w:color w:val="auto"/>
        </w:rPr>
      </w:pPr>
    </w:p>
    <w:p>
      <w:pPr>
        <w:ind w:left="890" w:right="3179" w:hanging="449"/>
        <w:spacing w:after="0" w:line="237" w:lineRule="auto"/>
        <w:tabs>
          <w:tab w:leader="none" w:pos="890"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Inc. 1994 Long-Term Management Incentive Plan (as amended and restated through April 27, 1995) (incorporated by reference to Exhibit A-1 to Viacom Inc.'s Definitive Proxy Statement dated April 28, 1995).*</w:t>
      </w:r>
    </w:p>
    <w:p>
      <w:pPr>
        <w:spacing w:after="0" w:line="6" w:lineRule="exact"/>
        <w:rPr>
          <w:rFonts w:ascii="Courier New" w:cs="Courier New" w:eastAsia="Courier New" w:hAnsi="Courier New"/>
          <w:sz w:val="15"/>
          <w:szCs w:val="15"/>
          <w:color w:val="auto"/>
        </w:rPr>
      </w:pPr>
    </w:p>
    <w:p>
      <w:pPr>
        <w:ind w:left="890" w:right="3359" w:hanging="449"/>
        <w:spacing w:after="0" w:line="256" w:lineRule="auto"/>
        <w:tabs>
          <w:tab w:leader="none" w:pos="890"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Inc. 1989 Long-Term Management Incentive Plan (as amended and restated through April 23, 1990 and as further amended and restated through April 27, 1995) (incorporated by reference to Exhibit A-2 to Viacom Inc.'s Definitive Proxy Statement dated April 28, 1995).*</w:t>
      </w:r>
    </w:p>
    <w:p>
      <w:pPr>
        <w:spacing w:after="0" w:line="1" w:lineRule="exact"/>
        <w:rPr>
          <w:rFonts w:ascii="Courier New" w:cs="Courier New" w:eastAsia="Courier New" w:hAnsi="Courier New"/>
          <w:sz w:val="14"/>
          <w:szCs w:val="14"/>
          <w:color w:val="auto"/>
        </w:rPr>
      </w:pPr>
    </w:p>
    <w:p>
      <w:pPr>
        <w:ind w:left="890" w:right="3179" w:hanging="449"/>
        <w:spacing w:after="0" w:line="235" w:lineRule="auto"/>
        <w:tabs>
          <w:tab w:leader="none" w:pos="890"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Inc. Senior Executive Short-Term Incentive Plan (as amended and restated through March 27, 1996) (filed herewith).*</w:t>
      </w:r>
    </w:p>
    <w:p>
      <w:pPr>
        <w:spacing w:after="0" w:line="6" w:lineRule="exact"/>
        <w:rPr>
          <w:rFonts w:ascii="Courier New" w:cs="Courier New" w:eastAsia="Courier New" w:hAnsi="Courier New"/>
          <w:sz w:val="15"/>
          <w:szCs w:val="15"/>
          <w:color w:val="auto"/>
        </w:rPr>
      </w:pPr>
    </w:p>
    <w:p>
      <w:pPr>
        <w:ind w:left="890" w:right="3359" w:hanging="449"/>
        <w:spacing w:after="0" w:line="256" w:lineRule="auto"/>
        <w:tabs>
          <w:tab w:leader="none" w:pos="890"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Inc. Long-Term Incentive Plan (Divisional) (incorporated by reference to Exhibit 10.2 to the Quarterly Report on Form 10-Q of Viacom Inc. for the quarter ended June 30, 1993) (File No. 1-9553).*</w:t>
      </w:r>
    </w:p>
    <w:p>
      <w:pPr>
        <w:ind w:left="890" w:right="3259" w:hanging="449"/>
        <w:spacing w:after="0" w:line="238" w:lineRule="auto"/>
        <w:tabs>
          <w:tab w:leader="none" w:pos="890"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International Inc. Deferred Compensation Plan for Non-Employee Directors (as amended and restated through December 17, 1992) (incorporated by reference to Exhibit 10(e) to the Annual Report on Form 10-K of Viacom Inc. for the fiscal year ended December 31, 1992, as amended by Form 10-K/A Amendment No. 1 dated November 29, 1993 and as further amended by Form 10-K/A Amendment No. 2 dated December 9, 1993) (File No. 1-9553).*</w:t>
      </w:r>
    </w:p>
    <w:p>
      <w:pPr>
        <w:spacing w:after="0" w:line="7" w:lineRule="exact"/>
        <w:rPr>
          <w:rFonts w:ascii="Courier New" w:cs="Courier New" w:eastAsia="Courier New" w:hAnsi="Courier New"/>
          <w:sz w:val="15"/>
          <w:szCs w:val="15"/>
          <w:color w:val="auto"/>
        </w:rPr>
      </w:pPr>
    </w:p>
    <w:p>
      <w:pPr>
        <w:ind w:left="890" w:right="3259" w:hanging="449"/>
        <w:spacing w:after="0" w:line="237" w:lineRule="auto"/>
        <w:tabs>
          <w:tab w:leader="none" w:pos="890"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Inc. and Viacom International Inc. Retirement Income Plan for Non-Employee Directors (incorporated by reference to Exhibit 10(f) to the Annual Report on Form 10-K of Viacom Inc. for the fiscal year ended December 31, 1989) (File No. 1-9553).*</w:t>
      </w:r>
    </w:p>
    <w:p>
      <w:pPr>
        <w:spacing w:after="0" w:line="6" w:lineRule="exact"/>
        <w:rPr>
          <w:rFonts w:ascii="Courier New" w:cs="Courier New" w:eastAsia="Courier New" w:hAnsi="Courier New"/>
          <w:sz w:val="15"/>
          <w:szCs w:val="15"/>
          <w:color w:val="auto"/>
        </w:rPr>
      </w:pPr>
    </w:p>
    <w:p>
      <w:pPr>
        <w:ind w:left="890" w:right="3359" w:hanging="449"/>
        <w:spacing w:after="0" w:line="256" w:lineRule="auto"/>
        <w:tabs>
          <w:tab w:leader="none" w:pos="890"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Inc. Stock Option Plan for Outside Directors (incorporated by reference to Exhibit 10.2 to the Quarterly Report on Form 10-Q of Viacom Inc. for the quarter ended June 30, 1993) (File No. 1-9553).*</w:t>
      </w:r>
    </w:p>
    <w:p>
      <w:pPr>
        <w:spacing w:after="0" w:line="1" w:lineRule="exact"/>
        <w:rPr>
          <w:rFonts w:ascii="Courier New" w:cs="Courier New" w:eastAsia="Courier New" w:hAnsi="Courier New"/>
          <w:sz w:val="14"/>
          <w:szCs w:val="14"/>
          <w:color w:val="auto"/>
        </w:rPr>
      </w:pPr>
    </w:p>
    <w:p>
      <w:pPr>
        <w:ind w:left="890" w:right="3179" w:hanging="449"/>
        <w:spacing w:after="0" w:line="237" w:lineRule="auto"/>
        <w:tabs>
          <w:tab w:leader="none" w:pos="890"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Inc. 1994 Stock Option Plan for Outside Directors (incorporated by reference to Exhibit B to Viacom Inc.'s Definitive Proxy Statement dated April 28, 1995).*</w:t>
      </w:r>
    </w:p>
    <w:p>
      <w:pPr>
        <w:spacing w:after="0" w:line="5" w:lineRule="exact"/>
        <w:rPr>
          <w:rFonts w:ascii="Courier New" w:cs="Courier New" w:eastAsia="Courier New" w:hAnsi="Courier New"/>
          <w:sz w:val="15"/>
          <w:szCs w:val="15"/>
          <w:color w:val="auto"/>
        </w:rPr>
      </w:pPr>
    </w:p>
    <w:p>
      <w:pPr>
        <w:ind w:left="890" w:right="3259" w:hanging="449"/>
        <w:spacing w:after="0" w:line="237" w:lineRule="auto"/>
        <w:tabs>
          <w:tab w:leader="none" w:pos="890"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Excess Benefits Investment Plan for Certain Key Employees of Viacom International Inc. (effective April 1, 1984 and amended as of January 1, 1990) (incorporated by reference to Exhibit 10(h) to the Annual Report on Form 10-K of Viacom Inc. for the fiscal year ended December 31, 1990) (File No. 1-9553).*</w:t>
      </w:r>
    </w:p>
    <w:p>
      <w:pPr>
        <w:spacing w:after="0" w:line="8" w:lineRule="exact"/>
        <w:rPr>
          <w:rFonts w:ascii="Courier New" w:cs="Courier New" w:eastAsia="Courier New" w:hAnsi="Courier New"/>
          <w:sz w:val="15"/>
          <w:szCs w:val="15"/>
          <w:color w:val="auto"/>
        </w:rPr>
      </w:pPr>
    </w:p>
    <w:p>
      <w:pPr>
        <w:ind w:left="890" w:right="3259" w:hanging="449"/>
        <w:spacing w:after="0" w:line="237" w:lineRule="auto"/>
        <w:tabs>
          <w:tab w:leader="none" w:pos="890"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Excess Pension Plan for Certain Key Employees of Viacom International Inc. (incorporated by reference to Exhibit 10(i) to the Annual Report on Form 10-K of Viacom Inc. for the fiscal year ended December 31, 1990) (File No. 1-9553).*</w:t>
      </w:r>
    </w:p>
    <w:p>
      <w:pPr>
        <w:spacing w:after="0" w:line="176" w:lineRule="exact"/>
        <w:rPr>
          <w:sz w:val="20"/>
          <w:szCs w:val="20"/>
          <w:color w:val="auto"/>
        </w:rPr>
      </w:pPr>
    </w:p>
    <w:p>
      <w:pPr>
        <w:ind w:left="90" w:right="3259" w:hanging="87"/>
        <w:spacing w:after="0" w:line="235" w:lineRule="auto"/>
        <w:rPr>
          <w:sz w:val="20"/>
          <w:szCs w:val="20"/>
          <w:color w:val="auto"/>
        </w:rPr>
      </w:pPr>
      <w:r>
        <w:rPr>
          <w:rFonts w:ascii="Courier New" w:cs="Courier New" w:eastAsia="Courier New" w:hAnsi="Courier New"/>
          <w:sz w:val="15"/>
          <w:szCs w:val="15"/>
          <w:color w:val="auto"/>
        </w:rPr>
        <w:t>*Management contract or compensatory plan required to be filed as an exhibit to this form pursuant to Item 14(c).</w:t>
      </w:r>
    </w:p>
    <w:p>
      <w:pPr>
        <w:spacing w:after="0" w:line="34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29"/>
          </w:cols>
          <w:pgMar w:left="230" w:top="627" w:right="1440" w:bottom="1440" w:gutter="0" w:footer="0" w:header="0"/>
          <w:type w:val="continuous"/>
        </w:sectPr>
      </w:pPr>
    </w:p>
    <w:bookmarkStart w:id="103" w:name="page104"/>
    <w:bookmarkEnd w:id="103"/>
    <w:p>
      <w:pPr>
        <w:spacing w:after="0"/>
        <w:rPr>
          <w:sz w:val="20"/>
          <w:szCs w:val="20"/>
          <w:color w:val="auto"/>
        </w:rPr>
      </w:pPr>
      <w:r>
        <w:rPr>
          <w:rFonts w:ascii="Courier New" w:cs="Courier New" w:eastAsia="Courier New" w:hAnsi="Courier New"/>
          <w:sz w:val="14"/>
          <w:szCs w:val="14"/>
          <w:color w:val="auto"/>
        </w:rPr>
        <w:t>EXHIBIT</w:t>
      </w:r>
    </w:p>
    <w:p>
      <w:pPr>
        <w:sectPr>
          <w:pgSz w:w="11900" w:h="16838" w:orient="portrait"/>
          <w:cols w:equalWidth="0" w:num="1">
            <w:col w:w="10219"/>
          </w:cols>
          <w:pgMar w:left="240" w:top="797" w:right="1440" w:bottom="1440" w:gutter="0" w:footer="0" w:header="0"/>
        </w:sectPr>
      </w:pP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DESCRIPTION OF DOCUMENT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PAGE NO.</w:t>
      </w:r>
    </w:p>
    <w:p>
      <w:pPr>
        <w:spacing w:after="0" w:line="180" w:lineRule="exact"/>
        <w:rPr>
          <w:sz w:val="20"/>
          <w:szCs w:val="20"/>
          <w:color w:val="auto"/>
        </w:rPr>
      </w:pPr>
    </w:p>
    <w:p>
      <w:pPr>
        <w:sectPr>
          <w:pgSz w:w="11900" w:h="16838" w:orient="portrait"/>
          <w:cols w:equalWidth="0" w:num="3">
            <w:col w:w="1200" w:space="720"/>
            <w:col w:w="2460" w:space="720"/>
            <w:col w:w="5119"/>
          </w:cols>
          <w:pgMar w:left="240" w:top="797" w:right="1440" w:bottom="1440" w:gutter="0" w:footer="0" w:header="0"/>
          <w:type w:val="continuous"/>
        </w:sectPr>
      </w:pPr>
    </w:p>
    <w:p>
      <w:pPr>
        <w:ind w:left="880" w:right="3179" w:hanging="449"/>
        <w:spacing w:after="0" w:line="256" w:lineRule="auto"/>
        <w:tabs>
          <w:tab w:leader="none" w:pos="8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Agreement, dated as of August 1, 1994, between Viacom Inc. and Frank J. Biondi, Jr. (incorporated by reference to Exhibit 10.1 to the Quarterly Report on Form 10-Q of Viacom Inc. for the quarter ended September 30, 1994) (File No. 1-9533). Agreement under the Viacom Inc. 1994 Long-Term Management Incentive Plan, dated as of August 18, 1994, between Viacom Inc. and Frank J. Biondi, Jr. (incorporated by reference to Exhibit 10.1 to the Quarterly Report on Form 10-Q of Viacom Inc. for the quarter ended September 30, 1994) (File No.</w:t>
      </w:r>
    </w:p>
    <w:p>
      <w:pPr>
        <w:ind w:left="8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1-9553).*</w:t>
      </w:r>
    </w:p>
    <w:p>
      <w:pPr>
        <w:spacing w:after="0" w:line="4" w:lineRule="exact"/>
        <w:rPr>
          <w:rFonts w:ascii="Courier New" w:cs="Courier New" w:eastAsia="Courier New" w:hAnsi="Courier New"/>
          <w:sz w:val="14"/>
          <w:szCs w:val="14"/>
          <w:color w:val="auto"/>
        </w:rPr>
      </w:pPr>
    </w:p>
    <w:p>
      <w:pPr>
        <w:ind w:left="880" w:right="3799" w:hanging="449"/>
        <w:spacing w:after="0" w:line="235" w:lineRule="auto"/>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dated as of January 1, 1996, between Viacom Inc. and Philippe P. Dauman (filed herewith).*</w:t>
      </w:r>
    </w:p>
    <w:p>
      <w:pPr>
        <w:spacing w:after="0" w:line="6" w:lineRule="exact"/>
        <w:rPr>
          <w:rFonts w:ascii="Courier New" w:cs="Courier New" w:eastAsia="Courier New" w:hAnsi="Courier New"/>
          <w:sz w:val="15"/>
          <w:szCs w:val="15"/>
          <w:color w:val="auto"/>
        </w:rPr>
      </w:pPr>
    </w:p>
    <w:p>
      <w:pPr>
        <w:ind w:left="880" w:right="3179" w:hanging="449"/>
        <w:spacing w:after="0" w:line="235" w:lineRule="auto"/>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dated as of January 1, 1996, between Viacom Inc. and Thomas E. Dooley (filed herewith).*</w:t>
      </w:r>
    </w:p>
    <w:p>
      <w:pPr>
        <w:spacing w:after="0" w:line="6" w:lineRule="exact"/>
        <w:rPr>
          <w:rFonts w:ascii="Courier New" w:cs="Courier New" w:eastAsia="Courier New" w:hAnsi="Courier New"/>
          <w:sz w:val="15"/>
          <w:szCs w:val="15"/>
          <w:color w:val="auto"/>
        </w:rPr>
      </w:pPr>
    </w:p>
    <w:p>
      <w:pPr>
        <w:ind w:left="880" w:right="3179" w:hanging="449"/>
        <w:spacing w:after="0" w:line="237" w:lineRule="auto"/>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dated as of July 1, 1994, between Viacom Inc. and Edward D. Horowitz (incorporated by reference to Exhibit 10(o) to the Annual Report on Form 10-K of Viacom Inc. for the fiscal year ended December 31, 1994)(File No. 1-9553).*</w:t>
      </w:r>
    </w:p>
    <w:p>
      <w:pPr>
        <w:spacing w:after="0" w:line="6" w:lineRule="exact"/>
        <w:rPr>
          <w:rFonts w:ascii="Courier New" w:cs="Courier New" w:eastAsia="Courier New" w:hAnsi="Courier New"/>
          <w:sz w:val="15"/>
          <w:szCs w:val="15"/>
          <w:color w:val="auto"/>
        </w:rPr>
      </w:pPr>
    </w:p>
    <w:p>
      <w:pPr>
        <w:ind w:left="880" w:right="3179" w:hanging="449"/>
        <w:spacing w:after="0" w:line="256" w:lineRule="auto"/>
        <w:tabs>
          <w:tab w:leader="none" w:pos="8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dated as of August 1, 1990, between Viacom International Inc. and Mark M. Weinstein (incorporated by reference to Exhibit 10(p) to the Annual Report on Form 10-K of Viacom Inc. for the fiscal year ended December 31, 1990) (File No. 1-9553), as amended by an Agreement dated as of February 1, 1993 (incorporated by reference to Exhibit 10(n) to the Annual Report on Form 10-K of Viacom Inc. for the fiscal year ended December 31, 1992, as amended by Form 10-K/A Amendment No.</w:t>
      </w:r>
    </w:p>
    <w:p>
      <w:pPr>
        <w:spacing w:after="0" w:line="2" w:lineRule="exact"/>
        <w:rPr>
          <w:rFonts w:ascii="Courier New" w:cs="Courier New" w:eastAsia="Courier New" w:hAnsi="Courier New"/>
          <w:sz w:val="14"/>
          <w:szCs w:val="14"/>
          <w:color w:val="auto"/>
        </w:rPr>
      </w:pPr>
    </w:p>
    <w:p>
      <w:pPr>
        <w:ind w:left="880" w:right="335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 dated November 29, 1993 and as further amended by Form 10-K/A Amendment No. 2 dated December 9, 1993) (File No. 1-9553), and as further amended by an Agreement dated February 7, 1995 (incorporated by reference to Exhibit 10(m) to the Annual Report on Form 10-K of Viacom Inc. for the fiscal year ended December 31, 1994)(File No.</w:t>
      </w:r>
    </w:p>
    <w:p>
      <w:pPr>
        <w:ind w:left="8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1-9553).*</w:t>
      </w:r>
    </w:p>
    <w:p>
      <w:pPr>
        <w:spacing w:after="0" w:line="4" w:lineRule="exact"/>
        <w:rPr>
          <w:rFonts w:ascii="Courier New" w:cs="Courier New" w:eastAsia="Courier New" w:hAnsi="Courier New"/>
          <w:sz w:val="14"/>
          <w:szCs w:val="14"/>
          <w:color w:val="auto"/>
        </w:rPr>
      </w:pPr>
    </w:p>
    <w:p>
      <w:pPr>
        <w:ind w:left="880" w:right="3179" w:hanging="449"/>
        <w:spacing w:after="0" w:line="237" w:lineRule="auto"/>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 Agreement, dated as of March 1, 1994, between George S. Abrams and Viacom Inc. (incorporated by reference to Exhibit 10(q) to the Annual Report on Form 10-K of Viacom Inc. for the fiscal year ended December 31, 1994)(File No. 1-9553).*</w:t>
      </w:r>
    </w:p>
    <w:p>
      <w:pPr>
        <w:spacing w:after="0" w:line="6" w:lineRule="exact"/>
        <w:rPr>
          <w:rFonts w:ascii="Courier New" w:cs="Courier New" w:eastAsia="Courier New" w:hAnsi="Courier New"/>
          <w:sz w:val="15"/>
          <w:szCs w:val="15"/>
          <w:color w:val="auto"/>
        </w:rPr>
      </w:pPr>
    </w:p>
    <w:p>
      <w:pPr>
        <w:ind w:left="880" w:right="3259" w:hanging="449"/>
        <w:spacing w:after="0" w:line="237" w:lineRule="auto"/>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Blockbuster Entertainment Corporation ("BEC") stock option plans* assumed by Viacom Inc. after the Blockbuster Merger consisting of the following:</w:t>
      </w:r>
    </w:p>
    <w:p>
      <w:pPr>
        <w:spacing w:after="0" w:line="5" w:lineRule="exact"/>
        <w:rPr>
          <w:rFonts w:ascii="Courier New" w:cs="Courier New" w:eastAsia="Courier New" w:hAnsi="Courier New"/>
          <w:sz w:val="15"/>
          <w:szCs w:val="15"/>
          <w:color w:val="auto"/>
        </w:rPr>
      </w:pPr>
    </w:p>
    <w:p>
      <w:pPr>
        <w:ind w:left="880" w:right="33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 BEC's 1989 Stock Option Plan (incorporated by reference to BEC's Proxy Statement dated March 31, 1989).</w:t>
      </w:r>
    </w:p>
    <w:p>
      <w:pPr>
        <w:spacing w:after="0" w:line="6" w:lineRule="exact"/>
        <w:rPr>
          <w:rFonts w:ascii="Courier New" w:cs="Courier New" w:eastAsia="Courier New" w:hAnsi="Courier New"/>
          <w:sz w:val="15"/>
          <w:szCs w:val="15"/>
          <w:color w:val="auto"/>
        </w:rPr>
      </w:pPr>
    </w:p>
    <w:p>
      <w:pPr>
        <w:ind w:left="880" w:right="36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(ii) Amendments to BEC's 1989 Stock Option Plan (incorporated by reference to BEC's Proxy Statement dated April 3, 1991).</w:t>
      </w:r>
    </w:p>
    <w:p>
      <w:pPr>
        <w:spacing w:after="0" w:line="6" w:lineRule="exact"/>
        <w:rPr>
          <w:rFonts w:ascii="Courier New" w:cs="Courier New" w:eastAsia="Courier New" w:hAnsi="Courier New"/>
          <w:sz w:val="15"/>
          <w:szCs w:val="15"/>
          <w:color w:val="auto"/>
        </w:rPr>
      </w:pPr>
    </w:p>
    <w:p>
      <w:pPr>
        <w:ind w:left="880" w:right="32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(iii) BECs 1990 Stock Option Plan (incorporated by reference to BEC's Proxy Statement dated March 29, 1990).</w:t>
      </w:r>
    </w:p>
    <w:p>
      <w:pPr>
        <w:spacing w:after="0" w:line="6" w:lineRule="exact"/>
        <w:rPr>
          <w:rFonts w:ascii="Courier New" w:cs="Courier New" w:eastAsia="Courier New" w:hAnsi="Courier New"/>
          <w:sz w:val="15"/>
          <w:szCs w:val="15"/>
          <w:color w:val="auto"/>
        </w:rPr>
      </w:pPr>
    </w:p>
    <w:p>
      <w:pPr>
        <w:ind w:left="880" w:right="36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(iv) Amendments to BEC's 1990 Stock Option Plan (incorporated by reference to BEC's Proxy Statement dated April 15, 1991).</w:t>
      </w:r>
    </w:p>
    <w:p>
      <w:pPr>
        <w:spacing w:after="0" w:line="6" w:lineRule="exact"/>
        <w:rPr>
          <w:rFonts w:ascii="Courier New" w:cs="Courier New" w:eastAsia="Courier New" w:hAnsi="Courier New"/>
          <w:sz w:val="15"/>
          <w:szCs w:val="15"/>
          <w:color w:val="auto"/>
        </w:rPr>
      </w:pPr>
    </w:p>
    <w:p>
      <w:pPr>
        <w:ind w:left="880" w:right="34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(v) BEC's 1991 Employee Director Stock Option Plan (incorporated by reference to BEC's Proxy Statement dated April 15, 1991).</w:t>
      </w:r>
    </w:p>
    <w:p>
      <w:pPr>
        <w:spacing w:after="0" w:line="6" w:lineRule="exact"/>
        <w:rPr>
          <w:rFonts w:ascii="Courier New" w:cs="Courier New" w:eastAsia="Courier New" w:hAnsi="Courier New"/>
          <w:sz w:val="15"/>
          <w:szCs w:val="15"/>
          <w:color w:val="auto"/>
        </w:rPr>
      </w:pPr>
    </w:p>
    <w:p>
      <w:pPr>
        <w:ind w:left="880" w:right="325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(vi) BEC's 1991 Non-Employee Director Stock Option Plan (incorporated by reference to BEC's Proxy Statement dated April 15, 1991).</w:t>
      </w:r>
    </w:p>
    <w:p>
      <w:pPr>
        <w:ind w:left="880"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(vii) BEC's 1994 Stock Option Plan (incorporated by reference to Exhibit 10.35 to the Annual Report on Form 10-K of BEC for the fiscal year ended December 31, 1993) (File No. 0-12700).</w:t>
      </w:r>
    </w:p>
    <w:p>
      <w:pPr>
        <w:spacing w:after="0" w:line="175" w:lineRule="exact"/>
        <w:rPr>
          <w:sz w:val="20"/>
          <w:szCs w:val="20"/>
          <w:color w:val="auto"/>
        </w:rPr>
      </w:pPr>
    </w:p>
    <w:p>
      <w:pPr>
        <w:ind w:left="80" w:right="3259" w:hanging="87"/>
        <w:spacing w:after="0" w:line="235" w:lineRule="auto"/>
        <w:rPr>
          <w:sz w:val="20"/>
          <w:szCs w:val="20"/>
          <w:color w:val="auto"/>
        </w:rPr>
      </w:pPr>
      <w:r>
        <w:rPr>
          <w:rFonts w:ascii="Courier New" w:cs="Courier New" w:eastAsia="Courier New" w:hAnsi="Courier New"/>
          <w:sz w:val="15"/>
          <w:szCs w:val="15"/>
          <w:color w:val="auto"/>
        </w:rPr>
        <w:t>*Management contract or compensatory plan required to be filed as an exhibit to this form pursuant to Item 14(c).</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797" w:right="1440" w:bottom="1440" w:gutter="0" w:footer="0" w:header="0"/>
          <w:type w:val="continuous"/>
        </w:sectPr>
      </w:pPr>
    </w:p>
    <w:bookmarkStart w:id="104" w:name="page105"/>
    <w:bookmarkEnd w:id="104"/>
    <w:p>
      <w:pPr>
        <w:ind w:left="10"/>
        <w:spacing w:after="0"/>
        <w:rPr>
          <w:sz w:val="20"/>
          <w:szCs w:val="20"/>
          <w:color w:val="auto"/>
        </w:rPr>
      </w:pPr>
      <w:r>
        <w:rPr>
          <w:rFonts w:ascii="Courier New" w:cs="Courier New" w:eastAsia="Courier New" w:hAnsi="Courier New"/>
          <w:sz w:val="14"/>
          <w:szCs w:val="14"/>
          <w:color w:val="auto"/>
        </w:rPr>
        <w:t>EXHIBIT</w:t>
      </w:r>
    </w:p>
    <w:p>
      <w:pPr>
        <w:sectPr>
          <w:pgSz w:w="11900" w:h="16838" w:orient="portrait"/>
          <w:cols w:equalWidth="0" w:num="1">
            <w:col w:w="10229"/>
          </w:cols>
          <w:pgMar w:left="230" w:top="627" w:right="1440" w:bottom="1440" w:gutter="0" w:footer="0" w:header="0"/>
        </w:sectPr>
      </w:pP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DESCRIPTION OF DOCUMENT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PAGE NO.</w:t>
      </w:r>
    </w:p>
    <w:p>
      <w:pPr>
        <w:spacing w:after="0" w:line="180" w:lineRule="exact"/>
        <w:rPr>
          <w:sz w:val="20"/>
          <w:szCs w:val="20"/>
          <w:color w:val="auto"/>
        </w:rPr>
      </w:pPr>
    </w:p>
    <w:p>
      <w:pPr>
        <w:sectPr>
          <w:pgSz w:w="11900" w:h="16838" w:orient="portrait"/>
          <w:cols w:equalWidth="0" w:num="3">
            <w:col w:w="1210" w:space="720"/>
            <w:col w:w="2460" w:space="720"/>
            <w:col w:w="5119"/>
          </w:cols>
          <w:pgMar w:left="230" w:top="627" w:right="1440" w:bottom="1440" w:gutter="0" w:footer="0" w:header="0"/>
          <w:type w:val="continuous"/>
        </w:sectPr>
      </w:pPr>
    </w:p>
    <w:p>
      <w:pPr>
        <w:ind w:left="890" w:right="3179" w:hanging="449"/>
        <w:spacing w:after="0" w:line="237" w:lineRule="auto"/>
        <w:tabs>
          <w:tab w:leader="none" w:pos="89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Parents Agreement dated as of July 24, 1995 among Viacom Inc., Tele-Communications, Inc. and TCI Communications, Inc. (incorporated by reference to Exhibit 10.1 to the Registration Statement on Form S-4 filed by Viacom International Inc.) (File No. 33-64467).</w:t>
      </w:r>
    </w:p>
    <w:p>
      <w:pPr>
        <w:spacing w:after="0" w:line="6" w:lineRule="exact"/>
        <w:rPr>
          <w:rFonts w:ascii="Courier New" w:cs="Courier New" w:eastAsia="Courier New" w:hAnsi="Courier New"/>
          <w:sz w:val="15"/>
          <w:szCs w:val="15"/>
          <w:color w:val="auto"/>
        </w:rPr>
      </w:pPr>
    </w:p>
    <w:p>
      <w:pPr>
        <w:ind w:left="890" w:right="3439" w:hanging="449"/>
        <w:spacing w:after="0" w:line="237" w:lineRule="auto"/>
        <w:tabs>
          <w:tab w:leader="none" w:pos="89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Implementation Agreement dated as of July 24, 1995 between Viacom International Inc. and Viacom International Services Inc. (incorporated by reference to Exhibit 10.2 to the Registration Statement on Form S-4 filed by Viacom International Inc.) (File No. 33-64467).</w:t>
      </w:r>
    </w:p>
    <w:p>
      <w:pPr>
        <w:spacing w:after="0" w:line="8" w:lineRule="exact"/>
        <w:rPr>
          <w:rFonts w:ascii="Courier New" w:cs="Courier New" w:eastAsia="Courier New" w:hAnsi="Courier New"/>
          <w:sz w:val="15"/>
          <w:szCs w:val="15"/>
          <w:color w:val="auto"/>
        </w:rPr>
      </w:pPr>
    </w:p>
    <w:p>
      <w:pPr>
        <w:ind w:left="890" w:right="3259" w:hanging="449"/>
        <w:spacing w:after="0" w:line="237" w:lineRule="auto"/>
        <w:tabs>
          <w:tab w:leader="none" w:pos="89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Subscription Agreement dated as of July 24, 1995 among Viacom International Inc., Tele-Communications, Inc. and TCI Communications, Inc. (incorporated by reference to Exhibit 10.3 to the Registration Statement on Form S-4 filed by Viacom International Inc.) (File No. 33-64467).</w:t>
      </w:r>
    </w:p>
    <w:p>
      <w:pPr>
        <w:spacing w:after="0" w:line="3" w:lineRule="exact"/>
        <w:rPr>
          <w:rFonts w:ascii="Courier New" w:cs="Courier New" w:eastAsia="Courier New" w:hAnsi="Courier New"/>
          <w:sz w:val="15"/>
          <w:szCs w:val="15"/>
          <w:color w:val="auto"/>
        </w:rPr>
      </w:pPr>
    </w:p>
    <w:p>
      <w:pPr>
        <w:ind w:left="890" w:hanging="890"/>
        <w:spacing w:after="0"/>
        <w:tabs>
          <w:tab w:leader="none" w:pos="89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re Computation of Net Earnings Per Share</w:t>
      </w:r>
    </w:p>
    <w:p>
      <w:pPr>
        <w:ind w:left="890" w:hanging="890"/>
        <w:spacing w:after="0"/>
        <w:tabs>
          <w:tab w:leader="none" w:pos="89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of Viacom Inc.</w:t>
      </w:r>
    </w:p>
    <w:p>
      <w:pPr>
        <w:ind w:left="890" w:hanging="890"/>
        <w:spacing w:after="0" w:line="238" w:lineRule="auto"/>
        <w:tabs>
          <w:tab w:leader="none" w:pos="89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of Experts and Counsel</w:t>
      </w:r>
    </w:p>
    <w:p>
      <w:pPr>
        <w:ind w:left="890" w:hanging="449"/>
        <w:spacing w:after="0"/>
        <w:tabs>
          <w:tab w:leader="none" w:pos="890"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Price Waterhouse</w:t>
      </w:r>
    </w:p>
    <w:p>
      <w:pPr>
        <w:ind w:left="890" w:hanging="890"/>
        <w:spacing w:after="0"/>
        <w:tabs>
          <w:tab w:leader="none" w:pos="89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of Attorney</w:t>
      </w:r>
    </w:p>
    <w:p>
      <w:pPr>
        <w:ind w:left="10"/>
        <w:spacing w:after="0"/>
        <w:tabs>
          <w:tab w:leader="none" w:pos="869"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5"/>
          <w:szCs w:val="15"/>
          <w:color w:val="auto"/>
        </w:rPr>
        <w:t>Financial Data Schedule</w:t>
      </w:r>
    </w:p>
    <w:p>
      <w:pPr>
        <w:spacing w:after="0" w:line="33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29"/>
          </w:cols>
          <w:pgMar w:left="230" w:top="627" w:right="1440" w:bottom="1440" w:gutter="0" w:footer="0" w:header="0"/>
          <w:type w:val="continuous"/>
        </w:sectPr>
      </w:pPr>
    </w:p>
    <w:bookmarkStart w:id="105" w:name="page106"/>
    <w:bookmarkEnd w:id="105"/>
    <w:p>
      <w:pPr>
        <w:jc w:val="center"/>
        <w:ind w:right="2479"/>
        <w:spacing w:after="0"/>
        <w:rPr>
          <w:sz w:val="20"/>
          <w:szCs w:val="20"/>
          <w:color w:val="auto"/>
        </w:rPr>
      </w:pPr>
      <w:r>
        <w:rPr>
          <w:rFonts w:ascii="Courier New" w:cs="Courier New" w:eastAsia="Courier New" w:hAnsi="Courier New"/>
          <w:sz w:val="15"/>
          <w:szCs w:val="15"/>
          <w:color w:val="auto"/>
        </w:rPr>
        <w:t>VIACOM INC. AND SUBSIDIARIES</w:t>
      </w:r>
    </w:p>
    <w:p>
      <w:pPr>
        <w:jc w:val="center"/>
        <w:ind w:right="247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INC.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INDEX TO FINANCIAL STATEMENTS AND SCHEDULE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14A</w:t>
      </w:r>
    </w:p>
    <w:p>
      <w:pPr>
        <w:spacing w:after="0" w:line="344" w:lineRule="exact"/>
        <w:rPr>
          <w:sz w:val="20"/>
          <w:szCs w:val="20"/>
          <w:color w:val="auto"/>
        </w:rPr>
      </w:pPr>
    </w:p>
    <w:p>
      <w:pPr>
        <w:ind w:right="3359"/>
        <w:spacing w:after="0" w:line="265" w:lineRule="auto"/>
        <w:rPr>
          <w:sz w:val="20"/>
          <w:szCs w:val="20"/>
          <w:color w:val="auto"/>
        </w:rPr>
      </w:pPr>
      <w:r>
        <w:rPr>
          <w:rFonts w:ascii="Courier New" w:cs="Courier New" w:eastAsia="Courier New" w:hAnsi="Courier New"/>
          <w:sz w:val="14"/>
          <w:szCs w:val="14"/>
          <w:color w:val="auto"/>
        </w:rPr>
        <w:t>The following consolidated financial statements and schedule of the registrant and its subsidiaries are submitted herewith as part of this report: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Reference</w:t>
            </w:r>
          </w:p>
        </w:tc>
      </w:tr>
      <w:tr>
        <w:trPr>
          <w:trHeight w:val="170"/>
        </w:trPr>
        <w:tc>
          <w:tcPr>
            <w:tcW w:w="2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(Page/s)</w:t>
            </w:r>
          </w:p>
        </w:tc>
      </w:tr>
      <w:tr>
        <w:trPr>
          <w:trHeight w:val="170"/>
        </w:trPr>
        <w:tc>
          <w:tcPr>
            <w:tcW w:w="2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2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Report of Independent Accountants...........................</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II-15</w:t>
            </w:r>
          </w:p>
        </w:tc>
      </w:tr>
      <w:tr>
        <w:trPr>
          <w:trHeight w:val="339"/>
        </w:trPr>
        <w:tc>
          <w:tcPr>
            <w:tcW w:w="22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w w:val="98"/>
              </w:rPr>
              <w:t>Management's Statement of Responsibility for Financial Reporting</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II-16</w:t>
            </w:r>
          </w:p>
        </w:tc>
      </w:tr>
      <w:tr>
        <w:trPr>
          <w:trHeight w:val="339"/>
        </w:trPr>
        <w:tc>
          <w:tcPr>
            <w:tcW w:w="22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Consolidated Statements of Operations for the years ended</w:t>
            </w:r>
          </w:p>
        </w:tc>
        <w:tc>
          <w:tcPr>
            <w:tcW w:w="1100" w:type="dxa"/>
            <w:vAlign w:val="bottom"/>
          </w:tcPr>
          <w:p>
            <w:pPr>
              <w:spacing w:after="0"/>
              <w:rPr>
                <w:sz w:val="24"/>
                <w:szCs w:val="24"/>
                <w:color w:val="auto"/>
              </w:rPr>
            </w:pPr>
          </w:p>
        </w:tc>
      </w:tr>
      <w:tr>
        <w:trPr>
          <w:trHeight w:val="170"/>
        </w:trPr>
        <w:tc>
          <w:tcPr>
            <w:tcW w:w="220" w:type="dxa"/>
            <w:vAlign w:val="bottom"/>
          </w:tcPr>
          <w:p>
            <w:pPr>
              <w:spacing w:after="0"/>
              <w:rPr>
                <w:sz w:val="14"/>
                <w:szCs w:val="14"/>
                <w:color w:val="auto"/>
              </w:rPr>
            </w:pPr>
          </w:p>
        </w:tc>
        <w:tc>
          <w:tcPr>
            <w:tcW w:w="57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9"/>
              </w:rPr>
              <w:t>December 31, 1995, 1994 and 1993...........................</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II-17</w:t>
            </w:r>
          </w:p>
        </w:tc>
      </w:tr>
      <w:tr>
        <w:trPr>
          <w:trHeight w:val="339"/>
        </w:trPr>
        <w:tc>
          <w:tcPr>
            <w:tcW w:w="22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Consolidated Balance Sheets as of December 31, 1995 and 1994</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II-18-II-19</w:t>
            </w:r>
          </w:p>
        </w:tc>
      </w:tr>
      <w:tr>
        <w:trPr>
          <w:trHeight w:val="339"/>
        </w:trPr>
        <w:tc>
          <w:tcPr>
            <w:tcW w:w="2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Consolidated Statements of Cash Flows for the years ended</w:t>
            </w:r>
          </w:p>
        </w:tc>
        <w:tc>
          <w:tcPr>
            <w:tcW w:w="1100" w:type="dxa"/>
            <w:vAlign w:val="bottom"/>
          </w:tcPr>
          <w:p>
            <w:pPr>
              <w:spacing w:after="0"/>
              <w:rPr>
                <w:sz w:val="24"/>
                <w:szCs w:val="24"/>
                <w:color w:val="auto"/>
              </w:rPr>
            </w:pPr>
          </w:p>
        </w:tc>
      </w:tr>
      <w:tr>
        <w:trPr>
          <w:trHeight w:val="170"/>
        </w:trPr>
        <w:tc>
          <w:tcPr>
            <w:tcW w:w="220" w:type="dxa"/>
            <w:vAlign w:val="bottom"/>
          </w:tcPr>
          <w:p>
            <w:pPr>
              <w:spacing w:after="0"/>
              <w:rPr>
                <w:sz w:val="14"/>
                <w:szCs w:val="14"/>
                <w:color w:val="auto"/>
              </w:rPr>
            </w:pPr>
          </w:p>
        </w:tc>
        <w:tc>
          <w:tcPr>
            <w:tcW w:w="5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December 31, 1995, 1994 and 1993..........................</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II-20</w:t>
            </w:r>
          </w:p>
        </w:tc>
      </w:tr>
      <w:tr>
        <w:trPr>
          <w:trHeight w:val="339"/>
        </w:trPr>
        <w:tc>
          <w:tcPr>
            <w:tcW w:w="22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Consolidated Statements of Shareholders' Equity for the</w:t>
            </w:r>
          </w:p>
        </w:tc>
        <w:tc>
          <w:tcPr>
            <w:tcW w:w="1100" w:type="dxa"/>
            <w:vAlign w:val="bottom"/>
          </w:tcPr>
          <w:p>
            <w:pPr>
              <w:spacing w:after="0"/>
              <w:rPr>
                <w:sz w:val="24"/>
                <w:szCs w:val="24"/>
                <w:color w:val="auto"/>
              </w:rPr>
            </w:pPr>
          </w:p>
        </w:tc>
      </w:tr>
      <w:tr>
        <w:trPr>
          <w:trHeight w:val="170"/>
        </w:trPr>
        <w:tc>
          <w:tcPr>
            <w:tcW w:w="220" w:type="dxa"/>
            <w:vAlign w:val="bottom"/>
          </w:tcPr>
          <w:p>
            <w:pPr>
              <w:spacing w:after="0"/>
              <w:rPr>
                <w:sz w:val="14"/>
                <w:szCs w:val="14"/>
                <w:color w:val="auto"/>
              </w:rPr>
            </w:pPr>
          </w:p>
        </w:tc>
        <w:tc>
          <w:tcPr>
            <w:tcW w:w="5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years ended December 31, 1995, 1994 and 1993..............</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II-21</w:t>
            </w:r>
          </w:p>
        </w:tc>
      </w:tr>
      <w:tr>
        <w:trPr>
          <w:trHeight w:val="339"/>
        </w:trPr>
        <w:tc>
          <w:tcPr>
            <w:tcW w:w="22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II-22-II-55</w:t>
            </w:r>
          </w:p>
        </w:tc>
      </w:tr>
      <w:tr>
        <w:trPr>
          <w:trHeight w:val="339"/>
        </w:trPr>
        <w:tc>
          <w:tcPr>
            <w:tcW w:w="5940" w:type="dxa"/>
            <w:vAlign w:val="bottom"/>
            <w:gridSpan w:val="2"/>
          </w:tcPr>
          <w:p>
            <w:pPr>
              <w:spacing w:after="0"/>
              <w:rPr>
                <w:sz w:val="20"/>
                <w:szCs w:val="20"/>
                <w:color w:val="auto"/>
              </w:rPr>
            </w:pPr>
            <w:r>
              <w:rPr>
                <w:rFonts w:ascii="Courier New" w:cs="Courier New" w:eastAsia="Courier New" w:hAnsi="Courier New"/>
                <w:sz w:val="15"/>
                <w:szCs w:val="15"/>
                <w:color w:val="auto"/>
              </w:rPr>
              <w:t>Financial Statement Schedule:</w:t>
            </w:r>
          </w:p>
        </w:tc>
        <w:tc>
          <w:tcPr>
            <w:tcW w:w="1100" w:type="dxa"/>
            <w:vAlign w:val="bottom"/>
          </w:tcPr>
          <w:p>
            <w:pPr>
              <w:spacing w:after="0"/>
              <w:rPr>
                <w:sz w:val="24"/>
                <w:szCs w:val="24"/>
                <w:color w:val="auto"/>
              </w:rPr>
            </w:pPr>
          </w:p>
        </w:tc>
      </w:tr>
      <w:tr>
        <w:trPr>
          <w:trHeight w:val="339"/>
        </w:trPr>
        <w:tc>
          <w:tcPr>
            <w:tcW w:w="220" w:type="dxa"/>
            <w:vAlign w:val="bottom"/>
          </w:tcPr>
          <w:p>
            <w:pPr>
              <w:spacing w:after="0"/>
              <w:rPr>
                <w:sz w:val="24"/>
                <w:szCs w:val="24"/>
                <w:color w:val="auto"/>
              </w:rPr>
            </w:pPr>
          </w:p>
        </w:tc>
        <w:tc>
          <w:tcPr>
            <w:tcW w:w="5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II. Valuation and qualifying accounts...................</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F-2</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All other Schedules are omitted since the required information is not present or is not present in amounts sufficient to require submission of the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19"/>
          </w:cols>
          <w:pgMar w:left="240" w:top="452" w:right="1440" w:bottom="1440" w:gutter="0" w:footer="0" w:header="0"/>
        </w:sectPr>
      </w:pPr>
    </w:p>
    <w:bookmarkStart w:id="106" w:name="page107"/>
    <w:bookmarkEnd w:id="106"/>
    <w:p>
      <w:pPr>
        <w:jc w:val="center"/>
        <w:ind w:right="2470"/>
        <w:spacing w:after="0"/>
        <w:rPr>
          <w:sz w:val="20"/>
          <w:szCs w:val="20"/>
          <w:color w:val="auto"/>
        </w:rPr>
      </w:pPr>
      <w:r>
        <w:rPr>
          <w:rFonts w:ascii="Courier New" w:cs="Courier New" w:eastAsia="Courier New" w:hAnsi="Courier New"/>
          <w:sz w:val="15"/>
          <w:szCs w:val="15"/>
          <w:color w:val="auto"/>
        </w:rPr>
        <w:t>VIACOM INC. AND SUBSIDIARIES</w:t>
      </w:r>
    </w:p>
    <w:p>
      <w:pPr>
        <w:jc w:val="center"/>
        <w:ind w:right="247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VIACOM INC. AND SUBSIDIARIES</w:t>
      </w:r>
    </w:p>
    <w:p>
      <w:pPr>
        <w:ind w:left="10"/>
        <w:spacing w:after="0"/>
        <w:rPr>
          <w:sz w:val="20"/>
          <w:szCs w:val="20"/>
          <w:color w:val="auto"/>
        </w:rPr>
      </w:pPr>
      <w:r>
        <w:rPr>
          <w:rFonts w:ascii="Courier New" w:cs="Courier New" w:eastAsia="Courier New" w:hAnsi="Courier New"/>
          <w:sz w:val="15"/>
          <w:szCs w:val="15"/>
          <w:color w:val="auto"/>
        </w:rPr>
        <w:t>SCHEDULE II - VALUATION AND QUALIFYING ACCOUNTS</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(MILLIONS OF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460" w:type="dxa"/>
            <w:vAlign w:val="bottom"/>
          </w:tcPr>
          <w:p>
            <w:pPr>
              <w:ind w:left="880"/>
              <w:spacing w:after="0"/>
              <w:rPr>
                <w:sz w:val="20"/>
                <w:szCs w:val="20"/>
                <w:color w:val="auto"/>
              </w:rPr>
            </w:pPr>
            <w:r>
              <w:rPr>
                <w:rFonts w:ascii="Courier New" w:cs="Courier New" w:eastAsia="Courier New" w:hAnsi="Courier New"/>
                <w:sz w:val="15"/>
                <w:szCs w:val="15"/>
                <w:color w:val="auto"/>
              </w:rPr>
              <w:t>COL. A</w:t>
            </w:r>
          </w:p>
        </w:tc>
        <w:tc>
          <w:tcPr>
            <w:tcW w:w="118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6"/>
              </w:rPr>
              <w:t>COL. B</w:t>
            </w:r>
          </w:p>
        </w:tc>
        <w:tc>
          <w:tcPr>
            <w:tcW w:w="17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COL. C</w:t>
            </w:r>
          </w:p>
        </w:tc>
        <w:tc>
          <w:tcPr>
            <w:tcW w:w="600" w:type="dxa"/>
            <w:vAlign w:val="bottom"/>
          </w:tcPr>
          <w:p>
            <w:pPr>
              <w:spacing w:after="0"/>
              <w:rPr>
                <w:sz w:val="14"/>
                <w:szCs w:val="14"/>
                <w:color w:val="auto"/>
              </w:rPr>
            </w:pPr>
          </w:p>
        </w:tc>
        <w:tc>
          <w:tcPr>
            <w:tcW w:w="1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COL. D</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COL. E</w:t>
            </w:r>
          </w:p>
        </w:tc>
      </w:tr>
      <w:tr>
        <w:trPr>
          <w:trHeight w:val="170"/>
        </w:trPr>
        <w:tc>
          <w:tcPr>
            <w:tcW w:w="246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w:t>
            </w:r>
          </w:p>
        </w:tc>
        <w:tc>
          <w:tcPr>
            <w:tcW w:w="2380" w:type="dxa"/>
            <w:vAlign w:val="bottom"/>
            <w:gridSpan w:val="3"/>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2460" w:type="dxa"/>
            <w:vAlign w:val="bottom"/>
          </w:tcPr>
          <w:p>
            <w:pPr>
              <w:spacing w:after="0"/>
              <w:rPr>
                <w:sz w:val="14"/>
                <w:szCs w:val="14"/>
                <w:color w:val="auto"/>
              </w:rPr>
            </w:pPr>
          </w:p>
        </w:tc>
        <w:tc>
          <w:tcPr>
            <w:tcW w:w="118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BALANCE AT</w:t>
            </w:r>
          </w:p>
        </w:tc>
        <w:tc>
          <w:tcPr>
            <w:tcW w:w="2380" w:type="dxa"/>
            <w:vAlign w:val="bottom"/>
            <w:gridSpan w:val="3"/>
          </w:tcPr>
          <w:p>
            <w:pPr>
              <w:jc w:val="right"/>
              <w:ind w:right="227"/>
              <w:spacing w:after="0"/>
              <w:rPr>
                <w:sz w:val="20"/>
                <w:szCs w:val="20"/>
                <w:color w:val="auto"/>
              </w:rPr>
            </w:pPr>
            <w:r>
              <w:rPr>
                <w:rFonts w:ascii="Courier New" w:cs="Courier New" w:eastAsia="Courier New" w:hAnsi="Courier New"/>
                <w:sz w:val="15"/>
                <w:szCs w:val="15"/>
                <w:color w:val="auto"/>
              </w:rPr>
              <w:t>CHARGED TO CHARGED TO</w:t>
            </w:r>
          </w:p>
        </w:tc>
        <w:tc>
          <w:tcPr>
            <w:tcW w:w="13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BALANCE AT</w:t>
            </w:r>
          </w:p>
        </w:tc>
      </w:tr>
      <w:tr>
        <w:trPr>
          <w:trHeight w:val="170"/>
        </w:trPr>
        <w:tc>
          <w:tcPr>
            <w:tcW w:w="3640" w:type="dxa"/>
            <w:vAlign w:val="bottom"/>
            <w:gridSpan w:val="2"/>
          </w:tcPr>
          <w:p>
            <w:pPr>
              <w:jc w:val="center"/>
              <w:ind w:left="2087"/>
              <w:spacing w:after="0"/>
              <w:rPr>
                <w:sz w:val="20"/>
                <w:szCs w:val="20"/>
                <w:color w:val="auto"/>
              </w:rPr>
            </w:pPr>
            <w:r>
              <w:rPr>
                <w:rFonts w:ascii="Courier New" w:cs="Courier New" w:eastAsia="Courier New" w:hAnsi="Courier New"/>
                <w:sz w:val="15"/>
                <w:szCs w:val="15"/>
                <w:color w:val="auto"/>
                <w:w w:val="96"/>
              </w:rPr>
              <w:t>BEGINNING OF</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COSTS AND</w:t>
            </w:r>
          </w:p>
        </w:tc>
        <w:tc>
          <w:tcPr>
            <w:tcW w:w="12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OTHER</w:t>
            </w:r>
          </w:p>
        </w:tc>
        <w:tc>
          <w:tcPr>
            <w:tcW w:w="1340" w:type="dxa"/>
            <w:vAlign w:val="bottom"/>
          </w:tcPr>
          <w:p>
            <w:pPr>
              <w:spacing w:after="0"/>
              <w:rPr>
                <w:sz w:val="14"/>
                <w:szCs w:val="1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END OF</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118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6"/>
              </w:rPr>
              <w:t>PERIOD</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EXPENSES</w:t>
            </w:r>
          </w:p>
        </w:tc>
        <w:tc>
          <w:tcPr>
            <w:tcW w:w="122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ACCOUNTS</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w w:val="99"/>
              </w:rPr>
              <w:t>DEDUCTIONS (C)</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PERIOD</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w:t>
            </w:r>
          </w:p>
        </w:tc>
        <w:tc>
          <w:tcPr>
            <w:tcW w:w="2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509"/>
        </w:trPr>
        <w:tc>
          <w:tcPr>
            <w:tcW w:w="2460" w:type="dxa"/>
            <w:vAlign w:val="bottom"/>
          </w:tcPr>
          <w:p>
            <w:pPr>
              <w:spacing w:after="0"/>
              <w:rPr>
                <w:sz w:val="20"/>
                <w:szCs w:val="20"/>
                <w:color w:val="auto"/>
              </w:rPr>
            </w:pPr>
            <w:r>
              <w:rPr>
                <w:rFonts w:ascii="Courier New" w:cs="Courier New" w:eastAsia="Courier New" w:hAnsi="Courier New"/>
                <w:sz w:val="15"/>
                <w:szCs w:val="15"/>
                <w:color w:val="auto"/>
              </w:rPr>
              <w:t>ALLOWANCE FOR DOUBTFUL</w:t>
            </w: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ACCOUNTS:</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509"/>
        </w:trPr>
        <w:tc>
          <w:tcPr>
            <w:tcW w:w="246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Year ended December 31,</w:t>
            </w: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2460" w:type="dxa"/>
            <w:vAlign w:val="bottom"/>
          </w:tcPr>
          <w:p>
            <w:pPr>
              <w:ind w:left="160"/>
              <w:spacing w:after="0"/>
              <w:rPr>
                <w:sz w:val="20"/>
                <w:szCs w:val="20"/>
                <w:color w:val="auto"/>
              </w:rPr>
            </w:pPr>
            <w:r>
              <w:rPr>
                <w:rFonts w:ascii="Courier New" w:cs="Courier New" w:eastAsia="Courier New" w:hAnsi="Courier New"/>
                <w:sz w:val="15"/>
                <w:szCs w:val="15"/>
                <w:color w:val="auto"/>
              </w:rPr>
              <w:t>1995.....................</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$75.8</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$104.3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$37.4</w:t>
            </w:r>
          </w:p>
        </w:tc>
        <w:tc>
          <w:tcPr>
            <w:tcW w:w="6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w:t>
            </w:r>
          </w:p>
        </w:tc>
        <w:tc>
          <w:tcPr>
            <w:tcW w:w="1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$91.5</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$126.0</w:t>
            </w:r>
          </w:p>
        </w:tc>
      </w:tr>
      <w:tr>
        <w:trPr>
          <w:trHeight w:val="339"/>
        </w:trPr>
        <w:tc>
          <w:tcPr>
            <w:tcW w:w="246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Year ended December 31,</w:t>
            </w: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2460" w:type="dxa"/>
            <w:vAlign w:val="bottom"/>
          </w:tcPr>
          <w:p>
            <w:pPr>
              <w:ind w:left="160"/>
              <w:spacing w:after="0"/>
              <w:rPr>
                <w:sz w:val="20"/>
                <w:szCs w:val="20"/>
                <w:color w:val="auto"/>
              </w:rPr>
            </w:pPr>
            <w:r>
              <w:rPr>
                <w:rFonts w:ascii="Courier New" w:cs="Courier New" w:eastAsia="Courier New" w:hAnsi="Courier New"/>
                <w:sz w:val="15"/>
                <w:szCs w:val="15"/>
                <w:color w:val="auto"/>
              </w:rPr>
              <w:t>1994.....................</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$33.9</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$61.6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$46.1</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9"/>
              </w:rPr>
              <w:t>(A)(B)</w:t>
            </w:r>
          </w:p>
        </w:tc>
        <w:tc>
          <w:tcPr>
            <w:tcW w:w="1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$65.8</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$75.8</w:t>
            </w:r>
          </w:p>
        </w:tc>
      </w:tr>
      <w:tr>
        <w:trPr>
          <w:trHeight w:val="339"/>
        </w:trPr>
        <w:tc>
          <w:tcPr>
            <w:tcW w:w="246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Year ended December 31,</w:t>
            </w: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2460" w:type="dxa"/>
            <w:vAlign w:val="bottom"/>
          </w:tcPr>
          <w:p>
            <w:pPr>
              <w:ind w:left="160"/>
              <w:spacing w:after="0"/>
              <w:rPr>
                <w:sz w:val="20"/>
                <w:szCs w:val="20"/>
                <w:color w:val="auto"/>
              </w:rPr>
            </w:pPr>
            <w:r>
              <w:rPr>
                <w:rFonts w:ascii="Courier New" w:cs="Courier New" w:eastAsia="Courier New" w:hAnsi="Courier New"/>
                <w:sz w:val="15"/>
                <w:szCs w:val="15"/>
                <w:color w:val="auto"/>
              </w:rPr>
              <w:t>1993.....................</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$25.8</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$ 3.5</w:t>
            </w:r>
          </w:p>
        </w:tc>
        <w:tc>
          <w:tcPr>
            <w:tcW w:w="6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(B)</w:t>
            </w:r>
          </w:p>
        </w:tc>
        <w:tc>
          <w:tcPr>
            <w:tcW w:w="1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$12.1</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$33.9</w:t>
            </w: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VALUATION ALLOWANCE ON</w:t>
            </w: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w w:val="96"/>
              </w:rPr>
              <w:t>Year ended December 31, 1995</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$75.7</w:t>
            </w:r>
          </w:p>
        </w:tc>
        <w:tc>
          <w:tcPr>
            <w:tcW w:w="11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$ 6.1</w:t>
            </w:r>
          </w:p>
        </w:tc>
        <w:tc>
          <w:tcPr>
            <w:tcW w:w="6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w:t>
            </w:r>
          </w:p>
        </w:tc>
        <w:tc>
          <w:tcPr>
            <w:tcW w:w="13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$81.8</w:t>
            </w: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w w:val="96"/>
              </w:rPr>
              <w:t>Year ended December 31, 1994</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$75.7</w:t>
            </w:r>
          </w:p>
        </w:tc>
        <w:tc>
          <w:tcPr>
            <w:tcW w:w="6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w:t>
            </w:r>
          </w:p>
        </w:tc>
        <w:tc>
          <w:tcPr>
            <w:tcW w:w="13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$75.7</w:t>
            </w: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RESERVES FOR INVENTORY</w:t>
            </w: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OBSOLESCENCE:</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w w:val="96"/>
              </w:rPr>
              <w:t>Year ended December 31, 1995</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$125.3</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$35.4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$13.7</w:t>
            </w:r>
          </w:p>
        </w:tc>
        <w:tc>
          <w:tcPr>
            <w:tcW w:w="600" w:type="dxa"/>
            <w:vAlign w:val="bottom"/>
          </w:tcPr>
          <w:p>
            <w:pPr>
              <w:spacing w:after="0"/>
              <w:rPr>
                <w:sz w:val="24"/>
                <w:szCs w:val="24"/>
                <w:color w:val="auto"/>
              </w:rPr>
            </w:pPr>
          </w:p>
        </w:tc>
        <w:tc>
          <w:tcPr>
            <w:tcW w:w="13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$44.8</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$129.6</w:t>
            </w: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w w:val="96"/>
              </w:rPr>
              <w:t>Year ended December 31, 1994</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$32.3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9"/>
              </w:rPr>
              <w:t>$119.9</w:t>
            </w:r>
          </w:p>
        </w:tc>
        <w:tc>
          <w:tcPr>
            <w:tcW w:w="6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w:t>
            </w:r>
          </w:p>
        </w:tc>
        <w:tc>
          <w:tcPr>
            <w:tcW w:w="13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$26.9</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$125.3</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Notes:</w:t>
      </w:r>
    </w:p>
    <w:p>
      <w:pPr>
        <w:ind w:left="10"/>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450" w:right="3439" w:hanging="450"/>
        <w:spacing w:after="0" w:line="235" w:lineRule="auto"/>
        <w:tabs>
          <w:tab w:leader="none" w:pos="45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amounts charged to goodwill as part of the determination of the fair value of net assets acquired.</w:t>
      </w:r>
    </w:p>
    <w:p>
      <w:pPr>
        <w:spacing w:after="0" w:line="6" w:lineRule="exact"/>
        <w:rPr>
          <w:rFonts w:ascii="Courier New" w:cs="Courier New" w:eastAsia="Courier New" w:hAnsi="Courier New"/>
          <w:sz w:val="15"/>
          <w:szCs w:val="15"/>
          <w:color w:val="auto"/>
        </w:rPr>
      </w:pPr>
    </w:p>
    <w:p>
      <w:pPr>
        <w:ind w:left="450" w:right="3179" w:hanging="450"/>
        <w:spacing w:after="0" w:line="235" w:lineRule="auto"/>
        <w:tabs>
          <w:tab w:leader="none" w:pos="45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balance sheet reclassifications related to certain entertainment receivables.</w:t>
      </w:r>
    </w:p>
    <w:p>
      <w:pPr>
        <w:spacing w:after="0" w:line="1"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amounts written off, net of recoveries.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31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29"/>
          </w:cols>
          <w:pgMar w:left="230" w:top="622" w:right="1440" w:bottom="1440" w:gutter="0" w:footer="0" w:header="0"/>
        </w:sectPr>
      </w:pPr>
    </w:p>
    <w:bookmarkStart w:id="107" w:name="page108"/>
    <w:bookmarkEnd w:id="107"/>
    <w:p>
      <w:pPr>
        <w:ind w:left="2900"/>
        <w:spacing w:after="0"/>
        <w:rPr>
          <w:sz w:val="20"/>
          <w:szCs w:val="20"/>
          <w:color w:val="auto"/>
        </w:rPr>
      </w:pPr>
      <w:r>
        <w:rPr>
          <w:rFonts w:ascii="Courier New" w:cs="Courier New" w:eastAsia="Courier New" w:hAnsi="Courier New"/>
          <w:sz w:val="15"/>
          <w:szCs w:val="15"/>
          <w:color w:val="auto"/>
        </w:rPr>
        <w:t>AMENDMENT NO. 1</w:t>
      </w:r>
    </w:p>
    <w:p>
      <w:pPr>
        <w:spacing w:after="0" w:line="175"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AMENDMENT NO. 1, dated as of August 5, 1994 (this "Amendment"), to:</w:t>
      </w:r>
    </w:p>
    <w:p>
      <w:pPr>
        <w:spacing w:after="0" w:line="180" w:lineRule="exact"/>
        <w:rPr>
          <w:sz w:val="20"/>
          <w:szCs w:val="20"/>
          <w:color w:val="auto"/>
        </w:rPr>
      </w:pPr>
    </w:p>
    <w:p>
      <w:pPr>
        <w:ind w:right="3179" w:firstLine="519"/>
        <w:spacing w:after="0" w:line="238" w:lineRule="auto"/>
        <w:tabs>
          <w:tab w:leader="none" w:pos="881"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CREDIT AGREEMENT, dated as of July 1, 1994 (the "Parent Facility"), among VIACOM INC., a Delaware corporation ("Viacom"), each of the several Banks identified on the signature pages thereof, THE BANK OF NEW YORK, as a Managing Agent and as the Documentation Agent, CITIBANK, N.A., as a Managing Agent and as the Administrative Agent, MORGAN GUARANTY TRUST COMPANY OF NEW YORK, as a Managing Agent, JP MORGAN SECURITIES INC., as the Syndication Agent, BANK OF AMERICA NT&amp;SA, as a Managing Agent, the Banks identified as Agents on the signature pages thereof, as Agents, and the Banks identified as Co-Agents on the signature pages thereof, as Co-Agents; and</w:t>
      </w:r>
    </w:p>
    <w:p>
      <w:pPr>
        <w:spacing w:after="0" w:line="178" w:lineRule="exact"/>
        <w:rPr>
          <w:rFonts w:ascii="Courier New" w:cs="Courier New" w:eastAsia="Courier New" w:hAnsi="Courier New"/>
          <w:sz w:val="15"/>
          <w:szCs w:val="15"/>
          <w:color w:val="auto"/>
        </w:rPr>
      </w:pPr>
    </w:p>
    <w:p>
      <w:pPr>
        <w:ind w:right="3179" w:firstLine="519"/>
        <w:spacing w:after="0" w:line="238" w:lineRule="auto"/>
        <w:tabs>
          <w:tab w:leader="none" w:pos="97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CREDIT AGREEMENT, dated as of July 1, 1994 (the "Subsidiary Facility"), among VIACOM CABLEVISION OF DAYTON INC., WNYT INC., WMZQ INC., WVIT INC. and VIACOM INTERNATIONAL INC., each a Delaware corporation (collectively, "Subsidiary Borrowers"), each of the several Banks identified on the signature pages thereof, THE BANK OF NEW YORK, as a Managing Agent and as the Documentation Agent, CITIBANK, N.A., as a Managing Agent and as the Administrative Agent, MORGAN GUARANTY TRUST COMPANY OF NEW YORK, as a Managing Agent, JP MORGAN SECURITIES INC., as the Syndication Agent, BANK OF AMERICA NT&amp;SA, as a Managing Agent, the Banks identified as Agents on the signature pages thereof, as Agents, and the Banks identified as Co-Agents on the signature pages thereof, as Co-Agents.</w:t>
      </w:r>
    </w:p>
    <w:p>
      <w:pPr>
        <w:spacing w:after="0" w:line="17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 I T N E S S E T H:</w:t>
      </w:r>
    </w:p>
    <w:p>
      <w:pPr>
        <w:spacing w:after="0" w:line="175" w:lineRule="exact"/>
        <w:rPr>
          <w:sz w:val="20"/>
          <w:szCs w:val="20"/>
          <w:color w:val="auto"/>
        </w:rPr>
      </w:pPr>
    </w:p>
    <w:p>
      <w:pPr>
        <w:ind w:right="3179" w:firstLine="1058"/>
        <w:spacing w:after="0" w:line="237" w:lineRule="auto"/>
        <w:rPr>
          <w:sz w:val="20"/>
          <w:szCs w:val="20"/>
          <w:color w:val="auto"/>
        </w:rPr>
      </w:pPr>
      <w:r>
        <w:rPr>
          <w:rFonts w:ascii="Courier New" w:cs="Courier New" w:eastAsia="Courier New" w:hAnsi="Courier New"/>
          <w:sz w:val="15"/>
          <w:szCs w:val="15"/>
          <w:color w:val="auto"/>
        </w:rPr>
        <w:t>WHEREAS, the parties who have heretofore entered into the Parent Facility and the Subsidiary Facility now desire to effect a general syndication of the Parent Facility and Subsidiary Facility and the related assignment of the outstanding Loans thereunder by amending certain provisions of such agreements; and</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NOW, THEREFORE, the parties hereto agree as follows: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I</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Amendments</w:t>
      </w:r>
    </w:p>
    <w:p>
      <w:pPr>
        <w:spacing w:after="0" w:line="175" w:lineRule="exact"/>
        <w:rPr>
          <w:sz w:val="20"/>
          <w:szCs w:val="20"/>
          <w:color w:val="auto"/>
        </w:rPr>
      </w:pPr>
    </w:p>
    <w:p>
      <w:pPr>
        <w:ind w:right="3439" w:firstLine="1058"/>
        <w:spacing w:after="0" w:line="237" w:lineRule="auto"/>
        <w:rPr>
          <w:sz w:val="20"/>
          <w:szCs w:val="20"/>
          <w:color w:val="auto"/>
        </w:rPr>
      </w:pPr>
      <w:r>
        <w:rPr>
          <w:rFonts w:ascii="Courier New" w:cs="Courier New" w:eastAsia="Courier New" w:hAnsi="Courier New"/>
          <w:sz w:val="15"/>
          <w:szCs w:val="15"/>
          <w:color w:val="auto"/>
        </w:rPr>
        <w:t>Section 1.1. All references to "Schedule I" in each of the Parent Facility and Subsidiary Facility are hereby amended to refer to Schedule I attached to this Amendment.</w:t>
      </w:r>
    </w:p>
    <w:p>
      <w:pPr>
        <w:spacing w:after="0" w:line="175" w:lineRule="exact"/>
        <w:rPr>
          <w:sz w:val="20"/>
          <w:szCs w:val="20"/>
          <w:color w:val="auto"/>
        </w:rPr>
      </w:pPr>
    </w:p>
    <w:p>
      <w:pPr>
        <w:ind w:right="3359" w:firstLine="1058"/>
        <w:spacing w:after="0" w:line="237" w:lineRule="auto"/>
        <w:rPr>
          <w:sz w:val="20"/>
          <w:szCs w:val="20"/>
          <w:color w:val="auto"/>
        </w:rPr>
      </w:pPr>
      <w:r>
        <w:rPr>
          <w:rFonts w:ascii="Courier New" w:cs="Courier New" w:eastAsia="Courier New" w:hAnsi="Courier New"/>
          <w:sz w:val="15"/>
          <w:szCs w:val="15"/>
          <w:color w:val="auto"/>
        </w:rPr>
        <w:t>Section 1.2. All references to "Schedule II" in each of the Parent Facility and the Subsidiary Facility are hereby amended to refer to the appropriate Schedule II relating to such agreement and attached to this Amendment.</w:t>
      </w:r>
    </w:p>
    <w:p>
      <w:pPr>
        <w:spacing w:after="0" w:line="176" w:lineRule="exact"/>
        <w:rPr>
          <w:sz w:val="20"/>
          <w:szCs w:val="20"/>
          <w:color w:val="auto"/>
        </w:rPr>
      </w:pPr>
    </w:p>
    <w:p>
      <w:pPr>
        <w:ind w:right="3259" w:firstLine="1058"/>
        <w:spacing w:after="0" w:line="265" w:lineRule="auto"/>
        <w:rPr>
          <w:sz w:val="20"/>
          <w:szCs w:val="20"/>
          <w:color w:val="auto"/>
        </w:rPr>
      </w:pPr>
      <w:r>
        <w:rPr>
          <w:rFonts w:ascii="Courier New" w:cs="Courier New" w:eastAsia="Courier New" w:hAnsi="Courier New"/>
          <w:sz w:val="14"/>
          <w:szCs w:val="14"/>
          <w:color w:val="auto"/>
        </w:rPr>
        <w:t>Section 1.3 All references to an "Agent" or a "Co-Agent" shall have the meanings set forth in each of the Parent Facility and Subsidiary Facility.</w:t>
      </w:r>
    </w:p>
    <w:p>
      <w:pPr>
        <w:spacing w:after="0" w:line="15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II</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Funding</w:t>
      </w:r>
    </w:p>
    <w:p>
      <w:pPr>
        <w:spacing w:after="0" w:line="175" w:lineRule="exact"/>
        <w:rPr>
          <w:sz w:val="20"/>
          <w:szCs w:val="20"/>
          <w:color w:val="auto"/>
        </w:rPr>
      </w:pPr>
    </w:p>
    <w:p>
      <w:pPr>
        <w:ind w:right="3259" w:firstLine="1058"/>
        <w:spacing w:after="0" w:line="237" w:lineRule="auto"/>
        <w:rPr>
          <w:sz w:val="20"/>
          <w:szCs w:val="20"/>
          <w:color w:val="auto"/>
        </w:rPr>
      </w:pPr>
      <w:r>
        <w:rPr>
          <w:rFonts w:ascii="Courier New" w:cs="Courier New" w:eastAsia="Courier New" w:hAnsi="Courier New"/>
          <w:sz w:val="15"/>
          <w:szCs w:val="15"/>
          <w:color w:val="auto"/>
        </w:rPr>
        <w:t>Section 2.1. Subject to the prior effectiveness of this Amendment, and in order to give effect to the reallocation of the commitments and the outstanding Loans provided for by this Section 2.1, before 11:00 A.M. (New York City time) on August 15, 1994 (the "Effective Date"):</w:t>
      </w:r>
    </w:p>
    <w:p>
      <w:pPr>
        <w:spacing w:after="0" w:line="176" w:lineRule="exact"/>
        <w:rPr>
          <w:sz w:val="20"/>
          <w:szCs w:val="20"/>
          <w:color w:val="auto"/>
        </w:rPr>
      </w:pPr>
    </w:p>
    <w:p>
      <w:pPr>
        <w:ind w:left="520" w:right="3259" w:firstLine="528"/>
        <w:spacing w:after="0" w:line="256" w:lineRule="auto"/>
        <w:tabs>
          <w:tab w:leader="none" w:pos="1401"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that is to become a Bank party to either of the Parent Facility or the Subsidiary Facility (each such lender, a "New Lender") shall make available to the Administrative Agent, for the respective accounts of the Banks that are parties to either of the Parent Facility or the Subsidiary Facility (the "Existing Lenders"), an amount equal to the aggregate of (x) such New Lender's Ratable Portion (as defined in each of the Parent Facility and the Subsidiary Facility, after giving effect to the provisions of Article I of this Amendment (the "Adjusted Ratable Portion")) of the outstanding Loans under (and as defined in) each of the Parent Facility and the Subsidiary Facility, and</w:t>
      </w:r>
    </w:p>
    <w:p>
      <w:pPr>
        <w:spacing w:after="0" w:line="3" w:lineRule="exact"/>
        <w:rPr>
          <w:rFonts w:ascii="Courier New" w:cs="Courier New" w:eastAsia="Courier New" w:hAnsi="Courier New"/>
          <w:sz w:val="14"/>
          <w:szCs w:val="14"/>
          <w:color w:val="auto"/>
        </w:rPr>
      </w:pPr>
    </w:p>
    <w:p>
      <w:pPr>
        <w:ind w:left="520" w:right="3259" w:hanging="1"/>
        <w:spacing w:after="0" w:line="237" w:lineRule="auto"/>
        <w:tabs>
          <w:tab w:leader="none" w:pos="873"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New Lender's Adjusted Ratable Portion of the Breakage Amount (as defined below), if any, payable by the New Lenders with respect to each Eurodollar Rate Loan outstanding on the Effective Date (other than any Eurodollar Rate Loans with respect to which the Effective Date is the first day of a new Interest Period); and</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305" w:right="1440" w:bottom="1440" w:gutter="0" w:footer="0" w:header="0"/>
        </w:sectPr>
      </w:pPr>
    </w:p>
    <w:bookmarkStart w:id="108" w:name="page109"/>
    <w:bookmarkEnd w:id="108"/>
    <w:p>
      <w:pPr>
        <w:ind w:left="520" w:right="3359" w:firstLine="528"/>
        <w:spacing w:after="0" w:line="256" w:lineRule="auto"/>
        <w:tabs>
          <w:tab w:leader="none" w:pos="1490"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thereafter (but in any event on the same day), the Administrative Agent shall cause to be distributed in like funds to each Existing Lender, for the account of its Applicable Lending Office, such Existing Lender's Ratable Portion (as defined in each of the Parent Facility and the Subsidiary Facility, but without giving effect to the provisions of Article I of this Agreement (the "Unadjusted Ratable Portion")) of (x) the amount paid by the New Lenders pursuant to clause</w:t>
      </w:r>
    </w:p>
    <w:p>
      <w:pPr>
        <w:spacing w:after="0" w:line="2" w:lineRule="exact"/>
        <w:rPr>
          <w:rFonts w:ascii="Courier New" w:cs="Courier New" w:eastAsia="Courier New" w:hAnsi="Courier New"/>
          <w:sz w:val="14"/>
          <w:szCs w:val="14"/>
          <w:color w:val="auto"/>
        </w:rPr>
      </w:pPr>
    </w:p>
    <w:p>
      <w:pPr>
        <w:ind w:left="520" w:right="3439" w:hanging="1"/>
        <w:spacing w:after="0" w:line="235" w:lineRule="auto"/>
        <w:tabs>
          <w:tab w:leader="none" w:pos="873"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2.1 in respect of the reallocation of loans and (y) the Breakage Amount, if any, paid by the New Lenders.</w:t>
      </w:r>
    </w:p>
    <w:p>
      <w:pPr>
        <w:spacing w:after="0" w:line="176" w:lineRule="exact"/>
        <w:rPr>
          <w:sz w:val="20"/>
          <w:szCs w:val="20"/>
          <w:color w:val="auto"/>
        </w:rPr>
      </w:pPr>
    </w:p>
    <w:p>
      <w:pPr>
        <w:ind w:left="80" w:right="3359" w:firstLine="970"/>
        <w:spacing w:after="0" w:line="235" w:lineRule="auto"/>
        <w:rPr>
          <w:sz w:val="20"/>
          <w:szCs w:val="20"/>
          <w:color w:val="auto"/>
        </w:rPr>
      </w:pPr>
      <w:r>
        <w:rPr>
          <w:rFonts w:ascii="Courier New" w:cs="Courier New" w:eastAsia="Courier New" w:hAnsi="Courier New"/>
          <w:sz w:val="15"/>
          <w:szCs w:val="15"/>
          <w:color w:val="auto"/>
        </w:rPr>
        <w:t>Section 2.2. Subject to the prior effectiveness of this Amendment, before 11:00 A.M. (New York City time) on the Effective Date:</w:t>
      </w:r>
    </w:p>
    <w:p>
      <w:pPr>
        <w:spacing w:after="0" w:line="176" w:lineRule="exact"/>
        <w:rPr>
          <w:sz w:val="20"/>
          <w:szCs w:val="20"/>
          <w:color w:val="auto"/>
        </w:rPr>
      </w:pPr>
    </w:p>
    <w:p>
      <w:pPr>
        <w:ind w:left="520" w:right="3259" w:firstLine="528"/>
        <w:spacing w:after="0" w:line="238" w:lineRule="auto"/>
        <w:tabs>
          <w:tab w:leader="none" w:pos="1401"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Existing Lender shall make available to the Administrative Agent, for the respective accounts of the New Lenders, an amount equal to the aggregate of (x) such Existing Lender's Unadjusted Ratable Portion of the Breakage Amount (as defined below), if any, payable by the Existing Lenders, and (y) the Participation Fee (as defined below) payable by such Existing Lender; and</w:t>
      </w:r>
    </w:p>
    <w:p>
      <w:pPr>
        <w:spacing w:after="0" w:line="175" w:lineRule="exact"/>
        <w:rPr>
          <w:rFonts w:ascii="Courier New" w:cs="Courier New" w:eastAsia="Courier New" w:hAnsi="Courier New"/>
          <w:sz w:val="15"/>
          <w:szCs w:val="15"/>
          <w:color w:val="auto"/>
        </w:rPr>
      </w:pPr>
    </w:p>
    <w:p>
      <w:pPr>
        <w:ind w:left="520" w:right="3179" w:firstLine="528"/>
        <w:spacing w:after="0" w:line="238" w:lineRule="auto"/>
        <w:tabs>
          <w:tab w:leader="none" w:pos="149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thereafter (but in any event on the same day), the Administrative Agent shall cause to be distributed in like funds to each New Lender, for the account of its Applicable Lending Office, such New Lender's Adjusted Ratable Portion of the (x) Breakage Amount, if any, paid by the Existing Lenders and (y) the aggregate of the Participation Fees paid by the Existing Lenders.</w:t>
      </w:r>
    </w:p>
    <w:p>
      <w:pPr>
        <w:spacing w:after="0" w:line="176" w:lineRule="exact"/>
        <w:rPr>
          <w:sz w:val="20"/>
          <w:szCs w:val="20"/>
          <w:color w:val="auto"/>
        </w:rPr>
      </w:pPr>
    </w:p>
    <w:p>
      <w:pPr>
        <w:ind w:right="3359" w:firstLine="1058"/>
        <w:spacing w:after="0" w:line="237" w:lineRule="auto"/>
        <w:rPr>
          <w:sz w:val="20"/>
          <w:szCs w:val="20"/>
          <w:color w:val="auto"/>
        </w:rPr>
      </w:pPr>
      <w:r>
        <w:rPr>
          <w:rFonts w:ascii="Courier New" w:cs="Courier New" w:eastAsia="Courier New" w:hAnsi="Courier New"/>
          <w:sz w:val="15"/>
          <w:szCs w:val="15"/>
          <w:color w:val="auto"/>
        </w:rPr>
        <w:t>Section 2.3. The "Breakage Amount" with respect to each Eurodollar Rate Loan shall be the amount calculated in accordance with the following formula:</w:t>
      </w:r>
    </w:p>
    <w:p>
      <w:pPr>
        <w:spacing w:after="0" w:line="175" w:lineRule="exact"/>
        <w:rPr>
          <w:sz w:val="20"/>
          <w:szCs w:val="20"/>
          <w:color w:val="auto"/>
        </w:rPr>
      </w:pPr>
    </w:p>
    <w:p>
      <w:pPr>
        <w:ind w:left="520" w:right="3979"/>
        <w:spacing w:after="0" w:line="235" w:lineRule="auto"/>
        <w:rPr>
          <w:sz w:val="20"/>
          <w:szCs w:val="20"/>
          <w:color w:val="auto"/>
        </w:rPr>
      </w:pPr>
      <w:r>
        <w:rPr>
          <w:rFonts w:ascii="Courier New" w:cs="Courier New" w:eastAsia="Courier New" w:hAnsi="Courier New"/>
          <w:sz w:val="15"/>
          <w:szCs w:val="15"/>
          <w:color w:val="auto"/>
        </w:rPr>
        <w:t>Principal Amount x [(New LIBOR - Old LIBOR)/360] x Number of Days Remaining</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where:</w:t>
      </w:r>
    </w:p>
    <w:p>
      <w:pPr>
        <w:spacing w:after="0" w:line="169" w:lineRule="exact"/>
        <w:rPr>
          <w:sz w:val="20"/>
          <w:szCs w:val="20"/>
          <w:color w:val="auto"/>
        </w:rPr>
      </w:pPr>
    </w:p>
    <w:p>
      <w:pPr>
        <w:ind w:left="520"/>
        <w:spacing w:after="0"/>
        <w:tabs>
          <w:tab w:leader="none" w:pos="2260" w:val="left"/>
        </w:tabs>
        <w:rPr>
          <w:sz w:val="20"/>
          <w:szCs w:val="20"/>
          <w:color w:val="auto"/>
        </w:rPr>
      </w:pPr>
      <w:r>
        <w:rPr>
          <w:rFonts w:ascii="Courier New" w:cs="Courier New" w:eastAsia="Courier New" w:hAnsi="Courier New"/>
          <w:sz w:val="15"/>
          <w:szCs w:val="15"/>
          <w:color w:val="auto"/>
        </w:rPr>
        <w:t>Principal Amount =</w:t>
      </w:r>
      <w:r>
        <w:rPr>
          <w:sz w:val="20"/>
          <w:szCs w:val="20"/>
          <w:color w:val="auto"/>
        </w:rPr>
        <w:tab/>
      </w:r>
      <w:r>
        <w:rPr>
          <w:rFonts w:ascii="Courier New" w:cs="Courier New" w:eastAsia="Courier New" w:hAnsi="Courier New"/>
          <w:sz w:val="14"/>
          <w:szCs w:val="14"/>
          <w:color w:val="auto"/>
        </w:rPr>
        <w:t>The aggregate of the Adjusted</w:t>
      </w:r>
    </w:p>
    <w:p>
      <w:pPr>
        <w:ind w:left="2280"/>
        <w:spacing w:after="0"/>
        <w:rPr>
          <w:sz w:val="20"/>
          <w:szCs w:val="20"/>
          <w:color w:val="auto"/>
        </w:rPr>
      </w:pPr>
      <w:r>
        <w:rPr>
          <w:rFonts w:ascii="Courier New" w:cs="Courier New" w:eastAsia="Courier New" w:hAnsi="Courier New"/>
          <w:sz w:val="15"/>
          <w:szCs w:val="15"/>
          <w:color w:val="auto"/>
        </w:rPr>
        <w:t>Ratable Portions of the New Lenders of</w:t>
      </w:r>
    </w:p>
    <w:p>
      <w:pPr>
        <w:ind w:left="2280"/>
        <w:spacing w:after="0"/>
        <w:rPr>
          <w:sz w:val="20"/>
          <w:szCs w:val="20"/>
          <w:color w:val="auto"/>
        </w:rPr>
      </w:pPr>
      <w:r>
        <w:rPr>
          <w:rFonts w:ascii="Courier New" w:cs="Courier New" w:eastAsia="Courier New" w:hAnsi="Courier New"/>
          <w:sz w:val="15"/>
          <w:szCs w:val="15"/>
          <w:color w:val="auto"/>
        </w:rPr>
        <w:t>the applicable Eurodollar Rate Loan</w:t>
      </w:r>
    </w:p>
    <w:p>
      <w:pPr>
        <w:spacing w:after="0" w:line="174" w:lineRule="exact"/>
        <w:rPr>
          <w:sz w:val="20"/>
          <w:szCs w:val="20"/>
          <w:color w:val="auto"/>
        </w:rPr>
      </w:pPr>
    </w:p>
    <w:p>
      <w:pPr>
        <w:ind w:left="1580" w:right="3879" w:hanging="1057"/>
        <w:spacing w:after="0" w:line="265" w:lineRule="auto"/>
        <w:rPr>
          <w:sz w:val="20"/>
          <w:szCs w:val="20"/>
          <w:color w:val="auto"/>
        </w:rPr>
      </w:pPr>
      <w:r>
        <w:rPr>
          <w:rFonts w:ascii="Courier New" w:cs="Courier New" w:eastAsia="Courier New" w:hAnsi="Courier New"/>
          <w:sz w:val="14"/>
          <w:szCs w:val="14"/>
          <w:color w:val="auto"/>
        </w:rPr>
        <w:t>New LIBOR = Eurodollar Rate determined in respect of such Loan for the Interest Period commencing on the Effective Date</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7" w:right="1440" w:bottom="1440" w:gutter="0" w:footer="0" w:header="0"/>
        </w:sectPr>
      </w:pPr>
    </w:p>
    <w:bookmarkStart w:id="109" w:name="page110"/>
    <w:bookmarkEnd w:id="109"/>
    <w:p>
      <w:pPr>
        <w:jc w:val="center"/>
        <w:ind w:right="3619"/>
        <w:spacing w:after="0"/>
        <w:rPr>
          <w:sz w:val="20"/>
          <w:szCs w:val="20"/>
          <w:color w:val="auto"/>
        </w:rPr>
      </w:pPr>
      <w:r>
        <w:rPr>
          <w:rFonts w:ascii="Courier New" w:cs="Courier New" w:eastAsia="Courier New" w:hAnsi="Courier New"/>
          <w:sz w:val="15"/>
          <w:szCs w:val="15"/>
          <w:color w:val="auto"/>
        </w:rPr>
        <w:t>Old LIBOR = Eurodollar Rate in effect with respect to such Loan</w:t>
      </w:r>
    </w:p>
    <w:p>
      <w:pPr>
        <w:jc w:val="center"/>
        <w:ind w:right="3619"/>
        <w:spacing w:after="0"/>
        <w:rPr>
          <w:sz w:val="20"/>
          <w:szCs w:val="20"/>
          <w:color w:val="auto"/>
        </w:rPr>
      </w:pPr>
      <w:r>
        <w:rPr>
          <w:rFonts w:ascii="Courier New" w:cs="Courier New" w:eastAsia="Courier New" w:hAnsi="Courier New"/>
          <w:sz w:val="15"/>
          <w:szCs w:val="15"/>
          <w:color w:val="auto"/>
        </w:rPr>
        <w:t>immediately prior to the Effective Date</w:t>
      </w:r>
    </w:p>
    <w:p>
      <w:pPr>
        <w:spacing w:after="0" w:line="16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Number of Days Remaining = Number of days remaining in</w:t>
      </w:r>
    </w:p>
    <w:p>
      <w:pPr>
        <w:ind w:left="2900"/>
        <w:spacing w:after="0"/>
        <w:rPr>
          <w:sz w:val="20"/>
          <w:szCs w:val="20"/>
          <w:color w:val="auto"/>
        </w:rPr>
      </w:pPr>
      <w:r>
        <w:rPr>
          <w:rFonts w:ascii="Courier New" w:cs="Courier New" w:eastAsia="Courier New" w:hAnsi="Courier New"/>
          <w:sz w:val="15"/>
          <w:szCs w:val="15"/>
          <w:color w:val="auto"/>
        </w:rPr>
        <w:t>the Interest Period applicable to such Loan</w:t>
      </w:r>
    </w:p>
    <w:p>
      <w:pPr>
        <w:spacing w:after="0" w:line="174"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If such amount is a negative number, the absolute value of such amount shall be payable only by the New Lenders for the account of the Existing Lenders. If such amount is a positive number, such amount shall be payable only by the Existing Lenders to the New Lenders.</w:t>
      </w:r>
    </w:p>
    <w:p>
      <w:pPr>
        <w:spacing w:after="0" w:line="176" w:lineRule="exact"/>
        <w:rPr>
          <w:sz w:val="20"/>
          <w:szCs w:val="20"/>
          <w:color w:val="auto"/>
        </w:rPr>
      </w:pPr>
    </w:p>
    <w:p>
      <w:pPr>
        <w:ind w:right="3179" w:firstLine="1058"/>
        <w:spacing w:after="0" w:line="237" w:lineRule="auto"/>
        <w:rPr>
          <w:sz w:val="20"/>
          <w:szCs w:val="20"/>
          <w:color w:val="auto"/>
        </w:rPr>
      </w:pPr>
      <w:r>
        <w:rPr>
          <w:rFonts w:ascii="Courier New" w:cs="Courier New" w:eastAsia="Courier New" w:hAnsi="Courier New"/>
          <w:sz w:val="15"/>
          <w:szCs w:val="15"/>
          <w:color w:val="auto"/>
        </w:rPr>
        <w:t>Section 2.3. The "Participation Fee" payable by each Existing Lender shall be the amount set forth with respect to such Existing Lender in the following table: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Category of Existing Lender</w:t>
            </w:r>
          </w:p>
        </w:tc>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Amount of Participation Fee</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Managing Agent</w:t>
            </w:r>
          </w:p>
        </w:tc>
        <w:tc>
          <w:tcPr>
            <w:tcW w:w="308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$67,286.50</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Agent</w:t>
            </w:r>
          </w:p>
        </w:tc>
        <w:tc>
          <w:tcPr>
            <w:tcW w:w="308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$64,851.57</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Co-Agent</w:t>
            </w:r>
          </w:p>
        </w:tc>
        <w:tc>
          <w:tcPr>
            <w:tcW w:w="308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$46,322.55</w:t>
            </w:r>
          </w:p>
        </w:tc>
      </w:tr>
    </w:tbl>
    <w:p>
      <w:pPr>
        <w:spacing w:after="0" w:line="175" w:lineRule="exact"/>
        <w:rPr>
          <w:sz w:val="20"/>
          <w:szCs w:val="20"/>
          <w:color w:val="auto"/>
        </w:rPr>
      </w:pPr>
    </w:p>
    <w:p>
      <w:pPr>
        <w:ind w:right="3259" w:firstLine="1058"/>
        <w:spacing w:after="0" w:line="238" w:lineRule="auto"/>
        <w:rPr>
          <w:sz w:val="20"/>
          <w:szCs w:val="20"/>
          <w:color w:val="auto"/>
        </w:rPr>
      </w:pPr>
      <w:r>
        <w:rPr>
          <w:rFonts w:ascii="Courier New" w:cs="Courier New" w:eastAsia="Courier New" w:hAnsi="Courier New"/>
          <w:sz w:val="15"/>
          <w:szCs w:val="15"/>
          <w:color w:val="auto"/>
        </w:rPr>
        <w:t>Section 2.4 Upon receipt of the monies by the Administrative Agent, as provided in Sections 2.1(i) and 2.2(i), and payment of the monies by the Administrative Agent, as provided in Section 2.1(ii) and 2.2(ii), the Administrative Agent shall make appropriate entries in its books pursuant to Section 13.7(g) of the Parent Facility and Section 10.7(g) of the Subsidiary Facility to reflect the reallocation of Commitments and Loans effected by this Amendment.</w:t>
      </w:r>
    </w:p>
    <w:p>
      <w:pPr>
        <w:spacing w:after="0" w:line="177" w:lineRule="exact"/>
        <w:rPr>
          <w:sz w:val="20"/>
          <w:szCs w:val="20"/>
          <w:color w:val="auto"/>
        </w:rPr>
      </w:pPr>
    </w:p>
    <w:p>
      <w:pPr>
        <w:ind w:right="3359" w:firstLine="1058"/>
        <w:spacing w:after="0" w:line="237" w:lineRule="auto"/>
        <w:rPr>
          <w:sz w:val="20"/>
          <w:szCs w:val="20"/>
          <w:color w:val="auto"/>
        </w:rPr>
      </w:pPr>
      <w:r>
        <w:rPr>
          <w:rFonts w:ascii="Courier New" w:cs="Courier New" w:eastAsia="Courier New" w:hAnsi="Courier New"/>
          <w:sz w:val="15"/>
          <w:szCs w:val="15"/>
          <w:color w:val="auto"/>
        </w:rPr>
        <w:t>Section 2.4. The provisions of this Article are solely for the benefit of the Existing Lenders and the New Lenders and may not be enforced by any other party.</w:t>
      </w:r>
    </w:p>
    <w:p>
      <w:pPr>
        <w:spacing w:after="0" w:line="33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ARTICLE III</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Effectiveness</w:t>
      </w:r>
    </w:p>
    <w:p>
      <w:pPr>
        <w:spacing w:after="0" w:line="175" w:lineRule="exact"/>
        <w:rPr>
          <w:sz w:val="20"/>
          <w:szCs w:val="20"/>
          <w:color w:val="auto"/>
        </w:rPr>
      </w:pPr>
    </w:p>
    <w:p>
      <w:pPr>
        <w:ind w:right="3439" w:firstLine="1058"/>
        <w:spacing w:after="0" w:line="237" w:lineRule="auto"/>
        <w:rPr>
          <w:sz w:val="20"/>
          <w:szCs w:val="20"/>
          <w:color w:val="auto"/>
        </w:rPr>
      </w:pPr>
      <w:r>
        <w:rPr>
          <w:rFonts w:ascii="Courier New" w:cs="Courier New" w:eastAsia="Courier New" w:hAnsi="Courier New"/>
          <w:sz w:val="15"/>
          <w:szCs w:val="15"/>
          <w:color w:val="auto"/>
        </w:rPr>
        <w:t>Section 3.1. This Amendment will be effective as of the Effective Date and following the execution thereof by each of Viacom, each Subsidiary Borrower, each Guarantor Subsidiary and each Existing Lender and New Lender identified on the signature pages hereof.</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2" w:right="1440" w:bottom="1440" w:gutter="0" w:footer="0" w:header="0"/>
        </w:sectPr>
      </w:pPr>
    </w:p>
    <w:bookmarkStart w:id="110" w:name="page111"/>
    <w:bookmarkEnd w:id="110"/>
    <w:p>
      <w:pPr>
        <w:jc w:val="center"/>
        <w:ind w:right="3179"/>
        <w:spacing w:after="0"/>
        <w:rPr>
          <w:sz w:val="20"/>
          <w:szCs w:val="20"/>
          <w:color w:val="auto"/>
        </w:rPr>
      </w:pPr>
      <w:r>
        <w:rPr>
          <w:rFonts w:ascii="Courier New" w:cs="Courier New" w:eastAsia="Courier New" w:hAnsi="Courier New"/>
          <w:sz w:val="15"/>
          <w:szCs w:val="15"/>
          <w:color w:val="auto"/>
        </w:rPr>
        <w:t>ARTICLE IV</w:t>
      </w: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Representations and Warranties</w:t>
      </w:r>
    </w:p>
    <w:p>
      <w:pPr>
        <w:spacing w:after="0" w:line="175" w:lineRule="exact"/>
        <w:rPr>
          <w:sz w:val="20"/>
          <w:szCs w:val="20"/>
          <w:color w:val="auto"/>
        </w:rPr>
      </w:pPr>
    </w:p>
    <w:p>
      <w:pPr>
        <w:ind w:right="3179" w:firstLine="1058"/>
        <w:spacing w:after="0" w:line="237" w:lineRule="auto"/>
        <w:rPr>
          <w:sz w:val="20"/>
          <w:szCs w:val="20"/>
          <w:color w:val="auto"/>
        </w:rPr>
      </w:pPr>
      <w:r>
        <w:rPr>
          <w:rFonts w:ascii="Courier New" w:cs="Courier New" w:eastAsia="Courier New" w:hAnsi="Courier New"/>
          <w:sz w:val="15"/>
          <w:szCs w:val="15"/>
          <w:color w:val="auto"/>
        </w:rPr>
        <w:t>Section 4.1. Each of the Borrower, the Subsidiary Borrowers and the Subsidiary Guarantors hereby represents and warrants that on the Effective Date, both before and after giving effect to this Amendment, no Default or Event of Default shall exist or be continuing under the Parent Facility or the Subsidiary Facility.</w:t>
      </w:r>
    </w:p>
    <w:p>
      <w:pPr>
        <w:spacing w:after="0" w:line="342"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ARTICLE V</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Miscellaneous</w:t>
      </w:r>
    </w:p>
    <w:p>
      <w:pPr>
        <w:spacing w:after="0" w:line="175" w:lineRule="exact"/>
        <w:rPr>
          <w:sz w:val="20"/>
          <w:szCs w:val="20"/>
          <w:color w:val="auto"/>
        </w:rPr>
      </w:pPr>
    </w:p>
    <w:p>
      <w:pPr>
        <w:ind w:right="3179" w:firstLine="1058"/>
        <w:spacing w:after="0" w:line="237" w:lineRule="auto"/>
        <w:rPr>
          <w:sz w:val="20"/>
          <w:szCs w:val="20"/>
          <w:color w:val="auto"/>
        </w:rPr>
      </w:pPr>
      <w:r>
        <w:rPr>
          <w:rFonts w:ascii="Courier New" w:cs="Courier New" w:eastAsia="Courier New" w:hAnsi="Courier New"/>
          <w:sz w:val="15"/>
          <w:szCs w:val="15"/>
          <w:color w:val="auto"/>
        </w:rPr>
        <w:t>Section 5.1. Capitalized terms used herein and not otherwise defined herein shall have the meanings ascribed to them in each of the Parent Facility and the Subsidiary Facility.</w:t>
      </w:r>
    </w:p>
    <w:p>
      <w:pPr>
        <w:spacing w:after="0" w:line="175" w:lineRule="exact"/>
        <w:rPr>
          <w:sz w:val="20"/>
          <w:szCs w:val="20"/>
          <w:color w:val="auto"/>
        </w:rPr>
      </w:pPr>
    </w:p>
    <w:p>
      <w:pPr>
        <w:ind w:right="3359" w:firstLine="1058"/>
        <w:spacing w:after="0" w:line="237" w:lineRule="auto"/>
        <w:rPr>
          <w:sz w:val="20"/>
          <w:szCs w:val="20"/>
          <w:color w:val="auto"/>
        </w:rPr>
      </w:pPr>
      <w:r>
        <w:rPr>
          <w:rFonts w:ascii="Courier New" w:cs="Courier New" w:eastAsia="Courier New" w:hAnsi="Courier New"/>
          <w:sz w:val="15"/>
          <w:szCs w:val="15"/>
          <w:color w:val="auto"/>
        </w:rPr>
        <w:t>Section 5.2. Except as amended hereby, all of the terms of each of the Parent Facility and the Subsidiary Facility shall remain and continue in full force and effect and are hereby confirmed in all respects.</w:t>
      </w:r>
    </w:p>
    <w:p>
      <w:pPr>
        <w:spacing w:after="0" w:line="175" w:lineRule="exact"/>
        <w:rPr>
          <w:sz w:val="20"/>
          <w:szCs w:val="20"/>
          <w:color w:val="auto"/>
        </w:rPr>
      </w:pPr>
    </w:p>
    <w:p>
      <w:pPr>
        <w:ind w:right="3879" w:firstLine="1058"/>
        <w:spacing w:after="0" w:line="235" w:lineRule="auto"/>
        <w:rPr>
          <w:sz w:val="20"/>
          <w:szCs w:val="20"/>
          <w:color w:val="auto"/>
        </w:rPr>
      </w:pPr>
      <w:r>
        <w:rPr>
          <w:rFonts w:ascii="Courier New" w:cs="Courier New" w:eastAsia="Courier New" w:hAnsi="Courier New"/>
          <w:sz w:val="15"/>
          <w:szCs w:val="15"/>
          <w:color w:val="auto"/>
        </w:rPr>
        <w:t>Section 5.3. This Amendment shall be a Loan Document for the purposes of the Parent Facility and Subsidiary Facility.</w:t>
      </w:r>
    </w:p>
    <w:p>
      <w:pPr>
        <w:spacing w:after="0" w:line="176" w:lineRule="exact"/>
        <w:rPr>
          <w:sz w:val="20"/>
          <w:szCs w:val="20"/>
          <w:color w:val="auto"/>
        </w:rPr>
      </w:pPr>
    </w:p>
    <w:p>
      <w:pPr>
        <w:ind w:right="3179" w:firstLine="1058"/>
        <w:spacing w:after="0" w:line="237" w:lineRule="auto"/>
        <w:rPr>
          <w:sz w:val="20"/>
          <w:szCs w:val="20"/>
          <w:color w:val="auto"/>
        </w:rPr>
      </w:pPr>
      <w:r>
        <w:rPr>
          <w:rFonts w:ascii="Courier New" w:cs="Courier New" w:eastAsia="Courier New" w:hAnsi="Courier New"/>
          <w:sz w:val="15"/>
          <w:szCs w:val="15"/>
          <w:color w:val="auto"/>
        </w:rPr>
        <w:t>Section 5.4. This Amendment may be signed in any number of counterparts, each of which shall be an original, with the same effect as if the signatures thereto were upon the same instrument. Delivery of an executed counterpart of a signature page of this Amendment by telecopier shall be effective as delivery of a manually executed counterpart of this Amendment.</w:t>
      </w:r>
    </w:p>
    <w:p>
      <w:pPr>
        <w:spacing w:after="0" w:line="178" w:lineRule="exact"/>
        <w:rPr>
          <w:sz w:val="20"/>
          <w:szCs w:val="20"/>
          <w:color w:val="auto"/>
        </w:rPr>
      </w:pPr>
    </w:p>
    <w:p>
      <w:pPr>
        <w:ind w:right="3259" w:firstLine="1058"/>
        <w:spacing w:after="0" w:line="237" w:lineRule="auto"/>
        <w:rPr>
          <w:sz w:val="20"/>
          <w:szCs w:val="20"/>
          <w:color w:val="auto"/>
        </w:rPr>
      </w:pPr>
      <w:r>
        <w:rPr>
          <w:rFonts w:ascii="Courier New" w:cs="Courier New" w:eastAsia="Courier New" w:hAnsi="Courier New"/>
          <w:sz w:val="15"/>
          <w:szCs w:val="15"/>
          <w:color w:val="auto"/>
        </w:rPr>
        <w:t>Section 5.5. THIS AMENDMENT AND THE RIGHTS AND OBLIGATIONS OF THE PARTIES HERETO SHALL BE GOVERNED BY, AND CONSTRUED IN ACCORDANCE WITH, THE LAWS OF THE STATE OF NEW YORK.</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2" w:right="1440" w:bottom="1440" w:gutter="0" w:footer="0" w:header="0"/>
        </w:sectPr>
      </w:pPr>
    </w:p>
    <w:bookmarkStart w:id="111" w:name="page112"/>
    <w:bookmarkEnd w:id="111"/>
    <w:p>
      <w:pPr>
        <w:ind w:right="3179" w:firstLine="1058"/>
        <w:spacing w:after="0" w:line="235" w:lineRule="auto"/>
        <w:rPr>
          <w:sz w:val="20"/>
          <w:szCs w:val="20"/>
          <w:color w:val="auto"/>
        </w:rPr>
      </w:pPr>
      <w:r>
        <w:rPr>
          <w:rFonts w:ascii="Courier New" w:cs="Courier New" w:eastAsia="Courier New" w:hAnsi="Courier New"/>
          <w:sz w:val="15"/>
          <w:szCs w:val="15"/>
          <w:color w:val="auto"/>
        </w:rPr>
        <w:t>IN WITNESS WHEREOF, the parties hereto have caused this Amendment to be duly executed as of the date first above written.</w:t>
      </w:r>
    </w:p>
    <w:p>
      <w:pPr>
        <w:spacing w:after="0" w:line="34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VIACOM INC., as Borrower</w:t>
      </w:r>
    </w:p>
    <w:p>
      <w:pPr>
        <w:spacing w:after="0" w:line="33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By: /s/ Vaughn A. Clarke</w:t>
      </w:r>
    </w:p>
    <w:p>
      <w:pPr>
        <w:ind w:left="3420"/>
        <w:spacing w:after="0"/>
        <w:rPr>
          <w:sz w:val="20"/>
          <w:szCs w:val="20"/>
          <w:color w:val="auto"/>
        </w:rPr>
      </w:pPr>
      <w:r>
        <w:rPr>
          <w:rFonts w:ascii="Courier New" w:cs="Courier New" w:eastAsia="Courier New" w:hAnsi="Courier New"/>
          <w:sz w:val="15"/>
          <w:szCs w:val="15"/>
          <w:color w:val="auto"/>
        </w:rPr>
        <w:t>---------------------</w:t>
      </w:r>
    </w:p>
    <w:p>
      <w:pPr>
        <w:ind w:left="3420"/>
        <w:spacing w:after="0"/>
        <w:rPr>
          <w:sz w:val="20"/>
          <w:szCs w:val="20"/>
          <w:color w:val="auto"/>
        </w:rPr>
      </w:pPr>
      <w:r>
        <w:rPr>
          <w:rFonts w:ascii="Courier New" w:cs="Courier New" w:eastAsia="Courier New" w:hAnsi="Courier New"/>
          <w:sz w:val="15"/>
          <w:szCs w:val="15"/>
          <w:color w:val="auto"/>
        </w:rPr>
        <w:t>Name: Vaughn A. Clarke</w:t>
      </w:r>
    </w:p>
    <w:p>
      <w:pPr>
        <w:ind w:left="3420"/>
        <w:spacing w:after="0" w:line="238" w:lineRule="auto"/>
        <w:rPr>
          <w:sz w:val="20"/>
          <w:szCs w:val="20"/>
          <w:color w:val="auto"/>
        </w:rPr>
      </w:pPr>
      <w:r>
        <w:rPr>
          <w:rFonts w:ascii="Courier New" w:cs="Courier New" w:eastAsia="Courier New" w:hAnsi="Courier New"/>
          <w:sz w:val="15"/>
          <w:szCs w:val="15"/>
          <w:color w:val="auto"/>
        </w:rPr>
        <w:t>Title: Senior Vice</w:t>
      </w:r>
    </w:p>
    <w:p>
      <w:pPr>
        <w:ind w:left="4040"/>
        <w:spacing w:after="0"/>
        <w:rPr>
          <w:sz w:val="20"/>
          <w:szCs w:val="20"/>
          <w:color w:val="auto"/>
        </w:rPr>
      </w:pPr>
      <w:r>
        <w:rPr>
          <w:rFonts w:ascii="Courier New" w:cs="Courier New" w:eastAsia="Courier New" w:hAnsi="Courier New"/>
          <w:sz w:val="15"/>
          <w:szCs w:val="15"/>
          <w:color w:val="auto"/>
        </w:rPr>
        <w:t>President, Treasurer</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VIACOM INTERNATIONAL INC., as a</w:t>
      </w:r>
    </w:p>
    <w:p>
      <w:pPr>
        <w:ind w:left="3160"/>
        <w:spacing w:after="0"/>
        <w:rPr>
          <w:sz w:val="20"/>
          <w:szCs w:val="20"/>
          <w:color w:val="auto"/>
        </w:rPr>
      </w:pPr>
      <w:r>
        <w:rPr>
          <w:rFonts w:ascii="Courier New" w:cs="Courier New" w:eastAsia="Courier New" w:hAnsi="Courier New"/>
          <w:sz w:val="15"/>
          <w:szCs w:val="15"/>
          <w:color w:val="auto"/>
        </w:rPr>
        <w:t>Subsidiary Borrower and as a</w:t>
      </w:r>
    </w:p>
    <w:p>
      <w:pPr>
        <w:ind w:left="3160"/>
        <w:spacing w:after="0"/>
        <w:rPr>
          <w:sz w:val="20"/>
          <w:szCs w:val="20"/>
          <w:color w:val="auto"/>
        </w:rPr>
      </w:pPr>
      <w:r>
        <w:rPr>
          <w:rFonts w:ascii="Courier New" w:cs="Courier New" w:eastAsia="Courier New" w:hAnsi="Courier New"/>
          <w:sz w:val="15"/>
          <w:szCs w:val="15"/>
          <w:color w:val="auto"/>
        </w:rPr>
        <w:t>Subsidiary Guarantor</w:t>
      </w:r>
    </w:p>
    <w:p>
      <w:pPr>
        <w:spacing w:after="0" w:line="33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By: /s/ Vaughn A. Clarke</w:t>
      </w:r>
    </w:p>
    <w:p>
      <w:pPr>
        <w:ind w:left="3420"/>
        <w:spacing w:after="0"/>
        <w:rPr>
          <w:sz w:val="20"/>
          <w:szCs w:val="20"/>
          <w:color w:val="auto"/>
        </w:rPr>
      </w:pPr>
      <w:r>
        <w:rPr>
          <w:rFonts w:ascii="Courier New" w:cs="Courier New" w:eastAsia="Courier New" w:hAnsi="Courier New"/>
          <w:sz w:val="15"/>
          <w:szCs w:val="15"/>
          <w:color w:val="auto"/>
        </w:rPr>
        <w:t>---------------------</w:t>
      </w:r>
    </w:p>
    <w:p>
      <w:pPr>
        <w:ind w:left="3420"/>
        <w:spacing w:after="0"/>
        <w:rPr>
          <w:sz w:val="20"/>
          <w:szCs w:val="20"/>
          <w:color w:val="auto"/>
        </w:rPr>
      </w:pPr>
      <w:r>
        <w:rPr>
          <w:rFonts w:ascii="Courier New" w:cs="Courier New" w:eastAsia="Courier New" w:hAnsi="Courier New"/>
          <w:sz w:val="15"/>
          <w:szCs w:val="15"/>
          <w:color w:val="auto"/>
        </w:rPr>
        <w:t>Name: Vaughn A. Clarke</w:t>
      </w:r>
    </w:p>
    <w:p>
      <w:pPr>
        <w:ind w:left="3420"/>
        <w:spacing w:after="0" w:line="238" w:lineRule="auto"/>
        <w:rPr>
          <w:sz w:val="20"/>
          <w:szCs w:val="20"/>
          <w:color w:val="auto"/>
        </w:rPr>
      </w:pPr>
      <w:r>
        <w:rPr>
          <w:rFonts w:ascii="Courier New" w:cs="Courier New" w:eastAsia="Courier New" w:hAnsi="Courier New"/>
          <w:sz w:val="15"/>
          <w:szCs w:val="15"/>
          <w:color w:val="auto"/>
        </w:rPr>
        <w:t>Title: Senior Vice</w:t>
      </w:r>
    </w:p>
    <w:p>
      <w:pPr>
        <w:ind w:left="4040"/>
        <w:spacing w:after="0"/>
        <w:rPr>
          <w:sz w:val="20"/>
          <w:szCs w:val="20"/>
          <w:color w:val="auto"/>
        </w:rPr>
      </w:pPr>
      <w:r>
        <w:rPr>
          <w:rFonts w:ascii="Courier New" w:cs="Courier New" w:eastAsia="Courier New" w:hAnsi="Courier New"/>
          <w:sz w:val="15"/>
          <w:szCs w:val="15"/>
          <w:color w:val="auto"/>
        </w:rPr>
        <w:t>President, Treasurer</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On behalf of the following Subsidiary</w:t>
      </w:r>
    </w:p>
    <w:p>
      <w:pPr>
        <w:ind w:left="3160"/>
        <w:spacing w:after="0"/>
        <w:rPr>
          <w:sz w:val="20"/>
          <w:szCs w:val="20"/>
          <w:color w:val="auto"/>
        </w:rPr>
      </w:pPr>
      <w:r>
        <w:rPr>
          <w:rFonts w:ascii="Courier New" w:cs="Courier New" w:eastAsia="Courier New" w:hAnsi="Courier New"/>
          <w:sz w:val="15"/>
          <w:szCs w:val="15"/>
          <w:color w:val="auto"/>
        </w:rPr>
        <w:t>Borrowers:</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VIACOM CABLEVISION OF DAYTON INC.,</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WNYT INC.,</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WMZQ INC. and</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WVIT INC.</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PARAMOUNT COMMUNICATIONS INC., as a</w:t>
      </w:r>
    </w:p>
    <w:p>
      <w:pPr>
        <w:ind w:left="3160"/>
        <w:spacing w:after="0"/>
        <w:rPr>
          <w:sz w:val="20"/>
          <w:szCs w:val="20"/>
          <w:color w:val="auto"/>
        </w:rPr>
      </w:pPr>
      <w:r>
        <w:rPr>
          <w:rFonts w:ascii="Courier New" w:cs="Courier New" w:eastAsia="Courier New" w:hAnsi="Courier New"/>
          <w:sz w:val="15"/>
          <w:szCs w:val="15"/>
          <w:color w:val="auto"/>
        </w:rPr>
        <w:t>Subsidiary Guarantor</w:t>
      </w:r>
    </w:p>
    <w:p>
      <w:pPr>
        <w:spacing w:after="0" w:line="33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By: /s/ Vaughn A. Clarke</w:t>
      </w:r>
    </w:p>
    <w:p>
      <w:pPr>
        <w:ind w:left="3420"/>
        <w:spacing w:after="0"/>
        <w:rPr>
          <w:sz w:val="20"/>
          <w:szCs w:val="20"/>
          <w:color w:val="auto"/>
        </w:rPr>
      </w:pPr>
      <w:r>
        <w:rPr>
          <w:rFonts w:ascii="Courier New" w:cs="Courier New" w:eastAsia="Courier New" w:hAnsi="Courier New"/>
          <w:sz w:val="15"/>
          <w:szCs w:val="15"/>
          <w:color w:val="auto"/>
        </w:rPr>
        <w:t>---------------------</w:t>
      </w:r>
    </w:p>
    <w:p>
      <w:pPr>
        <w:ind w:left="3420"/>
        <w:spacing w:after="0"/>
        <w:rPr>
          <w:sz w:val="20"/>
          <w:szCs w:val="20"/>
          <w:color w:val="auto"/>
        </w:rPr>
      </w:pPr>
      <w:r>
        <w:rPr>
          <w:rFonts w:ascii="Courier New" w:cs="Courier New" w:eastAsia="Courier New" w:hAnsi="Courier New"/>
          <w:sz w:val="15"/>
          <w:szCs w:val="15"/>
          <w:color w:val="auto"/>
        </w:rPr>
        <w:t>Name: Vaughn A. Clarke</w:t>
      </w:r>
    </w:p>
    <w:p>
      <w:pPr>
        <w:ind w:left="3420"/>
        <w:spacing w:after="0" w:line="238" w:lineRule="auto"/>
        <w:rPr>
          <w:sz w:val="20"/>
          <w:szCs w:val="20"/>
          <w:color w:val="auto"/>
        </w:rPr>
      </w:pPr>
      <w:r>
        <w:rPr>
          <w:rFonts w:ascii="Courier New" w:cs="Courier New" w:eastAsia="Courier New" w:hAnsi="Courier New"/>
          <w:sz w:val="15"/>
          <w:szCs w:val="15"/>
          <w:color w:val="auto"/>
        </w:rPr>
        <w:t>Title: Senior Vice</w:t>
      </w:r>
    </w:p>
    <w:p>
      <w:pPr>
        <w:ind w:left="4040"/>
        <w:spacing w:after="0"/>
        <w:rPr>
          <w:sz w:val="20"/>
          <w:szCs w:val="20"/>
          <w:color w:val="auto"/>
        </w:rPr>
      </w:pPr>
      <w:r>
        <w:rPr>
          <w:rFonts w:ascii="Courier New" w:cs="Courier New" w:eastAsia="Courier New" w:hAnsi="Courier New"/>
          <w:sz w:val="15"/>
          <w:szCs w:val="15"/>
          <w:color w:val="auto"/>
        </w:rPr>
        <w:t>President, Treasurer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797" w:right="1440" w:bottom="1440" w:gutter="0" w:footer="0" w:header="0"/>
        </w:sectPr>
      </w:pPr>
    </w:p>
    <w:bookmarkStart w:id="112" w:name="page113"/>
    <w:bookmarkEnd w:id="112"/>
    <w:p>
      <w:pPr>
        <w:ind w:left="1960"/>
        <w:spacing w:after="0"/>
        <w:rPr>
          <w:sz w:val="20"/>
          <w:szCs w:val="20"/>
          <w:color w:val="auto"/>
        </w:rPr>
      </w:pPr>
      <w:r>
        <w:rPr>
          <w:rFonts w:ascii="Courier New" w:cs="Courier New" w:eastAsia="Courier New" w:hAnsi="Courier New"/>
          <w:sz w:val="15"/>
          <w:szCs w:val="15"/>
          <w:color w:val="auto"/>
        </w:rPr>
        <w:t>EXISTING LENDERS</w:t>
      </w:r>
    </w:p>
    <w:p>
      <w:pPr>
        <w:spacing w:after="0" w:line="169"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Managing Agents</w:t>
      </w:r>
    </w:p>
    <w:p>
      <w:pPr>
        <w:spacing w:after="0" w:line="169"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THE BANK OF NEW YORK, as Managing</w:t>
      </w:r>
    </w:p>
    <w:p>
      <w:pPr>
        <w:ind w:left="1960"/>
        <w:spacing w:after="0"/>
        <w:rPr>
          <w:sz w:val="20"/>
          <w:szCs w:val="20"/>
          <w:color w:val="auto"/>
        </w:rPr>
      </w:pPr>
      <w:r>
        <w:rPr>
          <w:rFonts w:ascii="Courier New" w:cs="Courier New" w:eastAsia="Courier New" w:hAnsi="Courier New"/>
          <w:sz w:val="15"/>
          <w:szCs w:val="15"/>
          <w:color w:val="auto"/>
        </w:rPr>
        <w:t>Agent, the Documentation Agent and</w:t>
      </w:r>
    </w:p>
    <w:p>
      <w:pPr>
        <w:ind w:left="2060"/>
        <w:spacing w:after="0"/>
        <w:rPr>
          <w:sz w:val="20"/>
          <w:szCs w:val="20"/>
          <w:color w:val="auto"/>
        </w:rPr>
      </w:pPr>
      <w:r>
        <w:rPr>
          <w:rFonts w:ascii="Courier New" w:cs="Courier New" w:eastAsia="Courier New" w:hAnsi="Courier New"/>
          <w:sz w:val="15"/>
          <w:szCs w:val="15"/>
          <w:color w:val="auto"/>
        </w:rPr>
        <w:t>a Bank</w:t>
      </w:r>
    </w:p>
    <w:p>
      <w:pPr>
        <w:spacing w:after="0" w:line="338"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By: /s/ Vincent L. Pacilio</w:t>
      </w:r>
    </w:p>
    <w:p>
      <w:pPr>
        <w:ind w:left="2220"/>
        <w:spacing w:after="0"/>
        <w:rPr>
          <w:sz w:val="20"/>
          <w:szCs w:val="20"/>
          <w:color w:val="auto"/>
        </w:rPr>
      </w:pPr>
      <w:r>
        <w:rPr>
          <w:rFonts w:ascii="Courier New" w:cs="Courier New" w:eastAsia="Courier New" w:hAnsi="Courier New"/>
          <w:sz w:val="15"/>
          <w:szCs w:val="15"/>
          <w:color w:val="auto"/>
        </w:rPr>
        <w:t>----------------------------</w:t>
      </w:r>
    </w:p>
    <w:p>
      <w:pPr>
        <w:ind w:left="2220"/>
        <w:spacing w:after="0"/>
        <w:rPr>
          <w:sz w:val="20"/>
          <w:szCs w:val="20"/>
          <w:color w:val="auto"/>
        </w:rPr>
      </w:pPr>
      <w:r>
        <w:rPr>
          <w:rFonts w:ascii="Courier New" w:cs="Courier New" w:eastAsia="Courier New" w:hAnsi="Courier New"/>
          <w:sz w:val="15"/>
          <w:szCs w:val="15"/>
          <w:color w:val="auto"/>
        </w:rPr>
        <w:t>Name: Vincent L. Pacilio</w:t>
      </w:r>
    </w:p>
    <w:p>
      <w:pPr>
        <w:ind w:left="2220"/>
        <w:spacing w:after="0"/>
        <w:tabs>
          <w:tab w:leader="none" w:pos="292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339"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CITIBANK, N.A., as Managing Agent,</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the Administrative Agent and a Bank</w:t>
      </w:r>
    </w:p>
    <w:p>
      <w:pPr>
        <w:spacing w:after="0" w:line="34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By: /s/ David D. Clark</w:t>
      </w:r>
    </w:p>
    <w:p>
      <w:pPr>
        <w:ind w:left="2220"/>
        <w:spacing w:after="0"/>
        <w:rPr>
          <w:sz w:val="20"/>
          <w:szCs w:val="20"/>
          <w:color w:val="auto"/>
        </w:rPr>
      </w:pPr>
      <w:r>
        <w:rPr>
          <w:rFonts w:ascii="Courier New" w:cs="Courier New" w:eastAsia="Courier New" w:hAnsi="Courier New"/>
          <w:sz w:val="15"/>
          <w:szCs w:val="15"/>
          <w:color w:val="auto"/>
        </w:rPr>
        <w:t>----------------------------</w:t>
      </w:r>
    </w:p>
    <w:p>
      <w:pPr>
        <w:ind w:left="2220"/>
        <w:spacing w:after="0"/>
        <w:rPr>
          <w:sz w:val="20"/>
          <w:szCs w:val="20"/>
          <w:color w:val="auto"/>
        </w:rPr>
      </w:pPr>
      <w:r>
        <w:rPr>
          <w:rFonts w:ascii="Courier New" w:cs="Courier New" w:eastAsia="Courier New" w:hAnsi="Courier New"/>
          <w:sz w:val="15"/>
          <w:szCs w:val="15"/>
          <w:color w:val="auto"/>
        </w:rPr>
        <w:t>Name: David D. Clark</w:t>
      </w:r>
    </w:p>
    <w:p>
      <w:pPr>
        <w:ind w:left="222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MORGAN GUARANTY TRUST COMPANY OF</w:t>
      </w:r>
    </w:p>
    <w:p>
      <w:pPr>
        <w:ind w:left="1960"/>
        <w:spacing w:after="0"/>
        <w:rPr>
          <w:sz w:val="20"/>
          <w:szCs w:val="20"/>
          <w:color w:val="auto"/>
        </w:rPr>
      </w:pPr>
      <w:r>
        <w:rPr>
          <w:rFonts w:ascii="Courier New" w:cs="Courier New" w:eastAsia="Courier New" w:hAnsi="Courier New"/>
          <w:sz w:val="15"/>
          <w:szCs w:val="15"/>
          <w:color w:val="auto"/>
        </w:rPr>
        <w:t>NEW YORK, as Managing Agent and a</w:t>
      </w:r>
    </w:p>
    <w:p>
      <w:pPr>
        <w:ind w:left="1960"/>
        <w:spacing w:after="0"/>
        <w:rPr>
          <w:sz w:val="20"/>
          <w:szCs w:val="20"/>
          <w:color w:val="auto"/>
        </w:rPr>
      </w:pPr>
      <w:r>
        <w:rPr>
          <w:rFonts w:ascii="Courier New" w:cs="Courier New" w:eastAsia="Courier New" w:hAnsi="Courier New"/>
          <w:sz w:val="15"/>
          <w:szCs w:val="15"/>
          <w:color w:val="auto"/>
        </w:rPr>
        <w:t>Bank</w:t>
      </w:r>
    </w:p>
    <w:p>
      <w:pPr>
        <w:spacing w:after="0" w:line="338"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By: /s/ Stephen J. Kenneally</w:t>
      </w:r>
    </w:p>
    <w:p>
      <w:pPr>
        <w:ind w:left="2220"/>
        <w:spacing w:after="0"/>
        <w:rPr>
          <w:sz w:val="20"/>
          <w:szCs w:val="20"/>
          <w:color w:val="auto"/>
        </w:rPr>
      </w:pPr>
      <w:r>
        <w:rPr>
          <w:rFonts w:ascii="Courier New" w:cs="Courier New" w:eastAsia="Courier New" w:hAnsi="Courier New"/>
          <w:sz w:val="15"/>
          <w:szCs w:val="15"/>
          <w:color w:val="auto"/>
        </w:rPr>
        <w:t>----------------------------</w:t>
      </w:r>
    </w:p>
    <w:p>
      <w:pPr>
        <w:ind w:left="2220"/>
        <w:spacing w:after="0"/>
        <w:rPr>
          <w:sz w:val="20"/>
          <w:szCs w:val="20"/>
          <w:color w:val="auto"/>
        </w:rPr>
      </w:pPr>
      <w:r>
        <w:rPr>
          <w:rFonts w:ascii="Courier New" w:cs="Courier New" w:eastAsia="Courier New" w:hAnsi="Courier New"/>
          <w:sz w:val="15"/>
          <w:szCs w:val="15"/>
          <w:color w:val="auto"/>
        </w:rPr>
        <w:t>Name: Stephen J. Kenneally</w:t>
      </w:r>
    </w:p>
    <w:p>
      <w:pPr>
        <w:ind w:left="222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BANK OF AMERICA NT&amp;SA, as Managing</w:t>
      </w:r>
    </w:p>
    <w:p>
      <w:pPr>
        <w:ind w:left="1960"/>
        <w:spacing w:after="0"/>
        <w:rPr>
          <w:sz w:val="20"/>
          <w:szCs w:val="20"/>
          <w:color w:val="auto"/>
        </w:rPr>
      </w:pPr>
      <w:r>
        <w:rPr>
          <w:rFonts w:ascii="Courier New" w:cs="Courier New" w:eastAsia="Courier New" w:hAnsi="Courier New"/>
          <w:sz w:val="15"/>
          <w:szCs w:val="15"/>
          <w:color w:val="auto"/>
        </w:rPr>
        <w:t>Agent and a Bank</w:t>
      </w:r>
    </w:p>
    <w:p>
      <w:pPr>
        <w:spacing w:after="0" w:line="338"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By: /s/ Nancy L. Sun</w:t>
      </w:r>
    </w:p>
    <w:p>
      <w:pPr>
        <w:ind w:left="2220"/>
        <w:spacing w:after="0"/>
        <w:rPr>
          <w:sz w:val="20"/>
          <w:szCs w:val="20"/>
          <w:color w:val="auto"/>
        </w:rPr>
      </w:pPr>
      <w:r>
        <w:rPr>
          <w:rFonts w:ascii="Courier New" w:cs="Courier New" w:eastAsia="Courier New" w:hAnsi="Courier New"/>
          <w:sz w:val="15"/>
          <w:szCs w:val="15"/>
          <w:color w:val="auto"/>
        </w:rPr>
        <w:t>----------------------------</w:t>
      </w:r>
    </w:p>
    <w:p>
      <w:pPr>
        <w:ind w:left="2220"/>
        <w:spacing w:after="0"/>
        <w:rPr>
          <w:sz w:val="20"/>
          <w:szCs w:val="20"/>
          <w:color w:val="auto"/>
        </w:rPr>
      </w:pPr>
      <w:r>
        <w:rPr>
          <w:rFonts w:ascii="Courier New" w:cs="Courier New" w:eastAsia="Courier New" w:hAnsi="Courier New"/>
          <w:sz w:val="15"/>
          <w:szCs w:val="15"/>
          <w:color w:val="auto"/>
        </w:rPr>
        <w:t>Name: Nancy L. Sun</w:t>
      </w:r>
    </w:p>
    <w:p>
      <w:pPr>
        <w:ind w:left="2220"/>
        <w:spacing w:after="0"/>
        <w:tabs>
          <w:tab w:leader="none" w:pos="292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16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019"/>
          </w:cols>
          <w:pgMar w:left="1440" w:top="622" w:right="1440" w:bottom="1440" w:gutter="0" w:footer="0" w:header="0"/>
        </w:sectPr>
      </w:pPr>
    </w:p>
    <w:bookmarkStart w:id="113" w:name="page114"/>
    <w:bookmarkEnd w:id="113"/>
    <w:p>
      <w:pPr>
        <w:ind w:left="1960"/>
        <w:spacing w:after="0"/>
        <w:rPr>
          <w:sz w:val="20"/>
          <w:szCs w:val="20"/>
          <w:color w:val="auto"/>
        </w:rPr>
      </w:pPr>
      <w:r>
        <w:rPr>
          <w:rFonts w:ascii="Courier New" w:cs="Courier New" w:eastAsia="Courier New" w:hAnsi="Courier New"/>
          <w:sz w:val="15"/>
          <w:szCs w:val="15"/>
          <w:color w:val="auto"/>
        </w:rPr>
        <w:t>Agents</w:t>
      </w:r>
    </w:p>
    <w:p>
      <w:pPr>
        <w:spacing w:after="0" w:line="169"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BANK OF MONTREAL, as Agent and a</w:t>
      </w:r>
    </w:p>
    <w:p>
      <w:pPr>
        <w:ind w:left="1960"/>
        <w:spacing w:after="0"/>
        <w:rPr>
          <w:sz w:val="20"/>
          <w:szCs w:val="20"/>
          <w:color w:val="auto"/>
        </w:rPr>
      </w:pPr>
      <w:r>
        <w:rPr>
          <w:rFonts w:ascii="Courier New" w:cs="Courier New" w:eastAsia="Courier New" w:hAnsi="Courier New"/>
          <w:sz w:val="15"/>
          <w:szCs w:val="15"/>
          <w:color w:val="auto"/>
        </w:rPr>
        <w:t>Bank</w:t>
      </w:r>
    </w:p>
    <w:p>
      <w:pPr>
        <w:spacing w:after="0" w:line="338"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By: /s/ Yvonne Bos</w:t>
      </w:r>
    </w:p>
    <w:p>
      <w:pPr>
        <w:ind w:left="2220"/>
        <w:spacing w:after="0"/>
        <w:rPr>
          <w:sz w:val="20"/>
          <w:szCs w:val="20"/>
          <w:color w:val="auto"/>
        </w:rPr>
      </w:pPr>
      <w:r>
        <w:rPr>
          <w:rFonts w:ascii="Courier New" w:cs="Courier New" w:eastAsia="Courier New" w:hAnsi="Courier New"/>
          <w:sz w:val="15"/>
          <w:szCs w:val="15"/>
          <w:color w:val="auto"/>
        </w:rPr>
        <w:t>----------------------------</w:t>
      </w:r>
    </w:p>
    <w:p>
      <w:pPr>
        <w:ind w:left="2220"/>
        <w:spacing w:after="0"/>
        <w:rPr>
          <w:sz w:val="20"/>
          <w:szCs w:val="20"/>
          <w:color w:val="auto"/>
        </w:rPr>
      </w:pPr>
      <w:r>
        <w:rPr>
          <w:rFonts w:ascii="Courier New" w:cs="Courier New" w:eastAsia="Courier New" w:hAnsi="Courier New"/>
          <w:sz w:val="15"/>
          <w:szCs w:val="15"/>
          <w:color w:val="auto"/>
        </w:rPr>
        <w:t>Name: Yvonne Bos</w:t>
      </w:r>
    </w:p>
    <w:p>
      <w:pPr>
        <w:ind w:left="2220"/>
        <w:spacing w:after="0" w:line="238" w:lineRule="auto"/>
        <w:rPr>
          <w:sz w:val="20"/>
          <w:szCs w:val="20"/>
          <w:color w:val="auto"/>
        </w:rPr>
      </w:pPr>
      <w:r>
        <w:rPr>
          <w:rFonts w:ascii="Courier New" w:cs="Courier New" w:eastAsia="Courier New" w:hAnsi="Courier New"/>
          <w:sz w:val="15"/>
          <w:szCs w:val="15"/>
          <w:color w:val="auto"/>
        </w:rPr>
        <w:t>Title: Managing Director</w:t>
      </w:r>
    </w:p>
    <w:p>
      <w:pPr>
        <w:spacing w:after="0" w:line="339"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THE BANK OF NOVA SCOTIA, as Agent</w:t>
      </w:r>
    </w:p>
    <w:p>
      <w:pPr>
        <w:ind w:left="1960"/>
        <w:spacing w:after="0"/>
        <w:rPr>
          <w:sz w:val="20"/>
          <w:szCs w:val="20"/>
          <w:color w:val="auto"/>
        </w:rPr>
      </w:pPr>
      <w:r>
        <w:rPr>
          <w:rFonts w:ascii="Courier New" w:cs="Courier New" w:eastAsia="Courier New" w:hAnsi="Courier New"/>
          <w:sz w:val="15"/>
          <w:szCs w:val="15"/>
          <w:color w:val="auto"/>
        </w:rPr>
        <w:t>and a Bank</w:t>
      </w:r>
    </w:p>
    <w:p>
      <w:pPr>
        <w:spacing w:after="0" w:line="338"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By: /s/ Vince Fitzgerald</w:t>
      </w:r>
    </w:p>
    <w:p>
      <w:pPr>
        <w:ind w:left="2220"/>
        <w:spacing w:after="0"/>
        <w:rPr>
          <w:sz w:val="20"/>
          <w:szCs w:val="20"/>
          <w:color w:val="auto"/>
        </w:rPr>
      </w:pPr>
      <w:r>
        <w:rPr>
          <w:rFonts w:ascii="Courier New" w:cs="Courier New" w:eastAsia="Courier New" w:hAnsi="Courier New"/>
          <w:sz w:val="15"/>
          <w:szCs w:val="15"/>
          <w:color w:val="auto"/>
        </w:rPr>
        <w:t>----------------------------</w:t>
      </w:r>
    </w:p>
    <w:p>
      <w:pPr>
        <w:ind w:left="2220"/>
        <w:spacing w:after="0"/>
        <w:rPr>
          <w:sz w:val="20"/>
          <w:szCs w:val="20"/>
          <w:color w:val="auto"/>
        </w:rPr>
      </w:pPr>
      <w:r>
        <w:rPr>
          <w:rFonts w:ascii="Courier New" w:cs="Courier New" w:eastAsia="Courier New" w:hAnsi="Courier New"/>
          <w:sz w:val="15"/>
          <w:szCs w:val="15"/>
          <w:color w:val="auto"/>
        </w:rPr>
        <w:t>Name: Vince Fitzgerald</w:t>
      </w:r>
    </w:p>
    <w:p>
      <w:pPr>
        <w:ind w:left="222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44"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THE BANK OF TOKYO TRUST COMPANY, as</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Agent and a Bank</w:t>
      </w:r>
    </w:p>
    <w:p>
      <w:pPr>
        <w:spacing w:after="0" w:line="339"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By: /s/ Neal Hoffson</w:t>
      </w:r>
    </w:p>
    <w:p>
      <w:pPr>
        <w:ind w:left="2220"/>
        <w:spacing w:after="0"/>
        <w:rPr>
          <w:sz w:val="20"/>
          <w:szCs w:val="20"/>
          <w:color w:val="auto"/>
        </w:rPr>
      </w:pPr>
      <w:r>
        <w:rPr>
          <w:rFonts w:ascii="Courier New" w:cs="Courier New" w:eastAsia="Courier New" w:hAnsi="Courier New"/>
          <w:sz w:val="15"/>
          <w:szCs w:val="15"/>
          <w:color w:val="auto"/>
        </w:rPr>
        <w:t>----------------------------</w:t>
      </w:r>
    </w:p>
    <w:p>
      <w:pPr>
        <w:ind w:left="2220"/>
        <w:spacing w:after="0"/>
        <w:rPr>
          <w:sz w:val="20"/>
          <w:szCs w:val="20"/>
          <w:color w:val="auto"/>
        </w:rPr>
      </w:pPr>
      <w:r>
        <w:rPr>
          <w:rFonts w:ascii="Courier New" w:cs="Courier New" w:eastAsia="Courier New" w:hAnsi="Courier New"/>
          <w:sz w:val="15"/>
          <w:szCs w:val="15"/>
          <w:color w:val="auto"/>
        </w:rPr>
        <w:t>Name: Neal Hoffson</w:t>
      </w:r>
    </w:p>
    <w:p>
      <w:pPr>
        <w:ind w:left="222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BARCLAYS BANK PLC, as Agent and a</w:t>
      </w:r>
    </w:p>
    <w:p>
      <w:pPr>
        <w:ind w:left="1960"/>
        <w:spacing w:after="0"/>
        <w:rPr>
          <w:sz w:val="20"/>
          <w:szCs w:val="20"/>
          <w:color w:val="auto"/>
        </w:rPr>
      </w:pPr>
      <w:r>
        <w:rPr>
          <w:rFonts w:ascii="Courier New" w:cs="Courier New" w:eastAsia="Courier New" w:hAnsi="Courier New"/>
          <w:sz w:val="15"/>
          <w:szCs w:val="15"/>
          <w:color w:val="auto"/>
        </w:rPr>
        <w:t>Bank</w:t>
      </w:r>
    </w:p>
    <w:p>
      <w:pPr>
        <w:spacing w:after="0" w:line="338"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By: /s/ James L. Hatter</w:t>
      </w:r>
    </w:p>
    <w:p>
      <w:pPr>
        <w:ind w:left="2220"/>
        <w:spacing w:after="0"/>
        <w:rPr>
          <w:sz w:val="20"/>
          <w:szCs w:val="20"/>
          <w:color w:val="auto"/>
        </w:rPr>
      </w:pPr>
      <w:r>
        <w:rPr>
          <w:rFonts w:ascii="Courier New" w:cs="Courier New" w:eastAsia="Courier New" w:hAnsi="Courier New"/>
          <w:sz w:val="15"/>
          <w:szCs w:val="15"/>
          <w:color w:val="auto"/>
        </w:rPr>
        <w:t>----------------------------</w:t>
      </w:r>
    </w:p>
    <w:p>
      <w:pPr>
        <w:ind w:left="2220"/>
        <w:spacing w:after="0"/>
        <w:rPr>
          <w:sz w:val="20"/>
          <w:szCs w:val="20"/>
          <w:color w:val="auto"/>
        </w:rPr>
      </w:pPr>
      <w:r>
        <w:rPr>
          <w:rFonts w:ascii="Courier New" w:cs="Courier New" w:eastAsia="Courier New" w:hAnsi="Courier New"/>
          <w:sz w:val="15"/>
          <w:szCs w:val="15"/>
          <w:color w:val="auto"/>
        </w:rPr>
        <w:t>Name: James L. Hatter</w:t>
      </w:r>
    </w:p>
    <w:p>
      <w:pPr>
        <w:ind w:left="2220"/>
        <w:spacing w:after="0" w:line="238" w:lineRule="auto"/>
        <w:rPr>
          <w:sz w:val="20"/>
          <w:szCs w:val="20"/>
          <w:color w:val="auto"/>
        </w:rPr>
      </w:pPr>
      <w:r>
        <w:rPr>
          <w:rFonts w:ascii="Courier New" w:cs="Courier New" w:eastAsia="Courier New" w:hAnsi="Courier New"/>
          <w:sz w:val="15"/>
          <w:szCs w:val="15"/>
          <w:color w:val="auto"/>
        </w:rPr>
        <w:t>Title: Director</w:t>
      </w:r>
    </w:p>
    <w:p>
      <w:pPr>
        <w:spacing w:after="0" w:line="344"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CANADIAN IMPERIAL BANK OF COMMERCE,</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as Agent and a Bank</w:t>
      </w:r>
    </w:p>
    <w:p>
      <w:pPr>
        <w:spacing w:after="0" w:line="339"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By: /s/ John H. Tyler</w:t>
      </w:r>
    </w:p>
    <w:p>
      <w:pPr>
        <w:ind w:left="2220"/>
        <w:spacing w:after="0"/>
        <w:rPr>
          <w:sz w:val="20"/>
          <w:szCs w:val="20"/>
          <w:color w:val="auto"/>
        </w:rPr>
      </w:pPr>
      <w:r>
        <w:rPr>
          <w:rFonts w:ascii="Courier New" w:cs="Courier New" w:eastAsia="Courier New" w:hAnsi="Courier New"/>
          <w:sz w:val="15"/>
          <w:szCs w:val="15"/>
          <w:color w:val="auto"/>
        </w:rPr>
        <w:t>----------------------------</w:t>
      </w:r>
    </w:p>
    <w:p>
      <w:pPr>
        <w:ind w:left="2220"/>
        <w:spacing w:after="0"/>
        <w:rPr>
          <w:sz w:val="20"/>
          <w:szCs w:val="20"/>
          <w:color w:val="auto"/>
        </w:rPr>
      </w:pPr>
      <w:r>
        <w:rPr>
          <w:rFonts w:ascii="Courier New" w:cs="Courier New" w:eastAsia="Courier New" w:hAnsi="Courier New"/>
          <w:sz w:val="15"/>
          <w:szCs w:val="15"/>
          <w:color w:val="auto"/>
        </w:rPr>
        <w:t>Name: John H. Tyler</w:t>
      </w:r>
    </w:p>
    <w:p>
      <w:pPr>
        <w:ind w:left="222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019"/>
          </w:cols>
          <w:pgMar w:left="1440" w:top="622" w:right="1440" w:bottom="1440" w:gutter="0" w:footer="0" w:header="0"/>
        </w:sectPr>
      </w:pPr>
    </w:p>
    <w:bookmarkStart w:id="114" w:name="page115"/>
    <w:bookmarkEnd w:id="114"/>
    <w:p>
      <w:pPr>
        <w:ind w:left="1960"/>
        <w:spacing w:after="0"/>
        <w:rPr>
          <w:sz w:val="20"/>
          <w:szCs w:val="20"/>
          <w:color w:val="auto"/>
        </w:rPr>
      </w:pPr>
      <w:r>
        <w:rPr>
          <w:rFonts w:ascii="Courier New" w:cs="Courier New" w:eastAsia="Courier New" w:hAnsi="Courier New"/>
          <w:sz w:val="15"/>
          <w:szCs w:val="15"/>
          <w:color w:val="auto"/>
        </w:rPr>
        <w:t>THE CHASE MANHATTAN BANK (NATIONAL</w:t>
      </w:r>
    </w:p>
    <w:p>
      <w:pPr>
        <w:ind w:left="1960"/>
        <w:spacing w:after="0"/>
        <w:rPr>
          <w:sz w:val="20"/>
          <w:szCs w:val="20"/>
          <w:color w:val="auto"/>
        </w:rPr>
      </w:pPr>
      <w:r>
        <w:rPr>
          <w:rFonts w:ascii="Courier New" w:cs="Courier New" w:eastAsia="Courier New" w:hAnsi="Courier New"/>
          <w:sz w:val="15"/>
          <w:szCs w:val="15"/>
          <w:color w:val="auto"/>
        </w:rPr>
        <w:t>ASSOCIATION), as Agent and a Bank</w:t>
      </w:r>
    </w:p>
    <w:p>
      <w:pPr>
        <w:spacing w:after="0" w:line="338"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By: /s/ Bruce Langenkamp</w:t>
      </w:r>
    </w:p>
    <w:p>
      <w:pPr>
        <w:ind w:left="2220"/>
        <w:spacing w:after="0"/>
        <w:rPr>
          <w:sz w:val="20"/>
          <w:szCs w:val="20"/>
          <w:color w:val="auto"/>
        </w:rPr>
      </w:pPr>
      <w:r>
        <w:rPr>
          <w:rFonts w:ascii="Courier New" w:cs="Courier New" w:eastAsia="Courier New" w:hAnsi="Courier New"/>
          <w:sz w:val="15"/>
          <w:szCs w:val="15"/>
          <w:color w:val="auto"/>
        </w:rPr>
        <w:t>----------------------------</w:t>
      </w:r>
    </w:p>
    <w:p>
      <w:pPr>
        <w:ind w:left="2220"/>
        <w:spacing w:after="0"/>
        <w:rPr>
          <w:sz w:val="20"/>
          <w:szCs w:val="20"/>
          <w:color w:val="auto"/>
        </w:rPr>
      </w:pPr>
      <w:r>
        <w:rPr>
          <w:rFonts w:ascii="Courier New" w:cs="Courier New" w:eastAsia="Courier New" w:hAnsi="Courier New"/>
          <w:sz w:val="15"/>
          <w:szCs w:val="15"/>
          <w:color w:val="auto"/>
        </w:rPr>
        <w:t>Name: Bruce Langenkamp</w:t>
      </w:r>
    </w:p>
    <w:p>
      <w:pPr>
        <w:ind w:left="222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CREDIT LYONNAIS CAYMAN ISLAND</w:t>
      </w:r>
    </w:p>
    <w:p>
      <w:pPr>
        <w:ind w:left="1960"/>
        <w:spacing w:after="0"/>
        <w:rPr>
          <w:sz w:val="20"/>
          <w:szCs w:val="20"/>
          <w:color w:val="auto"/>
        </w:rPr>
      </w:pPr>
      <w:r>
        <w:rPr>
          <w:rFonts w:ascii="Courier New" w:cs="Courier New" w:eastAsia="Courier New" w:hAnsi="Courier New"/>
          <w:sz w:val="15"/>
          <w:szCs w:val="15"/>
          <w:color w:val="auto"/>
        </w:rPr>
        <w:t>BRANCH, as Agent and a Bank</w:t>
      </w:r>
    </w:p>
    <w:p>
      <w:pPr>
        <w:spacing w:after="0" w:line="338"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By: /s/ M. Bernadette Collins</w:t>
      </w:r>
    </w:p>
    <w:p>
      <w:pPr>
        <w:ind w:left="2220"/>
        <w:spacing w:after="0"/>
        <w:rPr>
          <w:sz w:val="20"/>
          <w:szCs w:val="20"/>
          <w:color w:val="auto"/>
        </w:rPr>
      </w:pPr>
      <w:r>
        <w:rPr>
          <w:rFonts w:ascii="Courier New" w:cs="Courier New" w:eastAsia="Courier New" w:hAnsi="Courier New"/>
          <w:sz w:val="15"/>
          <w:szCs w:val="15"/>
          <w:color w:val="auto"/>
        </w:rPr>
        <w:t>----------------------------</w:t>
      </w:r>
    </w:p>
    <w:p>
      <w:pPr>
        <w:ind w:left="2220"/>
        <w:spacing w:after="0"/>
        <w:rPr>
          <w:sz w:val="20"/>
          <w:szCs w:val="20"/>
          <w:color w:val="auto"/>
        </w:rPr>
      </w:pPr>
      <w:r>
        <w:rPr>
          <w:rFonts w:ascii="Courier New" w:cs="Courier New" w:eastAsia="Courier New" w:hAnsi="Courier New"/>
          <w:sz w:val="15"/>
          <w:szCs w:val="15"/>
          <w:color w:val="auto"/>
        </w:rPr>
        <w:t>Name: M. Bernadette Collins</w:t>
      </w:r>
    </w:p>
    <w:p>
      <w:pPr>
        <w:ind w:left="222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THE FIRST NATIONAL BANK OF BOSTON,</w:t>
      </w:r>
    </w:p>
    <w:p>
      <w:pPr>
        <w:ind w:left="1960"/>
        <w:spacing w:after="0"/>
        <w:rPr>
          <w:sz w:val="20"/>
          <w:szCs w:val="20"/>
          <w:color w:val="auto"/>
        </w:rPr>
      </w:pPr>
      <w:r>
        <w:rPr>
          <w:rFonts w:ascii="Courier New" w:cs="Courier New" w:eastAsia="Courier New" w:hAnsi="Courier New"/>
          <w:sz w:val="15"/>
          <w:szCs w:val="15"/>
          <w:color w:val="auto"/>
        </w:rPr>
        <w:t>as Agent and a Bank</w:t>
      </w:r>
    </w:p>
    <w:p>
      <w:pPr>
        <w:spacing w:after="0" w:line="338"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By: /s/ Mary M. Barcus</w:t>
      </w:r>
    </w:p>
    <w:p>
      <w:pPr>
        <w:ind w:left="2220"/>
        <w:spacing w:after="0"/>
        <w:rPr>
          <w:sz w:val="20"/>
          <w:szCs w:val="20"/>
          <w:color w:val="auto"/>
        </w:rPr>
      </w:pPr>
      <w:r>
        <w:rPr>
          <w:rFonts w:ascii="Courier New" w:cs="Courier New" w:eastAsia="Courier New" w:hAnsi="Courier New"/>
          <w:sz w:val="15"/>
          <w:szCs w:val="15"/>
          <w:color w:val="auto"/>
        </w:rPr>
        <w:t>----------------------------</w:t>
      </w:r>
    </w:p>
    <w:p>
      <w:pPr>
        <w:ind w:left="2220"/>
        <w:spacing w:after="0"/>
        <w:rPr>
          <w:sz w:val="20"/>
          <w:szCs w:val="20"/>
          <w:color w:val="auto"/>
        </w:rPr>
      </w:pPr>
      <w:r>
        <w:rPr>
          <w:rFonts w:ascii="Courier New" w:cs="Courier New" w:eastAsia="Courier New" w:hAnsi="Courier New"/>
          <w:sz w:val="15"/>
          <w:szCs w:val="15"/>
          <w:color w:val="auto"/>
        </w:rPr>
        <w:t>Name: Mary M. Barcus</w:t>
      </w:r>
    </w:p>
    <w:p>
      <w:pPr>
        <w:ind w:left="222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THE FUJI BANK, LIMITED, as Agent</w:t>
      </w:r>
    </w:p>
    <w:p>
      <w:pPr>
        <w:ind w:left="1960"/>
        <w:spacing w:after="0"/>
        <w:rPr>
          <w:sz w:val="20"/>
          <w:szCs w:val="20"/>
          <w:color w:val="auto"/>
        </w:rPr>
      </w:pPr>
      <w:r>
        <w:rPr>
          <w:rFonts w:ascii="Courier New" w:cs="Courier New" w:eastAsia="Courier New" w:hAnsi="Courier New"/>
          <w:sz w:val="15"/>
          <w:szCs w:val="15"/>
          <w:color w:val="auto"/>
        </w:rPr>
        <w:t>and a Bank</w:t>
      </w:r>
    </w:p>
    <w:p>
      <w:pPr>
        <w:spacing w:after="0" w:line="338"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By: /s/ Katsunori Nozawa</w:t>
      </w:r>
    </w:p>
    <w:p>
      <w:pPr>
        <w:ind w:left="2220"/>
        <w:spacing w:after="0"/>
        <w:rPr>
          <w:sz w:val="20"/>
          <w:szCs w:val="20"/>
          <w:color w:val="auto"/>
        </w:rPr>
      </w:pPr>
      <w:r>
        <w:rPr>
          <w:rFonts w:ascii="Courier New" w:cs="Courier New" w:eastAsia="Courier New" w:hAnsi="Courier New"/>
          <w:sz w:val="15"/>
          <w:szCs w:val="15"/>
          <w:color w:val="auto"/>
        </w:rPr>
        <w:t>----------------------------</w:t>
      </w:r>
    </w:p>
    <w:p>
      <w:pPr>
        <w:ind w:left="2220"/>
        <w:spacing w:after="0"/>
        <w:rPr>
          <w:sz w:val="20"/>
          <w:szCs w:val="20"/>
          <w:color w:val="auto"/>
        </w:rPr>
      </w:pPr>
      <w:r>
        <w:rPr>
          <w:rFonts w:ascii="Courier New" w:cs="Courier New" w:eastAsia="Courier New" w:hAnsi="Courier New"/>
          <w:sz w:val="15"/>
          <w:szCs w:val="15"/>
          <w:color w:val="auto"/>
        </w:rPr>
        <w:t>Name: Katsunori Nozawa</w:t>
      </w:r>
    </w:p>
    <w:p>
      <w:pPr>
        <w:ind w:left="2220"/>
        <w:spacing w:after="0" w:line="238" w:lineRule="auto"/>
        <w:rPr>
          <w:sz w:val="20"/>
          <w:szCs w:val="20"/>
          <w:color w:val="auto"/>
        </w:rPr>
      </w:pPr>
      <w:r>
        <w:rPr>
          <w:rFonts w:ascii="Courier New" w:cs="Courier New" w:eastAsia="Courier New" w:hAnsi="Courier New"/>
          <w:sz w:val="15"/>
          <w:szCs w:val="15"/>
          <w:color w:val="auto"/>
        </w:rPr>
        <w:t>Title: Vice President &amp;</w:t>
      </w:r>
    </w:p>
    <w:p>
      <w:pPr>
        <w:ind w:left="2840"/>
        <w:spacing w:after="0"/>
        <w:rPr>
          <w:sz w:val="20"/>
          <w:szCs w:val="20"/>
          <w:color w:val="auto"/>
        </w:rPr>
      </w:pPr>
      <w:r>
        <w:rPr>
          <w:rFonts w:ascii="Courier New" w:cs="Courier New" w:eastAsia="Courier New" w:hAnsi="Courier New"/>
          <w:sz w:val="15"/>
          <w:szCs w:val="15"/>
          <w:color w:val="auto"/>
        </w:rPr>
        <w:t>Manager</w:t>
      </w:r>
    </w:p>
    <w:p>
      <w:pPr>
        <w:spacing w:after="0" w:line="344"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THE INDUSTRIAL BANK OF JAPAN, LTD.,</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as Agent and a Bank</w:t>
      </w:r>
    </w:p>
    <w:p>
      <w:pPr>
        <w:spacing w:after="0" w:line="339"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By: /s/ Jeffrey Cole</w:t>
      </w:r>
    </w:p>
    <w:p>
      <w:pPr>
        <w:ind w:left="2220"/>
        <w:spacing w:after="0"/>
        <w:rPr>
          <w:sz w:val="20"/>
          <w:szCs w:val="20"/>
          <w:color w:val="auto"/>
        </w:rPr>
      </w:pPr>
      <w:r>
        <w:rPr>
          <w:rFonts w:ascii="Courier New" w:cs="Courier New" w:eastAsia="Courier New" w:hAnsi="Courier New"/>
          <w:sz w:val="15"/>
          <w:szCs w:val="15"/>
          <w:color w:val="auto"/>
        </w:rPr>
        <w:t>----------------------------</w:t>
      </w:r>
    </w:p>
    <w:p>
      <w:pPr>
        <w:ind w:left="2220"/>
        <w:spacing w:after="0"/>
        <w:rPr>
          <w:sz w:val="20"/>
          <w:szCs w:val="20"/>
          <w:color w:val="auto"/>
        </w:rPr>
      </w:pPr>
      <w:r>
        <w:rPr>
          <w:rFonts w:ascii="Courier New" w:cs="Courier New" w:eastAsia="Courier New" w:hAnsi="Courier New"/>
          <w:sz w:val="15"/>
          <w:szCs w:val="15"/>
          <w:color w:val="auto"/>
        </w:rPr>
        <w:t>Name: Jeffrey Cole</w:t>
      </w:r>
    </w:p>
    <w:p>
      <w:pPr>
        <w:ind w:left="222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019"/>
          </w:cols>
          <w:pgMar w:left="1440" w:top="622" w:right="1440" w:bottom="1440" w:gutter="0" w:footer="0" w:header="0"/>
        </w:sectPr>
      </w:pPr>
    </w:p>
    <w:bookmarkStart w:id="115" w:name="page116"/>
    <w:bookmarkEnd w:id="115"/>
    <w:p>
      <w:pPr>
        <w:ind w:left="1960"/>
        <w:spacing w:after="0"/>
        <w:rPr>
          <w:sz w:val="20"/>
          <w:szCs w:val="20"/>
          <w:color w:val="auto"/>
        </w:rPr>
      </w:pPr>
      <w:r>
        <w:rPr>
          <w:rFonts w:ascii="Courier New" w:cs="Courier New" w:eastAsia="Courier New" w:hAnsi="Courier New"/>
          <w:sz w:val="15"/>
          <w:szCs w:val="15"/>
          <w:color w:val="auto"/>
        </w:rPr>
        <w:t>LTCB TRUST COMPANY, as Agent and a</w:t>
      </w:r>
    </w:p>
    <w:p>
      <w:pPr>
        <w:ind w:left="1960"/>
        <w:spacing w:after="0"/>
        <w:rPr>
          <w:sz w:val="20"/>
          <w:szCs w:val="20"/>
          <w:color w:val="auto"/>
        </w:rPr>
      </w:pPr>
      <w:r>
        <w:rPr>
          <w:rFonts w:ascii="Courier New" w:cs="Courier New" w:eastAsia="Courier New" w:hAnsi="Courier New"/>
          <w:sz w:val="15"/>
          <w:szCs w:val="15"/>
          <w:color w:val="auto"/>
        </w:rPr>
        <w:t>Bank</w:t>
      </w:r>
    </w:p>
    <w:p>
      <w:pPr>
        <w:spacing w:after="0" w:line="338"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By: /s/ Tetsuya Fukunaga</w:t>
      </w:r>
    </w:p>
    <w:p>
      <w:pPr>
        <w:ind w:left="2220"/>
        <w:spacing w:after="0"/>
        <w:rPr>
          <w:sz w:val="20"/>
          <w:szCs w:val="20"/>
          <w:color w:val="auto"/>
        </w:rPr>
      </w:pPr>
      <w:r>
        <w:rPr>
          <w:rFonts w:ascii="Courier New" w:cs="Courier New" w:eastAsia="Courier New" w:hAnsi="Courier New"/>
          <w:sz w:val="15"/>
          <w:szCs w:val="15"/>
          <w:color w:val="auto"/>
        </w:rPr>
        <w:t>----------------------------</w:t>
      </w:r>
    </w:p>
    <w:p>
      <w:pPr>
        <w:ind w:left="2220"/>
        <w:spacing w:after="0"/>
        <w:rPr>
          <w:sz w:val="20"/>
          <w:szCs w:val="20"/>
          <w:color w:val="auto"/>
        </w:rPr>
      </w:pPr>
      <w:r>
        <w:rPr>
          <w:rFonts w:ascii="Courier New" w:cs="Courier New" w:eastAsia="Courier New" w:hAnsi="Courier New"/>
          <w:sz w:val="15"/>
          <w:szCs w:val="15"/>
          <w:color w:val="auto"/>
        </w:rPr>
        <w:t>Name: Tetsuya Fukunaga</w:t>
      </w:r>
    </w:p>
    <w:p>
      <w:pPr>
        <w:ind w:left="222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MELLON BANK, N.A., as Agent and a</w:t>
      </w:r>
    </w:p>
    <w:p>
      <w:pPr>
        <w:ind w:left="1960"/>
        <w:spacing w:after="0"/>
        <w:rPr>
          <w:sz w:val="20"/>
          <w:szCs w:val="20"/>
          <w:color w:val="auto"/>
        </w:rPr>
      </w:pPr>
      <w:r>
        <w:rPr>
          <w:rFonts w:ascii="Courier New" w:cs="Courier New" w:eastAsia="Courier New" w:hAnsi="Courier New"/>
          <w:sz w:val="15"/>
          <w:szCs w:val="15"/>
          <w:color w:val="auto"/>
        </w:rPr>
        <w:t>Bank</w:t>
      </w:r>
    </w:p>
    <w:p>
      <w:pPr>
        <w:spacing w:after="0" w:line="338"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By: /s/ Sean C. Gannon</w:t>
      </w:r>
    </w:p>
    <w:p>
      <w:pPr>
        <w:ind w:left="2220"/>
        <w:spacing w:after="0"/>
        <w:rPr>
          <w:sz w:val="20"/>
          <w:szCs w:val="20"/>
          <w:color w:val="auto"/>
        </w:rPr>
      </w:pPr>
      <w:r>
        <w:rPr>
          <w:rFonts w:ascii="Courier New" w:cs="Courier New" w:eastAsia="Courier New" w:hAnsi="Courier New"/>
          <w:sz w:val="15"/>
          <w:szCs w:val="15"/>
          <w:color w:val="auto"/>
        </w:rPr>
        <w:t>----------------------------</w:t>
      </w:r>
    </w:p>
    <w:p>
      <w:pPr>
        <w:ind w:left="2220"/>
        <w:spacing w:after="0"/>
        <w:rPr>
          <w:sz w:val="20"/>
          <w:szCs w:val="20"/>
          <w:color w:val="auto"/>
        </w:rPr>
      </w:pPr>
      <w:r>
        <w:rPr>
          <w:rFonts w:ascii="Courier New" w:cs="Courier New" w:eastAsia="Courier New" w:hAnsi="Courier New"/>
          <w:sz w:val="15"/>
          <w:szCs w:val="15"/>
          <w:color w:val="auto"/>
        </w:rPr>
        <w:t>Name: Sean C. Gannon</w:t>
      </w:r>
    </w:p>
    <w:p>
      <w:pPr>
        <w:ind w:left="2220"/>
        <w:spacing w:after="0" w:line="238" w:lineRule="auto"/>
        <w:rPr>
          <w:sz w:val="20"/>
          <w:szCs w:val="20"/>
          <w:color w:val="auto"/>
        </w:rPr>
      </w:pPr>
      <w:r>
        <w:rPr>
          <w:rFonts w:ascii="Courier New" w:cs="Courier New" w:eastAsia="Courier New" w:hAnsi="Courier New"/>
          <w:sz w:val="15"/>
          <w:szCs w:val="15"/>
          <w:color w:val="auto"/>
        </w:rPr>
        <w:t>Title: Assistant Vice</w:t>
      </w:r>
    </w:p>
    <w:p>
      <w:pPr>
        <w:ind w:left="2840"/>
        <w:spacing w:after="0"/>
        <w:rPr>
          <w:sz w:val="20"/>
          <w:szCs w:val="20"/>
          <w:color w:val="auto"/>
        </w:rPr>
      </w:pPr>
      <w:r>
        <w:rPr>
          <w:rFonts w:ascii="Courier New" w:cs="Courier New" w:eastAsia="Courier New" w:hAnsi="Courier New"/>
          <w:sz w:val="15"/>
          <w:szCs w:val="15"/>
          <w:color w:val="auto"/>
        </w:rPr>
        <w:t>President</w:t>
      </w:r>
    </w:p>
    <w:p>
      <w:pPr>
        <w:spacing w:after="0" w:line="344"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NATIONSBANK OF TEXAS N.A., as Agent</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and a Bank</w:t>
      </w:r>
    </w:p>
    <w:p>
      <w:pPr>
        <w:spacing w:after="0" w:line="339"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By: /s/ Chad E. Coben</w:t>
      </w:r>
    </w:p>
    <w:p>
      <w:pPr>
        <w:ind w:left="2220"/>
        <w:spacing w:after="0"/>
        <w:rPr>
          <w:sz w:val="20"/>
          <w:szCs w:val="20"/>
          <w:color w:val="auto"/>
        </w:rPr>
      </w:pPr>
      <w:r>
        <w:rPr>
          <w:rFonts w:ascii="Courier New" w:cs="Courier New" w:eastAsia="Courier New" w:hAnsi="Courier New"/>
          <w:sz w:val="15"/>
          <w:szCs w:val="15"/>
          <w:color w:val="auto"/>
        </w:rPr>
        <w:t>----------------------------</w:t>
      </w:r>
    </w:p>
    <w:p>
      <w:pPr>
        <w:ind w:left="2220"/>
        <w:spacing w:after="0"/>
        <w:rPr>
          <w:sz w:val="20"/>
          <w:szCs w:val="20"/>
          <w:color w:val="auto"/>
        </w:rPr>
      </w:pPr>
      <w:r>
        <w:rPr>
          <w:rFonts w:ascii="Courier New" w:cs="Courier New" w:eastAsia="Courier New" w:hAnsi="Courier New"/>
          <w:sz w:val="15"/>
          <w:szCs w:val="15"/>
          <w:color w:val="auto"/>
        </w:rPr>
        <w:t>Name: Chad E. Coben</w:t>
      </w:r>
    </w:p>
    <w:p>
      <w:pPr>
        <w:ind w:left="2220"/>
        <w:spacing w:after="0" w:line="238" w:lineRule="auto"/>
        <w:rPr>
          <w:sz w:val="20"/>
          <w:szCs w:val="20"/>
          <w:color w:val="auto"/>
        </w:rPr>
      </w:pPr>
      <w:r>
        <w:rPr>
          <w:rFonts w:ascii="Courier New" w:cs="Courier New" w:eastAsia="Courier New" w:hAnsi="Courier New"/>
          <w:sz w:val="15"/>
          <w:szCs w:val="15"/>
          <w:color w:val="auto"/>
        </w:rPr>
        <w:t>Title: Assistant Vice</w:t>
      </w:r>
    </w:p>
    <w:p>
      <w:pPr>
        <w:ind w:left="2840"/>
        <w:spacing w:after="0"/>
        <w:rPr>
          <w:sz w:val="20"/>
          <w:szCs w:val="20"/>
          <w:color w:val="auto"/>
        </w:rPr>
      </w:pPr>
      <w:r>
        <w:rPr>
          <w:rFonts w:ascii="Courier New" w:cs="Courier New" w:eastAsia="Courier New" w:hAnsi="Courier New"/>
          <w:sz w:val="15"/>
          <w:szCs w:val="15"/>
          <w:color w:val="auto"/>
        </w:rPr>
        <w:t>President</w:t>
      </w:r>
    </w:p>
    <w:p>
      <w:pPr>
        <w:spacing w:after="0" w:line="338"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SOCIETE GENERALE, as Agent and a</w:t>
      </w:r>
    </w:p>
    <w:p>
      <w:pPr>
        <w:ind w:left="1960"/>
        <w:spacing w:after="0"/>
        <w:rPr>
          <w:sz w:val="20"/>
          <w:szCs w:val="20"/>
          <w:color w:val="auto"/>
        </w:rPr>
      </w:pPr>
      <w:r>
        <w:rPr>
          <w:rFonts w:ascii="Courier New" w:cs="Courier New" w:eastAsia="Courier New" w:hAnsi="Courier New"/>
          <w:sz w:val="15"/>
          <w:szCs w:val="15"/>
          <w:color w:val="auto"/>
        </w:rPr>
        <w:t>Bank</w:t>
      </w:r>
    </w:p>
    <w:p>
      <w:pPr>
        <w:spacing w:after="0" w:line="338"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By: /s/ Pascale Hainline</w:t>
      </w:r>
    </w:p>
    <w:p>
      <w:pPr>
        <w:ind w:left="2220"/>
        <w:spacing w:after="0"/>
        <w:rPr>
          <w:sz w:val="20"/>
          <w:szCs w:val="20"/>
          <w:color w:val="auto"/>
        </w:rPr>
      </w:pPr>
      <w:r>
        <w:rPr>
          <w:rFonts w:ascii="Courier New" w:cs="Courier New" w:eastAsia="Courier New" w:hAnsi="Courier New"/>
          <w:sz w:val="15"/>
          <w:szCs w:val="15"/>
          <w:color w:val="auto"/>
        </w:rPr>
        <w:t>----------------------------</w:t>
      </w:r>
    </w:p>
    <w:p>
      <w:pPr>
        <w:ind w:left="2220"/>
        <w:spacing w:after="0"/>
        <w:rPr>
          <w:sz w:val="20"/>
          <w:szCs w:val="20"/>
          <w:color w:val="auto"/>
        </w:rPr>
      </w:pPr>
      <w:r>
        <w:rPr>
          <w:rFonts w:ascii="Courier New" w:cs="Courier New" w:eastAsia="Courier New" w:hAnsi="Courier New"/>
          <w:sz w:val="15"/>
          <w:szCs w:val="15"/>
          <w:color w:val="auto"/>
        </w:rPr>
        <w:t>Name: Pascale Hainline</w:t>
      </w:r>
    </w:p>
    <w:p>
      <w:pPr>
        <w:ind w:left="222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44"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THE TORONTO-DOMINION BANK, as Agent</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and a Bank</w:t>
      </w:r>
    </w:p>
    <w:p>
      <w:pPr>
        <w:spacing w:after="0" w:line="339"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By: /s/ David G. Parker</w:t>
      </w:r>
    </w:p>
    <w:p>
      <w:pPr>
        <w:ind w:left="2220"/>
        <w:spacing w:after="0"/>
        <w:rPr>
          <w:sz w:val="20"/>
          <w:szCs w:val="20"/>
          <w:color w:val="auto"/>
        </w:rPr>
      </w:pPr>
      <w:r>
        <w:rPr>
          <w:rFonts w:ascii="Courier New" w:cs="Courier New" w:eastAsia="Courier New" w:hAnsi="Courier New"/>
          <w:sz w:val="15"/>
          <w:szCs w:val="15"/>
          <w:color w:val="auto"/>
        </w:rPr>
        <w:t>----------------------------</w:t>
      </w:r>
    </w:p>
    <w:p>
      <w:pPr>
        <w:ind w:left="2220"/>
        <w:spacing w:after="0"/>
        <w:rPr>
          <w:sz w:val="20"/>
          <w:szCs w:val="20"/>
          <w:color w:val="auto"/>
        </w:rPr>
      </w:pPr>
      <w:r>
        <w:rPr>
          <w:rFonts w:ascii="Courier New" w:cs="Courier New" w:eastAsia="Courier New" w:hAnsi="Courier New"/>
          <w:sz w:val="15"/>
          <w:szCs w:val="15"/>
          <w:color w:val="auto"/>
        </w:rPr>
        <w:t>Name: David G. Parker</w:t>
      </w:r>
    </w:p>
    <w:p>
      <w:pPr>
        <w:ind w:left="2220"/>
        <w:spacing w:after="0" w:line="238" w:lineRule="auto"/>
        <w:rPr>
          <w:sz w:val="20"/>
          <w:szCs w:val="20"/>
          <w:color w:val="auto"/>
        </w:rPr>
      </w:pPr>
      <w:r>
        <w:rPr>
          <w:rFonts w:ascii="Courier New" w:cs="Courier New" w:eastAsia="Courier New" w:hAnsi="Courier New"/>
          <w:sz w:val="15"/>
          <w:szCs w:val="15"/>
          <w:color w:val="auto"/>
        </w:rPr>
        <w:t>Title: Mgr. Cr. Admin.</w:t>
      </w:r>
    </w:p>
    <w:p>
      <w:pPr>
        <w:spacing w:after="0" w:line="33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019"/>
          </w:cols>
          <w:pgMar w:left="1440" w:top="622" w:right="1440" w:bottom="1440" w:gutter="0" w:footer="0" w:header="0"/>
        </w:sectPr>
      </w:pPr>
    </w:p>
    <w:bookmarkStart w:id="116" w:name="page117"/>
    <w:bookmarkEnd w:id="116"/>
    <w:p>
      <w:pPr>
        <w:ind w:left="1960"/>
        <w:spacing w:after="0"/>
        <w:rPr>
          <w:sz w:val="20"/>
          <w:szCs w:val="20"/>
          <w:color w:val="auto"/>
        </w:rPr>
      </w:pPr>
      <w:r>
        <w:rPr>
          <w:rFonts w:ascii="Courier New" w:cs="Courier New" w:eastAsia="Courier New" w:hAnsi="Courier New"/>
          <w:sz w:val="15"/>
          <w:szCs w:val="15"/>
          <w:color w:val="auto"/>
        </w:rPr>
        <w:t>UNION BANK, as Agent and a Bank</w:t>
      </w:r>
    </w:p>
    <w:p>
      <w:pPr>
        <w:spacing w:after="0" w:line="339"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By: /s/ Bill D. Gooch</w:t>
      </w:r>
    </w:p>
    <w:p>
      <w:pPr>
        <w:ind w:left="2220"/>
        <w:spacing w:after="0"/>
        <w:rPr>
          <w:sz w:val="20"/>
          <w:szCs w:val="20"/>
          <w:color w:val="auto"/>
        </w:rPr>
      </w:pPr>
      <w:r>
        <w:rPr>
          <w:rFonts w:ascii="Courier New" w:cs="Courier New" w:eastAsia="Courier New" w:hAnsi="Courier New"/>
          <w:sz w:val="15"/>
          <w:szCs w:val="15"/>
          <w:color w:val="auto"/>
        </w:rPr>
        <w:t>----------------------------</w:t>
      </w:r>
    </w:p>
    <w:p>
      <w:pPr>
        <w:ind w:left="2220"/>
        <w:spacing w:after="0"/>
        <w:rPr>
          <w:sz w:val="20"/>
          <w:szCs w:val="20"/>
          <w:color w:val="auto"/>
        </w:rPr>
      </w:pPr>
      <w:r>
        <w:rPr>
          <w:rFonts w:ascii="Courier New" w:cs="Courier New" w:eastAsia="Courier New" w:hAnsi="Courier New"/>
          <w:sz w:val="15"/>
          <w:szCs w:val="15"/>
          <w:color w:val="auto"/>
        </w:rPr>
        <w:t>Name: Bill D. Gooch</w:t>
      </w:r>
    </w:p>
    <w:p>
      <w:pPr>
        <w:ind w:left="2220"/>
        <w:spacing w:after="0" w:line="238" w:lineRule="auto"/>
        <w:rPr>
          <w:sz w:val="20"/>
          <w:szCs w:val="20"/>
          <w:color w:val="auto"/>
        </w:rPr>
      </w:pPr>
      <w:r>
        <w:rPr>
          <w:rFonts w:ascii="Courier New" w:cs="Courier New" w:eastAsia="Courier New" w:hAnsi="Courier New"/>
          <w:sz w:val="15"/>
          <w:szCs w:val="15"/>
          <w:color w:val="auto"/>
        </w:rPr>
        <w:t>Title: Assistant Vice</w:t>
      </w:r>
    </w:p>
    <w:p>
      <w:pPr>
        <w:ind w:left="2840"/>
        <w:spacing w:after="0"/>
        <w:rPr>
          <w:sz w:val="20"/>
          <w:szCs w:val="20"/>
          <w:color w:val="auto"/>
        </w:rPr>
      </w:pPr>
      <w:r>
        <w:rPr>
          <w:rFonts w:ascii="Courier New" w:cs="Courier New" w:eastAsia="Courier New" w:hAnsi="Courier New"/>
          <w:sz w:val="15"/>
          <w:szCs w:val="15"/>
          <w:color w:val="auto"/>
        </w:rPr>
        <w:t>President</w:t>
      </w:r>
    </w:p>
    <w:p>
      <w:pPr>
        <w:spacing w:after="0" w:line="338"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Co-Agents</w:t>
      </w:r>
    </w:p>
    <w:p>
      <w:pPr>
        <w:spacing w:after="0" w:line="339"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CREDIT SUISSE, as Co-Agent and a</w:t>
      </w:r>
    </w:p>
    <w:p>
      <w:pPr>
        <w:ind w:left="1960"/>
        <w:spacing w:after="0"/>
        <w:rPr>
          <w:sz w:val="20"/>
          <w:szCs w:val="20"/>
          <w:color w:val="auto"/>
        </w:rPr>
      </w:pPr>
      <w:r>
        <w:rPr>
          <w:rFonts w:ascii="Courier New" w:cs="Courier New" w:eastAsia="Courier New" w:hAnsi="Courier New"/>
          <w:sz w:val="15"/>
          <w:szCs w:val="15"/>
          <w:color w:val="auto"/>
        </w:rPr>
        <w:t>Bank</w:t>
      </w:r>
    </w:p>
    <w:p>
      <w:pPr>
        <w:spacing w:after="0" w:line="338"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By: /s/ Michael C. Mast</w:t>
      </w:r>
    </w:p>
    <w:p>
      <w:pPr>
        <w:ind w:left="2220"/>
        <w:spacing w:after="0"/>
        <w:rPr>
          <w:sz w:val="20"/>
          <w:szCs w:val="20"/>
          <w:color w:val="auto"/>
        </w:rPr>
      </w:pPr>
      <w:r>
        <w:rPr>
          <w:rFonts w:ascii="Courier New" w:cs="Courier New" w:eastAsia="Courier New" w:hAnsi="Courier New"/>
          <w:sz w:val="15"/>
          <w:szCs w:val="15"/>
          <w:color w:val="auto"/>
        </w:rPr>
        <w:t>----------------------------</w:t>
      </w:r>
    </w:p>
    <w:p>
      <w:pPr>
        <w:ind w:left="2220"/>
        <w:spacing w:after="0"/>
        <w:rPr>
          <w:sz w:val="20"/>
          <w:szCs w:val="20"/>
          <w:color w:val="auto"/>
        </w:rPr>
      </w:pPr>
      <w:r>
        <w:rPr>
          <w:rFonts w:ascii="Courier New" w:cs="Courier New" w:eastAsia="Courier New" w:hAnsi="Courier New"/>
          <w:sz w:val="15"/>
          <w:szCs w:val="15"/>
          <w:color w:val="auto"/>
        </w:rPr>
        <w:t>Name: Michael C. Mast</w:t>
      </w:r>
    </w:p>
    <w:p>
      <w:pPr>
        <w:ind w:left="2220"/>
        <w:spacing w:after="0" w:line="238" w:lineRule="auto"/>
        <w:rPr>
          <w:sz w:val="20"/>
          <w:szCs w:val="20"/>
          <w:color w:val="auto"/>
        </w:rPr>
      </w:pPr>
      <w:r>
        <w:rPr>
          <w:rFonts w:ascii="Courier New" w:cs="Courier New" w:eastAsia="Courier New" w:hAnsi="Courier New"/>
          <w:sz w:val="15"/>
          <w:szCs w:val="15"/>
          <w:color w:val="auto"/>
        </w:rPr>
        <w:t>Title: Member of Senior</w:t>
      </w:r>
    </w:p>
    <w:p>
      <w:pPr>
        <w:ind w:left="2840"/>
        <w:spacing w:after="0"/>
        <w:rPr>
          <w:sz w:val="20"/>
          <w:szCs w:val="20"/>
          <w:color w:val="auto"/>
        </w:rPr>
      </w:pPr>
      <w:r>
        <w:rPr>
          <w:rFonts w:ascii="Courier New" w:cs="Courier New" w:eastAsia="Courier New" w:hAnsi="Courier New"/>
          <w:sz w:val="15"/>
          <w:szCs w:val="15"/>
          <w:color w:val="auto"/>
        </w:rPr>
        <w:t>Management</w:t>
      </w:r>
    </w:p>
    <w:p>
      <w:pPr>
        <w:spacing w:after="0" w:line="338"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By: /s/ Scott E. Zoellner</w:t>
      </w:r>
    </w:p>
    <w:p>
      <w:pPr>
        <w:ind w:left="2220"/>
        <w:spacing w:after="0"/>
        <w:rPr>
          <w:sz w:val="20"/>
          <w:szCs w:val="20"/>
          <w:color w:val="auto"/>
        </w:rPr>
      </w:pPr>
      <w:r>
        <w:rPr>
          <w:rFonts w:ascii="Courier New" w:cs="Courier New" w:eastAsia="Courier New" w:hAnsi="Courier New"/>
          <w:sz w:val="15"/>
          <w:szCs w:val="15"/>
          <w:color w:val="auto"/>
        </w:rPr>
        <w:t>----------------------------</w:t>
      </w:r>
    </w:p>
    <w:p>
      <w:pPr>
        <w:ind w:left="2220"/>
        <w:spacing w:after="0"/>
        <w:rPr>
          <w:sz w:val="20"/>
          <w:szCs w:val="20"/>
          <w:color w:val="auto"/>
        </w:rPr>
      </w:pPr>
      <w:r>
        <w:rPr>
          <w:rFonts w:ascii="Courier New" w:cs="Courier New" w:eastAsia="Courier New" w:hAnsi="Courier New"/>
          <w:sz w:val="15"/>
          <w:szCs w:val="15"/>
          <w:color w:val="auto"/>
        </w:rPr>
        <w:t>Name: Scott E. Zoellner</w:t>
      </w:r>
    </w:p>
    <w:p>
      <w:pPr>
        <w:ind w:left="2220"/>
        <w:spacing w:after="0" w:line="238" w:lineRule="auto"/>
        <w:rPr>
          <w:sz w:val="20"/>
          <w:szCs w:val="20"/>
          <w:color w:val="auto"/>
        </w:rPr>
      </w:pPr>
      <w:r>
        <w:rPr>
          <w:rFonts w:ascii="Courier New" w:cs="Courier New" w:eastAsia="Courier New" w:hAnsi="Courier New"/>
          <w:sz w:val="15"/>
          <w:szCs w:val="15"/>
          <w:color w:val="auto"/>
        </w:rPr>
        <w:t>Title: Associate</w:t>
      </w:r>
    </w:p>
    <w:p>
      <w:pPr>
        <w:spacing w:after="0" w:line="200" w:lineRule="exact"/>
        <w:rPr>
          <w:sz w:val="20"/>
          <w:szCs w:val="20"/>
          <w:color w:val="auto"/>
        </w:rPr>
      </w:pPr>
    </w:p>
    <w:p>
      <w:pPr>
        <w:spacing w:after="0" w:line="308"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THE DAI-ICHI KANGYO BANK LTD., NEW</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YORK BRANCH, as Co-Agent and a Bank</w:t>
      </w:r>
    </w:p>
    <w:p>
      <w:pPr>
        <w:spacing w:after="0" w:line="34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By: /s/ Yosada Onoda</w:t>
      </w:r>
    </w:p>
    <w:p>
      <w:pPr>
        <w:ind w:left="2220"/>
        <w:spacing w:after="0"/>
        <w:rPr>
          <w:sz w:val="20"/>
          <w:szCs w:val="20"/>
          <w:color w:val="auto"/>
        </w:rPr>
      </w:pPr>
      <w:r>
        <w:rPr>
          <w:rFonts w:ascii="Courier New" w:cs="Courier New" w:eastAsia="Courier New" w:hAnsi="Courier New"/>
          <w:sz w:val="15"/>
          <w:szCs w:val="15"/>
          <w:color w:val="auto"/>
        </w:rPr>
        <w:t>----------------------------</w:t>
      </w:r>
    </w:p>
    <w:p>
      <w:pPr>
        <w:ind w:left="2220"/>
        <w:spacing w:after="0"/>
        <w:rPr>
          <w:sz w:val="20"/>
          <w:szCs w:val="20"/>
          <w:color w:val="auto"/>
        </w:rPr>
      </w:pPr>
      <w:r>
        <w:rPr>
          <w:rFonts w:ascii="Courier New" w:cs="Courier New" w:eastAsia="Courier New" w:hAnsi="Courier New"/>
          <w:sz w:val="15"/>
          <w:szCs w:val="15"/>
          <w:color w:val="auto"/>
        </w:rPr>
        <w:t>Name: Yosada Onoda</w:t>
      </w:r>
    </w:p>
    <w:p>
      <w:pPr>
        <w:ind w:left="2220"/>
        <w:spacing w:after="0" w:line="238" w:lineRule="auto"/>
        <w:rPr>
          <w:sz w:val="20"/>
          <w:szCs w:val="20"/>
          <w:color w:val="auto"/>
        </w:rPr>
      </w:pPr>
      <w:r>
        <w:rPr>
          <w:rFonts w:ascii="Courier New" w:cs="Courier New" w:eastAsia="Courier New" w:hAnsi="Courier New"/>
          <w:sz w:val="15"/>
          <w:szCs w:val="15"/>
          <w:color w:val="auto"/>
        </w:rPr>
        <w:t>Title: Senior Vice</w:t>
      </w:r>
    </w:p>
    <w:p>
      <w:pPr>
        <w:ind w:left="2840"/>
        <w:spacing w:after="0"/>
        <w:rPr>
          <w:sz w:val="20"/>
          <w:szCs w:val="20"/>
          <w:color w:val="auto"/>
        </w:rPr>
      </w:pPr>
      <w:r>
        <w:rPr>
          <w:rFonts w:ascii="Courier New" w:cs="Courier New" w:eastAsia="Courier New" w:hAnsi="Courier New"/>
          <w:sz w:val="15"/>
          <w:szCs w:val="15"/>
          <w:color w:val="auto"/>
        </w:rPr>
        <w:t>President</w:t>
      </w:r>
    </w:p>
    <w:p>
      <w:pPr>
        <w:spacing w:after="0" w:line="338"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THE MITSUBISHI BANK, LIMITED, as</w:t>
      </w:r>
    </w:p>
    <w:p>
      <w:pPr>
        <w:ind w:left="1960"/>
        <w:spacing w:after="0"/>
        <w:rPr>
          <w:sz w:val="20"/>
          <w:szCs w:val="20"/>
          <w:color w:val="auto"/>
        </w:rPr>
      </w:pPr>
      <w:r>
        <w:rPr>
          <w:rFonts w:ascii="Courier New" w:cs="Courier New" w:eastAsia="Courier New" w:hAnsi="Courier New"/>
          <w:sz w:val="15"/>
          <w:szCs w:val="15"/>
          <w:color w:val="auto"/>
        </w:rPr>
        <w:t>Co-Agent and a Bank</w:t>
      </w:r>
    </w:p>
    <w:p>
      <w:pPr>
        <w:spacing w:after="0" w:line="338"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By: /s/ Paula Mueller</w:t>
      </w:r>
    </w:p>
    <w:p>
      <w:pPr>
        <w:ind w:left="2220"/>
        <w:spacing w:after="0"/>
        <w:rPr>
          <w:sz w:val="20"/>
          <w:szCs w:val="20"/>
          <w:color w:val="auto"/>
        </w:rPr>
      </w:pPr>
      <w:r>
        <w:rPr>
          <w:rFonts w:ascii="Courier New" w:cs="Courier New" w:eastAsia="Courier New" w:hAnsi="Courier New"/>
          <w:sz w:val="15"/>
          <w:szCs w:val="15"/>
          <w:color w:val="auto"/>
        </w:rPr>
        <w:t>----------------------------</w:t>
      </w:r>
    </w:p>
    <w:p>
      <w:pPr>
        <w:ind w:left="2220"/>
        <w:spacing w:after="0"/>
        <w:rPr>
          <w:sz w:val="20"/>
          <w:szCs w:val="20"/>
          <w:color w:val="auto"/>
        </w:rPr>
      </w:pPr>
      <w:r>
        <w:rPr>
          <w:rFonts w:ascii="Courier New" w:cs="Courier New" w:eastAsia="Courier New" w:hAnsi="Courier New"/>
          <w:sz w:val="15"/>
          <w:szCs w:val="15"/>
          <w:color w:val="auto"/>
        </w:rPr>
        <w:t>Name: Paula Mueller</w:t>
      </w:r>
    </w:p>
    <w:p>
      <w:pPr>
        <w:ind w:left="222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019"/>
          </w:cols>
          <w:pgMar w:left="1440" w:top="622" w:right="1440" w:bottom="1440" w:gutter="0" w:footer="0" w:header="0"/>
        </w:sectPr>
      </w:pPr>
    </w:p>
    <w:bookmarkStart w:id="117" w:name="page118"/>
    <w:bookmarkEnd w:id="117"/>
    <w:p>
      <w:pPr>
        <w:ind w:left="1960"/>
        <w:spacing w:after="0"/>
        <w:rPr>
          <w:sz w:val="20"/>
          <w:szCs w:val="20"/>
          <w:color w:val="auto"/>
        </w:rPr>
      </w:pPr>
      <w:r>
        <w:rPr>
          <w:rFonts w:ascii="Courier New" w:cs="Courier New" w:eastAsia="Courier New" w:hAnsi="Courier New"/>
          <w:sz w:val="15"/>
          <w:szCs w:val="15"/>
          <w:color w:val="auto"/>
        </w:rPr>
        <w:t>THE MITSUBISHI TRUST &amp; BANKING</w:t>
      </w:r>
    </w:p>
    <w:p>
      <w:pPr>
        <w:ind w:left="1960"/>
        <w:spacing w:after="0"/>
        <w:rPr>
          <w:sz w:val="20"/>
          <w:szCs w:val="20"/>
          <w:color w:val="auto"/>
        </w:rPr>
      </w:pPr>
      <w:r>
        <w:rPr>
          <w:rFonts w:ascii="Courier New" w:cs="Courier New" w:eastAsia="Courier New" w:hAnsi="Courier New"/>
          <w:sz w:val="15"/>
          <w:szCs w:val="15"/>
          <w:color w:val="auto"/>
        </w:rPr>
        <w:t>CORPORATION, as Co-Agent and a Bank</w:t>
      </w:r>
    </w:p>
    <w:p>
      <w:pPr>
        <w:spacing w:after="0" w:line="338"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By: /s/ Patricia Loret de Mola</w:t>
      </w:r>
    </w:p>
    <w:p>
      <w:pPr>
        <w:ind w:left="2220"/>
        <w:spacing w:after="0"/>
        <w:rPr>
          <w:sz w:val="20"/>
          <w:szCs w:val="20"/>
          <w:color w:val="auto"/>
        </w:rPr>
      </w:pPr>
      <w:r>
        <w:rPr>
          <w:rFonts w:ascii="Courier New" w:cs="Courier New" w:eastAsia="Courier New" w:hAnsi="Courier New"/>
          <w:sz w:val="15"/>
          <w:szCs w:val="15"/>
          <w:color w:val="auto"/>
        </w:rPr>
        <w:t>----------------------------</w:t>
      </w:r>
    </w:p>
    <w:p>
      <w:pPr>
        <w:ind w:left="2140"/>
        <w:spacing w:after="0"/>
        <w:rPr>
          <w:sz w:val="20"/>
          <w:szCs w:val="20"/>
          <w:color w:val="auto"/>
        </w:rPr>
      </w:pPr>
      <w:r>
        <w:rPr>
          <w:rFonts w:ascii="Courier New" w:cs="Courier New" w:eastAsia="Courier New" w:hAnsi="Courier New"/>
          <w:sz w:val="15"/>
          <w:szCs w:val="15"/>
          <w:color w:val="auto"/>
        </w:rPr>
        <w:t>Name: Patricia Loret de Mola</w:t>
      </w:r>
    </w:p>
    <w:p>
      <w:pPr>
        <w:ind w:left="2140"/>
        <w:spacing w:after="0" w:line="238" w:lineRule="auto"/>
        <w:rPr>
          <w:sz w:val="20"/>
          <w:szCs w:val="20"/>
          <w:color w:val="auto"/>
        </w:rPr>
      </w:pPr>
      <w:r>
        <w:rPr>
          <w:rFonts w:ascii="Courier New" w:cs="Courier New" w:eastAsia="Courier New" w:hAnsi="Courier New"/>
          <w:sz w:val="15"/>
          <w:szCs w:val="15"/>
          <w:color w:val="auto"/>
        </w:rPr>
        <w:t>Title: Senior Vice</w:t>
      </w:r>
    </w:p>
    <w:p>
      <w:pPr>
        <w:ind w:left="2760"/>
        <w:spacing w:after="0"/>
        <w:rPr>
          <w:sz w:val="20"/>
          <w:szCs w:val="20"/>
          <w:color w:val="auto"/>
        </w:rPr>
      </w:pPr>
      <w:r>
        <w:rPr>
          <w:rFonts w:ascii="Courier New" w:cs="Courier New" w:eastAsia="Courier New" w:hAnsi="Courier New"/>
          <w:sz w:val="15"/>
          <w:szCs w:val="15"/>
          <w:color w:val="auto"/>
        </w:rPr>
        <w:t>President</w:t>
      </w:r>
    </w:p>
    <w:p>
      <w:pPr>
        <w:spacing w:after="0" w:line="338"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ROYAL BANK OF CANADA, as Co-Agent</w:t>
      </w:r>
    </w:p>
    <w:p>
      <w:pPr>
        <w:ind w:left="1880"/>
        <w:spacing w:after="0"/>
        <w:rPr>
          <w:sz w:val="20"/>
          <w:szCs w:val="20"/>
          <w:color w:val="auto"/>
        </w:rPr>
      </w:pPr>
      <w:r>
        <w:rPr>
          <w:rFonts w:ascii="Courier New" w:cs="Courier New" w:eastAsia="Courier New" w:hAnsi="Courier New"/>
          <w:sz w:val="15"/>
          <w:szCs w:val="15"/>
          <w:color w:val="auto"/>
        </w:rPr>
        <w:t>and a Bank</w:t>
      </w:r>
    </w:p>
    <w:p>
      <w:pPr>
        <w:spacing w:after="0" w:line="338"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By: /s/ E. Salazar</w:t>
      </w:r>
    </w:p>
    <w:p>
      <w:pPr>
        <w:ind w:left="2220"/>
        <w:spacing w:after="0"/>
        <w:rPr>
          <w:sz w:val="20"/>
          <w:szCs w:val="20"/>
          <w:color w:val="auto"/>
        </w:rPr>
      </w:pPr>
      <w:r>
        <w:rPr>
          <w:rFonts w:ascii="Courier New" w:cs="Courier New" w:eastAsia="Courier New" w:hAnsi="Courier New"/>
          <w:sz w:val="15"/>
          <w:szCs w:val="15"/>
          <w:color w:val="auto"/>
        </w:rPr>
        <w:t>----------------------------</w:t>
      </w:r>
    </w:p>
    <w:p>
      <w:pPr>
        <w:ind w:left="2220"/>
        <w:spacing w:after="0"/>
        <w:rPr>
          <w:sz w:val="20"/>
          <w:szCs w:val="20"/>
          <w:color w:val="auto"/>
        </w:rPr>
      </w:pPr>
      <w:r>
        <w:rPr>
          <w:rFonts w:ascii="Courier New" w:cs="Courier New" w:eastAsia="Courier New" w:hAnsi="Courier New"/>
          <w:sz w:val="15"/>
          <w:szCs w:val="15"/>
          <w:color w:val="auto"/>
        </w:rPr>
        <w:t>Name: E. Salazar</w:t>
      </w:r>
    </w:p>
    <w:p>
      <w:pPr>
        <w:ind w:left="2220"/>
        <w:spacing w:after="0" w:line="238" w:lineRule="auto"/>
        <w:rPr>
          <w:sz w:val="20"/>
          <w:szCs w:val="20"/>
          <w:color w:val="auto"/>
        </w:rPr>
      </w:pPr>
      <w:r>
        <w:rPr>
          <w:rFonts w:ascii="Courier New" w:cs="Courier New" w:eastAsia="Courier New" w:hAnsi="Courier New"/>
          <w:sz w:val="15"/>
          <w:szCs w:val="15"/>
          <w:color w:val="auto"/>
        </w:rPr>
        <w:t>Title: Senior Manager</w:t>
      </w:r>
    </w:p>
    <w:p>
      <w:pPr>
        <w:spacing w:after="0" w:line="344"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THE SANWA BANK, LTD., as Co-Agent and</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a Bank</w:t>
      </w:r>
    </w:p>
    <w:p>
      <w:pPr>
        <w:spacing w:after="0" w:line="339"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By: /s/ Masaaki Ariyoshi</w:t>
      </w:r>
    </w:p>
    <w:p>
      <w:pPr>
        <w:ind w:left="2220"/>
        <w:spacing w:after="0"/>
        <w:rPr>
          <w:sz w:val="20"/>
          <w:szCs w:val="20"/>
          <w:color w:val="auto"/>
        </w:rPr>
      </w:pPr>
      <w:r>
        <w:rPr>
          <w:rFonts w:ascii="Courier New" w:cs="Courier New" w:eastAsia="Courier New" w:hAnsi="Courier New"/>
          <w:sz w:val="15"/>
          <w:szCs w:val="15"/>
          <w:color w:val="auto"/>
        </w:rPr>
        <w:t>----------------------------</w:t>
      </w:r>
    </w:p>
    <w:p>
      <w:pPr>
        <w:ind w:left="2220"/>
        <w:spacing w:after="0"/>
        <w:rPr>
          <w:sz w:val="20"/>
          <w:szCs w:val="20"/>
          <w:color w:val="auto"/>
        </w:rPr>
      </w:pPr>
      <w:r>
        <w:rPr>
          <w:rFonts w:ascii="Courier New" w:cs="Courier New" w:eastAsia="Courier New" w:hAnsi="Courier New"/>
          <w:sz w:val="15"/>
          <w:szCs w:val="15"/>
          <w:color w:val="auto"/>
        </w:rPr>
        <w:t>Name: Masaaki Ariyoshi</w:t>
      </w:r>
    </w:p>
    <w:p>
      <w:pPr>
        <w:ind w:left="222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THE SUMITOMO BANK, LIMITED, NEW YORK</w:t>
      </w:r>
    </w:p>
    <w:p>
      <w:pPr>
        <w:ind w:left="1960"/>
        <w:spacing w:after="0"/>
        <w:rPr>
          <w:sz w:val="20"/>
          <w:szCs w:val="20"/>
          <w:color w:val="auto"/>
        </w:rPr>
      </w:pPr>
      <w:r>
        <w:rPr>
          <w:rFonts w:ascii="Courier New" w:cs="Courier New" w:eastAsia="Courier New" w:hAnsi="Courier New"/>
          <w:sz w:val="15"/>
          <w:szCs w:val="15"/>
          <w:color w:val="auto"/>
        </w:rPr>
        <w:t>BRANCH, as Co-Agent and a Bank</w:t>
      </w:r>
    </w:p>
    <w:p>
      <w:pPr>
        <w:spacing w:after="0" w:line="338"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By: /s/ Shuntaro Higashi</w:t>
      </w:r>
    </w:p>
    <w:p>
      <w:pPr>
        <w:ind w:left="2220"/>
        <w:spacing w:after="0"/>
        <w:rPr>
          <w:sz w:val="20"/>
          <w:szCs w:val="20"/>
          <w:color w:val="auto"/>
        </w:rPr>
      </w:pPr>
      <w:r>
        <w:rPr>
          <w:rFonts w:ascii="Courier New" w:cs="Courier New" w:eastAsia="Courier New" w:hAnsi="Courier New"/>
          <w:sz w:val="15"/>
          <w:szCs w:val="15"/>
          <w:color w:val="auto"/>
        </w:rPr>
        <w:t>----------------------------</w:t>
      </w:r>
    </w:p>
    <w:p>
      <w:pPr>
        <w:ind w:left="2220"/>
        <w:spacing w:after="0"/>
        <w:rPr>
          <w:sz w:val="20"/>
          <w:szCs w:val="20"/>
          <w:color w:val="auto"/>
        </w:rPr>
      </w:pPr>
      <w:r>
        <w:rPr>
          <w:rFonts w:ascii="Courier New" w:cs="Courier New" w:eastAsia="Courier New" w:hAnsi="Courier New"/>
          <w:sz w:val="15"/>
          <w:szCs w:val="15"/>
          <w:color w:val="auto"/>
        </w:rPr>
        <w:t>Name: Shuntaro Higashi</w:t>
      </w:r>
    </w:p>
    <w:p>
      <w:pPr>
        <w:ind w:left="2220"/>
        <w:spacing w:after="0" w:line="238" w:lineRule="auto"/>
        <w:rPr>
          <w:sz w:val="20"/>
          <w:szCs w:val="20"/>
          <w:color w:val="auto"/>
        </w:rPr>
      </w:pPr>
      <w:r>
        <w:rPr>
          <w:rFonts w:ascii="Courier New" w:cs="Courier New" w:eastAsia="Courier New" w:hAnsi="Courier New"/>
          <w:sz w:val="15"/>
          <w:szCs w:val="15"/>
          <w:color w:val="auto"/>
        </w:rPr>
        <w:t>Title: Joint General Manager</w:t>
      </w:r>
    </w:p>
    <w:p>
      <w:pPr>
        <w:spacing w:after="0" w:line="33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019"/>
          </w:cols>
          <w:pgMar w:left="1440" w:top="622" w:right="1440" w:bottom="1440" w:gutter="0" w:footer="0" w:header="0"/>
        </w:sectPr>
      </w:pPr>
    </w:p>
    <w:bookmarkStart w:id="118" w:name="page119"/>
    <w:bookmarkEnd w:id="118"/>
    <w:p>
      <w:pPr>
        <w:ind w:left="1960"/>
        <w:spacing w:after="0"/>
        <w:rPr>
          <w:sz w:val="20"/>
          <w:szCs w:val="20"/>
          <w:color w:val="auto"/>
        </w:rPr>
      </w:pPr>
      <w:r>
        <w:rPr>
          <w:rFonts w:ascii="Courier New" w:cs="Courier New" w:eastAsia="Courier New" w:hAnsi="Courier New"/>
          <w:sz w:val="15"/>
          <w:szCs w:val="15"/>
          <w:color w:val="auto"/>
        </w:rPr>
        <w:t>UNION BANK OF SWITZERLAND, as</w:t>
      </w:r>
    </w:p>
    <w:p>
      <w:pPr>
        <w:ind w:left="1960"/>
        <w:spacing w:after="0"/>
        <w:rPr>
          <w:sz w:val="20"/>
          <w:szCs w:val="20"/>
          <w:color w:val="auto"/>
        </w:rPr>
      </w:pPr>
      <w:r>
        <w:rPr>
          <w:rFonts w:ascii="Courier New" w:cs="Courier New" w:eastAsia="Courier New" w:hAnsi="Courier New"/>
          <w:sz w:val="15"/>
          <w:szCs w:val="15"/>
          <w:color w:val="auto"/>
        </w:rPr>
        <w:t>Co-Agent and a Bank</w:t>
      </w:r>
    </w:p>
    <w:p>
      <w:pPr>
        <w:spacing w:after="0" w:line="338"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By: /s/ James P. Kelleher</w:t>
      </w:r>
    </w:p>
    <w:p>
      <w:pPr>
        <w:ind w:left="2220"/>
        <w:spacing w:after="0"/>
        <w:rPr>
          <w:sz w:val="20"/>
          <w:szCs w:val="20"/>
          <w:color w:val="auto"/>
        </w:rPr>
      </w:pPr>
      <w:r>
        <w:rPr>
          <w:rFonts w:ascii="Courier New" w:cs="Courier New" w:eastAsia="Courier New" w:hAnsi="Courier New"/>
          <w:sz w:val="15"/>
          <w:szCs w:val="15"/>
          <w:color w:val="auto"/>
        </w:rPr>
        <w:t>----------------------------</w:t>
      </w:r>
    </w:p>
    <w:p>
      <w:pPr>
        <w:ind w:left="2220"/>
        <w:spacing w:after="0"/>
        <w:rPr>
          <w:sz w:val="20"/>
          <w:szCs w:val="20"/>
          <w:color w:val="auto"/>
        </w:rPr>
      </w:pPr>
      <w:r>
        <w:rPr>
          <w:rFonts w:ascii="Courier New" w:cs="Courier New" w:eastAsia="Courier New" w:hAnsi="Courier New"/>
          <w:sz w:val="15"/>
          <w:szCs w:val="15"/>
          <w:color w:val="auto"/>
        </w:rPr>
        <w:t>Name: James P. Kelleher</w:t>
      </w:r>
    </w:p>
    <w:p>
      <w:pPr>
        <w:ind w:left="2220"/>
        <w:spacing w:after="0" w:line="238" w:lineRule="auto"/>
        <w:rPr>
          <w:sz w:val="20"/>
          <w:szCs w:val="20"/>
          <w:color w:val="auto"/>
        </w:rPr>
      </w:pPr>
      <w:r>
        <w:rPr>
          <w:rFonts w:ascii="Courier New" w:cs="Courier New" w:eastAsia="Courier New" w:hAnsi="Courier New"/>
          <w:sz w:val="15"/>
          <w:szCs w:val="15"/>
          <w:color w:val="auto"/>
        </w:rPr>
        <w:t>Title: Assistant Treasurer</w:t>
      </w:r>
    </w:p>
    <w:p>
      <w:pPr>
        <w:spacing w:after="0" w:line="339"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By: /s/ Peter B. Yearly</w:t>
      </w:r>
    </w:p>
    <w:p>
      <w:pPr>
        <w:ind w:left="2220"/>
        <w:spacing w:after="0"/>
        <w:rPr>
          <w:sz w:val="20"/>
          <w:szCs w:val="20"/>
          <w:color w:val="auto"/>
        </w:rPr>
      </w:pPr>
      <w:r>
        <w:rPr>
          <w:rFonts w:ascii="Courier New" w:cs="Courier New" w:eastAsia="Courier New" w:hAnsi="Courier New"/>
          <w:sz w:val="15"/>
          <w:szCs w:val="15"/>
          <w:color w:val="auto"/>
        </w:rPr>
        <w:t>----------------------------</w:t>
      </w:r>
    </w:p>
    <w:p>
      <w:pPr>
        <w:ind w:left="2220"/>
        <w:spacing w:after="0"/>
        <w:rPr>
          <w:sz w:val="20"/>
          <w:szCs w:val="20"/>
          <w:color w:val="auto"/>
        </w:rPr>
      </w:pPr>
      <w:r>
        <w:rPr>
          <w:rFonts w:ascii="Courier New" w:cs="Courier New" w:eastAsia="Courier New" w:hAnsi="Courier New"/>
          <w:sz w:val="15"/>
          <w:szCs w:val="15"/>
          <w:color w:val="auto"/>
        </w:rPr>
        <w:t>Name: Peter B. Yearly</w:t>
      </w:r>
    </w:p>
    <w:p>
      <w:pPr>
        <w:ind w:left="222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Syndication Agent</w:t>
      </w:r>
    </w:p>
    <w:p>
      <w:pPr>
        <w:spacing w:after="0" w:line="339"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JP MORGAN SECURITIES INC., as the</w:t>
      </w:r>
    </w:p>
    <w:p>
      <w:pPr>
        <w:ind w:left="1960"/>
        <w:spacing w:after="0"/>
        <w:rPr>
          <w:sz w:val="20"/>
          <w:szCs w:val="20"/>
          <w:color w:val="auto"/>
        </w:rPr>
      </w:pPr>
      <w:r>
        <w:rPr>
          <w:rFonts w:ascii="Courier New" w:cs="Courier New" w:eastAsia="Courier New" w:hAnsi="Courier New"/>
          <w:sz w:val="15"/>
          <w:szCs w:val="15"/>
          <w:color w:val="auto"/>
        </w:rPr>
        <w:t>Syndication Agent</w:t>
      </w:r>
    </w:p>
    <w:p>
      <w:pPr>
        <w:spacing w:after="0" w:line="338"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By: /s/ Barbara J. Asch</w:t>
      </w:r>
    </w:p>
    <w:p>
      <w:pPr>
        <w:ind w:left="2220"/>
        <w:spacing w:after="0"/>
        <w:rPr>
          <w:sz w:val="20"/>
          <w:szCs w:val="20"/>
          <w:color w:val="auto"/>
        </w:rPr>
      </w:pPr>
      <w:r>
        <w:rPr>
          <w:rFonts w:ascii="Courier New" w:cs="Courier New" w:eastAsia="Courier New" w:hAnsi="Courier New"/>
          <w:sz w:val="15"/>
          <w:szCs w:val="15"/>
          <w:color w:val="auto"/>
        </w:rPr>
        <w:t>----------------------------</w:t>
      </w:r>
    </w:p>
    <w:p>
      <w:pPr>
        <w:ind w:left="2220"/>
        <w:spacing w:after="0"/>
        <w:rPr>
          <w:sz w:val="20"/>
          <w:szCs w:val="20"/>
          <w:color w:val="auto"/>
        </w:rPr>
      </w:pPr>
      <w:r>
        <w:rPr>
          <w:rFonts w:ascii="Courier New" w:cs="Courier New" w:eastAsia="Courier New" w:hAnsi="Courier New"/>
          <w:sz w:val="15"/>
          <w:szCs w:val="15"/>
          <w:color w:val="auto"/>
        </w:rPr>
        <w:t>Name: Barbara J. Asch</w:t>
      </w:r>
    </w:p>
    <w:p>
      <w:pPr>
        <w:ind w:left="222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NEW LENDERS</w:t>
      </w:r>
    </w:p>
    <w:p>
      <w:pPr>
        <w:spacing w:after="0" w:line="169"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Lead Managers</w:t>
      </w:r>
    </w:p>
    <w:p>
      <w:pPr>
        <w:spacing w:after="0" w:line="344"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CHEMICAL BANK, as Lead Manager and a</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Bank</w:t>
      </w:r>
    </w:p>
    <w:p>
      <w:pPr>
        <w:spacing w:after="0" w:line="339"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By: /s/ John C. Coffin</w:t>
      </w:r>
    </w:p>
    <w:p>
      <w:pPr>
        <w:ind w:left="2220"/>
        <w:spacing w:after="0"/>
        <w:rPr>
          <w:sz w:val="20"/>
          <w:szCs w:val="20"/>
          <w:color w:val="auto"/>
        </w:rPr>
      </w:pPr>
      <w:r>
        <w:rPr>
          <w:rFonts w:ascii="Courier New" w:cs="Courier New" w:eastAsia="Courier New" w:hAnsi="Courier New"/>
          <w:sz w:val="15"/>
          <w:szCs w:val="15"/>
          <w:color w:val="auto"/>
        </w:rPr>
        <w:t>----------------------------</w:t>
      </w:r>
    </w:p>
    <w:p>
      <w:pPr>
        <w:ind w:left="2220"/>
        <w:spacing w:after="0"/>
        <w:rPr>
          <w:sz w:val="20"/>
          <w:szCs w:val="20"/>
          <w:color w:val="auto"/>
        </w:rPr>
      </w:pPr>
      <w:r>
        <w:rPr>
          <w:rFonts w:ascii="Courier New" w:cs="Courier New" w:eastAsia="Courier New" w:hAnsi="Courier New"/>
          <w:sz w:val="15"/>
          <w:szCs w:val="15"/>
          <w:color w:val="auto"/>
        </w:rPr>
        <w:t>Name: John C. Coffin</w:t>
      </w:r>
    </w:p>
    <w:p>
      <w:pPr>
        <w:ind w:left="222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019"/>
          </w:cols>
          <w:pgMar w:left="1440" w:top="791" w:right="1440" w:bottom="1440" w:gutter="0" w:footer="0" w:header="0"/>
        </w:sectPr>
      </w:pPr>
    </w:p>
    <w:bookmarkStart w:id="119" w:name="page120"/>
    <w:bookmarkEnd w:id="119"/>
    <w:p>
      <w:pPr>
        <w:ind w:left="1960"/>
        <w:spacing w:after="0"/>
        <w:rPr>
          <w:sz w:val="20"/>
          <w:szCs w:val="20"/>
          <w:color w:val="auto"/>
        </w:rPr>
      </w:pPr>
      <w:r>
        <w:rPr>
          <w:rFonts w:ascii="Courier New" w:cs="Courier New" w:eastAsia="Courier New" w:hAnsi="Courier New"/>
          <w:sz w:val="15"/>
          <w:szCs w:val="15"/>
          <w:color w:val="auto"/>
        </w:rPr>
        <w:t>DEUTSCHE BANK AG, through its New</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York and/or Cayman Islands Branch, as</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Lead Manager and a Bank</w:t>
      </w:r>
    </w:p>
    <w:p>
      <w:pPr>
        <w:spacing w:after="0" w:line="339"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By: /s/ John R. Lilly</w:t>
      </w:r>
    </w:p>
    <w:p>
      <w:pPr>
        <w:ind w:left="2220"/>
        <w:spacing w:after="0"/>
        <w:rPr>
          <w:sz w:val="20"/>
          <w:szCs w:val="20"/>
          <w:color w:val="auto"/>
        </w:rPr>
      </w:pPr>
      <w:r>
        <w:rPr>
          <w:rFonts w:ascii="Courier New" w:cs="Courier New" w:eastAsia="Courier New" w:hAnsi="Courier New"/>
          <w:sz w:val="15"/>
          <w:szCs w:val="15"/>
          <w:color w:val="auto"/>
        </w:rPr>
        <w:t>----------------------------</w:t>
      </w:r>
    </w:p>
    <w:p>
      <w:pPr>
        <w:ind w:left="2220"/>
        <w:spacing w:after="0"/>
        <w:rPr>
          <w:sz w:val="20"/>
          <w:szCs w:val="20"/>
          <w:color w:val="auto"/>
        </w:rPr>
      </w:pPr>
      <w:r>
        <w:rPr>
          <w:rFonts w:ascii="Courier New" w:cs="Courier New" w:eastAsia="Courier New" w:hAnsi="Courier New"/>
          <w:sz w:val="15"/>
          <w:szCs w:val="15"/>
          <w:color w:val="auto"/>
        </w:rPr>
        <w:t>Name: John R. Lilly</w:t>
      </w:r>
    </w:p>
    <w:p>
      <w:pPr>
        <w:ind w:left="222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By: /s/ Alain M. Bolea</w:t>
      </w:r>
    </w:p>
    <w:p>
      <w:pPr>
        <w:ind w:left="2220"/>
        <w:spacing w:after="0"/>
        <w:rPr>
          <w:sz w:val="20"/>
          <w:szCs w:val="20"/>
          <w:color w:val="auto"/>
        </w:rPr>
      </w:pPr>
      <w:r>
        <w:rPr>
          <w:rFonts w:ascii="Courier New" w:cs="Courier New" w:eastAsia="Courier New" w:hAnsi="Courier New"/>
          <w:sz w:val="15"/>
          <w:szCs w:val="15"/>
          <w:color w:val="auto"/>
        </w:rPr>
        <w:t>----------------------------</w:t>
      </w:r>
    </w:p>
    <w:p>
      <w:pPr>
        <w:ind w:left="2220"/>
        <w:spacing w:after="0"/>
        <w:rPr>
          <w:sz w:val="20"/>
          <w:szCs w:val="20"/>
          <w:color w:val="auto"/>
        </w:rPr>
      </w:pPr>
      <w:r>
        <w:rPr>
          <w:rFonts w:ascii="Courier New" w:cs="Courier New" w:eastAsia="Courier New" w:hAnsi="Courier New"/>
          <w:sz w:val="15"/>
          <w:szCs w:val="15"/>
          <w:color w:val="auto"/>
        </w:rPr>
        <w:t>Name: Alain M. Bolea</w:t>
      </w:r>
    </w:p>
    <w:p>
      <w:pPr>
        <w:ind w:left="2220"/>
        <w:spacing w:after="0" w:line="238" w:lineRule="auto"/>
        <w:rPr>
          <w:sz w:val="20"/>
          <w:szCs w:val="20"/>
          <w:color w:val="auto"/>
        </w:rPr>
      </w:pPr>
      <w:r>
        <w:rPr>
          <w:rFonts w:ascii="Courier New" w:cs="Courier New" w:eastAsia="Courier New" w:hAnsi="Courier New"/>
          <w:sz w:val="15"/>
          <w:szCs w:val="15"/>
          <w:color w:val="auto"/>
        </w:rPr>
        <w:t>Title: Director</w:t>
      </w:r>
    </w:p>
    <w:p>
      <w:pPr>
        <w:spacing w:after="0" w:line="169"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Participants</w:t>
      </w:r>
    </w:p>
    <w:p>
      <w:pPr>
        <w:spacing w:after="0" w:line="339"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THE SAKURA BANK, LIMITED, as</w:t>
      </w:r>
    </w:p>
    <w:p>
      <w:pPr>
        <w:ind w:left="1960"/>
        <w:spacing w:after="0"/>
        <w:rPr>
          <w:sz w:val="20"/>
          <w:szCs w:val="20"/>
          <w:color w:val="auto"/>
        </w:rPr>
      </w:pPr>
      <w:r>
        <w:rPr>
          <w:rFonts w:ascii="Courier New" w:cs="Courier New" w:eastAsia="Courier New" w:hAnsi="Courier New"/>
          <w:sz w:val="15"/>
          <w:szCs w:val="15"/>
          <w:color w:val="auto"/>
        </w:rPr>
        <w:t>Participant and a Bank</w:t>
      </w:r>
    </w:p>
    <w:p>
      <w:pPr>
        <w:spacing w:after="0" w:line="338"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By: /s/ Yasuhiro Terada</w:t>
      </w:r>
    </w:p>
    <w:p>
      <w:pPr>
        <w:ind w:left="2220"/>
        <w:spacing w:after="0"/>
        <w:rPr>
          <w:sz w:val="20"/>
          <w:szCs w:val="20"/>
          <w:color w:val="auto"/>
        </w:rPr>
      </w:pPr>
      <w:r>
        <w:rPr>
          <w:rFonts w:ascii="Courier New" w:cs="Courier New" w:eastAsia="Courier New" w:hAnsi="Courier New"/>
          <w:sz w:val="15"/>
          <w:szCs w:val="15"/>
          <w:color w:val="auto"/>
        </w:rPr>
        <w:t>----------------------------</w:t>
      </w:r>
    </w:p>
    <w:p>
      <w:pPr>
        <w:ind w:left="2220"/>
        <w:spacing w:after="0"/>
        <w:rPr>
          <w:sz w:val="20"/>
          <w:szCs w:val="20"/>
          <w:color w:val="auto"/>
        </w:rPr>
      </w:pPr>
      <w:r>
        <w:rPr>
          <w:rFonts w:ascii="Courier New" w:cs="Courier New" w:eastAsia="Courier New" w:hAnsi="Courier New"/>
          <w:sz w:val="15"/>
          <w:szCs w:val="15"/>
          <w:color w:val="auto"/>
        </w:rPr>
        <w:t>Name: Yasahiro Terada</w:t>
      </w:r>
    </w:p>
    <w:p>
      <w:pPr>
        <w:ind w:left="222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5" w:lineRule="exact"/>
        <w:rPr>
          <w:sz w:val="20"/>
          <w:szCs w:val="20"/>
          <w:color w:val="auto"/>
        </w:rPr>
      </w:pPr>
    </w:p>
    <w:p>
      <w:pPr>
        <w:ind w:left="2840" w:right="4499" w:firstLine="5"/>
        <w:spacing w:after="0" w:line="235" w:lineRule="auto"/>
        <w:tabs>
          <w:tab w:leader="none" w:pos="301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Assistant General Manager</w:t>
      </w:r>
    </w:p>
    <w:p>
      <w:pPr>
        <w:spacing w:after="0" w:line="340"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COMPAGNIE FINANCIERE DE CIC ET DE</w:t>
      </w:r>
    </w:p>
    <w:p>
      <w:pPr>
        <w:ind w:left="1960"/>
        <w:spacing w:after="0"/>
        <w:rPr>
          <w:sz w:val="20"/>
          <w:szCs w:val="20"/>
          <w:color w:val="auto"/>
        </w:rPr>
      </w:pPr>
      <w:r>
        <w:rPr>
          <w:rFonts w:ascii="Courier New" w:cs="Courier New" w:eastAsia="Courier New" w:hAnsi="Courier New"/>
          <w:sz w:val="15"/>
          <w:szCs w:val="15"/>
          <w:color w:val="auto"/>
        </w:rPr>
        <w:t>L'UNION EUROPEENNE, NEW YORK BRANCH,</w:t>
      </w:r>
    </w:p>
    <w:p>
      <w:pPr>
        <w:ind w:left="1960"/>
        <w:spacing w:after="0"/>
        <w:rPr>
          <w:sz w:val="20"/>
          <w:szCs w:val="20"/>
          <w:color w:val="auto"/>
        </w:rPr>
      </w:pPr>
      <w:r>
        <w:rPr>
          <w:rFonts w:ascii="Courier New" w:cs="Courier New" w:eastAsia="Courier New" w:hAnsi="Courier New"/>
          <w:sz w:val="15"/>
          <w:szCs w:val="15"/>
          <w:color w:val="auto"/>
        </w:rPr>
        <w:t>as Participant and a Bank</w:t>
      </w:r>
    </w:p>
    <w:p>
      <w:pPr>
        <w:spacing w:after="0" w:line="338"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By: /s/ Marcus Edward</w:t>
      </w:r>
    </w:p>
    <w:p>
      <w:pPr>
        <w:ind w:left="2220"/>
        <w:spacing w:after="0"/>
        <w:rPr>
          <w:sz w:val="20"/>
          <w:szCs w:val="20"/>
          <w:color w:val="auto"/>
        </w:rPr>
      </w:pPr>
      <w:r>
        <w:rPr>
          <w:rFonts w:ascii="Courier New" w:cs="Courier New" w:eastAsia="Courier New" w:hAnsi="Courier New"/>
          <w:sz w:val="15"/>
          <w:szCs w:val="15"/>
          <w:color w:val="auto"/>
        </w:rPr>
        <w:t>----------------------------</w:t>
      </w:r>
    </w:p>
    <w:p>
      <w:pPr>
        <w:ind w:left="2220"/>
        <w:spacing w:after="0"/>
        <w:rPr>
          <w:sz w:val="20"/>
          <w:szCs w:val="20"/>
          <w:color w:val="auto"/>
        </w:rPr>
      </w:pPr>
      <w:r>
        <w:rPr>
          <w:rFonts w:ascii="Courier New" w:cs="Courier New" w:eastAsia="Courier New" w:hAnsi="Courier New"/>
          <w:sz w:val="15"/>
          <w:szCs w:val="15"/>
          <w:color w:val="auto"/>
        </w:rPr>
        <w:t>Name: Marcus Edward</w:t>
      </w:r>
    </w:p>
    <w:p>
      <w:pPr>
        <w:ind w:left="222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169"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By: /s/ Sean Mounier</w:t>
      </w:r>
    </w:p>
    <w:p>
      <w:pPr>
        <w:ind w:left="2220"/>
        <w:spacing w:after="0"/>
        <w:rPr>
          <w:sz w:val="20"/>
          <w:szCs w:val="20"/>
          <w:color w:val="auto"/>
        </w:rPr>
      </w:pPr>
      <w:r>
        <w:rPr>
          <w:rFonts w:ascii="Courier New" w:cs="Courier New" w:eastAsia="Courier New" w:hAnsi="Courier New"/>
          <w:sz w:val="15"/>
          <w:szCs w:val="15"/>
          <w:color w:val="auto"/>
        </w:rPr>
        <w:t>----------------------------</w:t>
      </w:r>
    </w:p>
    <w:p>
      <w:pPr>
        <w:ind w:left="2220"/>
        <w:spacing w:after="0"/>
        <w:rPr>
          <w:sz w:val="20"/>
          <w:szCs w:val="20"/>
          <w:color w:val="auto"/>
        </w:rPr>
      </w:pPr>
      <w:r>
        <w:rPr>
          <w:rFonts w:ascii="Courier New" w:cs="Courier New" w:eastAsia="Courier New" w:hAnsi="Courier New"/>
          <w:sz w:val="15"/>
          <w:szCs w:val="15"/>
          <w:color w:val="auto"/>
        </w:rPr>
        <w:t>Name: Sean Mounier</w:t>
      </w:r>
    </w:p>
    <w:p>
      <w:pPr>
        <w:ind w:left="222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019"/>
          </w:cols>
          <w:pgMar w:left="1440" w:top="622" w:right="1440" w:bottom="1440" w:gutter="0" w:footer="0" w:header="0"/>
        </w:sectPr>
      </w:pPr>
    </w:p>
    <w:bookmarkStart w:id="120" w:name="page121"/>
    <w:bookmarkEnd w:id="120"/>
    <w:p>
      <w:pPr>
        <w:ind w:left="1960"/>
        <w:spacing w:after="0"/>
        <w:rPr>
          <w:sz w:val="20"/>
          <w:szCs w:val="20"/>
          <w:color w:val="auto"/>
        </w:rPr>
      </w:pPr>
      <w:r>
        <w:rPr>
          <w:rFonts w:ascii="Courier New" w:cs="Courier New" w:eastAsia="Courier New" w:hAnsi="Courier New"/>
          <w:sz w:val="15"/>
          <w:szCs w:val="15"/>
          <w:color w:val="auto"/>
        </w:rPr>
        <w:t>PNC BANK N.A., as Participant and a</w:t>
      </w:r>
    </w:p>
    <w:p>
      <w:pPr>
        <w:ind w:left="1960"/>
        <w:spacing w:after="0"/>
        <w:rPr>
          <w:sz w:val="20"/>
          <w:szCs w:val="20"/>
          <w:color w:val="auto"/>
        </w:rPr>
      </w:pPr>
      <w:r>
        <w:rPr>
          <w:rFonts w:ascii="Courier New" w:cs="Courier New" w:eastAsia="Courier New" w:hAnsi="Courier New"/>
          <w:sz w:val="15"/>
          <w:szCs w:val="15"/>
          <w:color w:val="auto"/>
        </w:rPr>
        <w:t>Bank</w:t>
      </w:r>
    </w:p>
    <w:p>
      <w:pPr>
        <w:spacing w:after="0" w:line="338"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By: /s/ Karen M. Wolters</w:t>
      </w:r>
    </w:p>
    <w:p>
      <w:pPr>
        <w:ind w:left="2220"/>
        <w:spacing w:after="0"/>
        <w:rPr>
          <w:sz w:val="20"/>
          <w:szCs w:val="20"/>
          <w:color w:val="auto"/>
        </w:rPr>
      </w:pPr>
      <w:r>
        <w:rPr>
          <w:rFonts w:ascii="Courier New" w:cs="Courier New" w:eastAsia="Courier New" w:hAnsi="Courier New"/>
          <w:sz w:val="15"/>
          <w:szCs w:val="15"/>
          <w:color w:val="auto"/>
        </w:rPr>
        <w:t>----------------------------</w:t>
      </w:r>
    </w:p>
    <w:p>
      <w:pPr>
        <w:ind w:left="2220"/>
        <w:spacing w:after="0"/>
        <w:rPr>
          <w:sz w:val="20"/>
          <w:szCs w:val="20"/>
          <w:color w:val="auto"/>
        </w:rPr>
      </w:pPr>
      <w:r>
        <w:rPr>
          <w:rFonts w:ascii="Courier New" w:cs="Courier New" w:eastAsia="Courier New" w:hAnsi="Courier New"/>
          <w:sz w:val="15"/>
          <w:szCs w:val="15"/>
          <w:color w:val="auto"/>
        </w:rPr>
        <w:t>Name: Karen M. Wolters</w:t>
      </w:r>
    </w:p>
    <w:p>
      <w:pPr>
        <w:ind w:left="222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44"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FIRST INTERSTATE BANK OF WASHINGTON,</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N.A., as Participant and a Bank</w:t>
      </w:r>
    </w:p>
    <w:p>
      <w:pPr>
        <w:spacing w:after="0" w:line="339"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By: /s/ Susan Hendrixson</w:t>
      </w:r>
    </w:p>
    <w:p>
      <w:pPr>
        <w:ind w:left="2220"/>
        <w:spacing w:after="0"/>
        <w:rPr>
          <w:sz w:val="20"/>
          <w:szCs w:val="20"/>
          <w:color w:val="auto"/>
        </w:rPr>
      </w:pPr>
      <w:r>
        <w:rPr>
          <w:rFonts w:ascii="Courier New" w:cs="Courier New" w:eastAsia="Courier New" w:hAnsi="Courier New"/>
          <w:sz w:val="15"/>
          <w:szCs w:val="15"/>
          <w:color w:val="auto"/>
        </w:rPr>
        <w:t>----------------------------</w:t>
      </w:r>
    </w:p>
    <w:p>
      <w:pPr>
        <w:ind w:left="2220"/>
        <w:spacing w:after="0"/>
        <w:rPr>
          <w:sz w:val="20"/>
          <w:szCs w:val="20"/>
          <w:color w:val="auto"/>
        </w:rPr>
      </w:pPr>
      <w:r>
        <w:rPr>
          <w:rFonts w:ascii="Courier New" w:cs="Courier New" w:eastAsia="Courier New" w:hAnsi="Courier New"/>
          <w:sz w:val="15"/>
          <w:szCs w:val="15"/>
          <w:color w:val="auto"/>
        </w:rPr>
        <w:t>Name: Susan Hendrixson</w:t>
      </w:r>
    </w:p>
    <w:p>
      <w:pPr>
        <w:ind w:left="222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GULF INTERNATIONAL BANK, as</w:t>
      </w:r>
    </w:p>
    <w:p>
      <w:pPr>
        <w:ind w:left="1960"/>
        <w:spacing w:after="0"/>
        <w:rPr>
          <w:sz w:val="20"/>
          <w:szCs w:val="20"/>
          <w:color w:val="auto"/>
        </w:rPr>
      </w:pPr>
      <w:r>
        <w:rPr>
          <w:rFonts w:ascii="Courier New" w:cs="Courier New" w:eastAsia="Courier New" w:hAnsi="Courier New"/>
          <w:sz w:val="15"/>
          <w:szCs w:val="15"/>
          <w:color w:val="auto"/>
        </w:rPr>
        <w:t>Participant and a Bank</w:t>
      </w:r>
    </w:p>
    <w:p>
      <w:pPr>
        <w:spacing w:after="0" w:line="338"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By: /s/ Abdel-Fattah Tahoun</w:t>
      </w:r>
    </w:p>
    <w:p>
      <w:pPr>
        <w:ind w:left="2220"/>
        <w:spacing w:after="0"/>
        <w:rPr>
          <w:sz w:val="20"/>
          <w:szCs w:val="20"/>
          <w:color w:val="auto"/>
        </w:rPr>
      </w:pPr>
      <w:r>
        <w:rPr>
          <w:rFonts w:ascii="Courier New" w:cs="Courier New" w:eastAsia="Courier New" w:hAnsi="Courier New"/>
          <w:sz w:val="15"/>
          <w:szCs w:val="15"/>
          <w:color w:val="auto"/>
        </w:rPr>
        <w:t>----------------------------</w:t>
      </w:r>
    </w:p>
    <w:p>
      <w:pPr>
        <w:ind w:left="2220"/>
        <w:spacing w:after="0"/>
        <w:rPr>
          <w:sz w:val="20"/>
          <w:szCs w:val="20"/>
          <w:color w:val="auto"/>
        </w:rPr>
      </w:pPr>
      <w:r>
        <w:rPr>
          <w:rFonts w:ascii="Courier New" w:cs="Courier New" w:eastAsia="Courier New" w:hAnsi="Courier New"/>
          <w:sz w:val="15"/>
          <w:szCs w:val="15"/>
          <w:color w:val="auto"/>
        </w:rPr>
        <w:t>Name: Abdel-Fattah Tahoun</w:t>
      </w:r>
    </w:p>
    <w:p>
      <w:pPr>
        <w:ind w:left="222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169"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By: /s/ Haytham F. Khalil</w:t>
      </w:r>
    </w:p>
    <w:p>
      <w:pPr>
        <w:ind w:left="2220"/>
        <w:spacing w:after="0"/>
        <w:rPr>
          <w:sz w:val="20"/>
          <w:szCs w:val="20"/>
          <w:color w:val="auto"/>
        </w:rPr>
      </w:pPr>
      <w:r>
        <w:rPr>
          <w:rFonts w:ascii="Courier New" w:cs="Courier New" w:eastAsia="Courier New" w:hAnsi="Courier New"/>
          <w:sz w:val="15"/>
          <w:szCs w:val="15"/>
          <w:color w:val="auto"/>
        </w:rPr>
        <w:t>----------------------------</w:t>
      </w:r>
    </w:p>
    <w:p>
      <w:pPr>
        <w:ind w:left="2220"/>
        <w:spacing w:after="0"/>
        <w:rPr>
          <w:sz w:val="20"/>
          <w:szCs w:val="20"/>
          <w:color w:val="auto"/>
        </w:rPr>
      </w:pPr>
      <w:r>
        <w:rPr>
          <w:rFonts w:ascii="Courier New" w:cs="Courier New" w:eastAsia="Courier New" w:hAnsi="Courier New"/>
          <w:sz w:val="15"/>
          <w:szCs w:val="15"/>
          <w:color w:val="auto"/>
        </w:rPr>
        <w:t>Name: Haytham F. Khalil</w:t>
      </w:r>
    </w:p>
    <w:p>
      <w:pPr>
        <w:ind w:left="2220"/>
        <w:spacing w:after="0" w:line="238" w:lineRule="auto"/>
        <w:rPr>
          <w:sz w:val="20"/>
          <w:szCs w:val="20"/>
          <w:color w:val="auto"/>
        </w:rPr>
      </w:pPr>
      <w:r>
        <w:rPr>
          <w:rFonts w:ascii="Courier New" w:cs="Courier New" w:eastAsia="Courier New" w:hAnsi="Courier New"/>
          <w:sz w:val="15"/>
          <w:szCs w:val="15"/>
          <w:color w:val="auto"/>
        </w:rPr>
        <w:t>Title: Assistant Vice</w:t>
      </w:r>
    </w:p>
    <w:p>
      <w:pPr>
        <w:ind w:left="2840"/>
        <w:spacing w:after="0"/>
        <w:rPr>
          <w:sz w:val="20"/>
          <w:szCs w:val="20"/>
          <w:color w:val="auto"/>
        </w:rPr>
      </w:pPr>
      <w:r>
        <w:rPr>
          <w:rFonts w:ascii="Courier New" w:cs="Courier New" w:eastAsia="Courier New" w:hAnsi="Courier New"/>
          <w:sz w:val="15"/>
          <w:szCs w:val="15"/>
          <w:color w:val="auto"/>
        </w:rPr>
        <w:t>President</w:t>
      </w:r>
    </w:p>
    <w:p>
      <w:pPr>
        <w:spacing w:after="0" w:line="338"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THE TOKAI BANK, LIMITED, NEW YORK</w:t>
      </w:r>
    </w:p>
    <w:p>
      <w:pPr>
        <w:ind w:left="1960"/>
        <w:spacing w:after="0"/>
        <w:rPr>
          <w:sz w:val="20"/>
          <w:szCs w:val="20"/>
          <w:color w:val="auto"/>
        </w:rPr>
      </w:pPr>
      <w:r>
        <w:rPr>
          <w:rFonts w:ascii="Courier New" w:cs="Courier New" w:eastAsia="Courier New" w:hAnsi="Courier New"/>
          <w:sz w:val="15"/>
          <w:szCs w:val="15"/>
          <w:color w:val="auto"/>
        </w:rPr>
        <w:t>BRANCH, as Participant and a Bank</w:t>
      </w:r>
    </w:p>
    <w:p>
      <w:pPr>
        <w:spacing w:after="0" w:line="338"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By: /s/ Masaharu Muto</w:t>
      </w:r>
    </w:p>
    <w:p>
      <w:pPr>
        <w:ind w:left="2220"/>
        <w:spacing w:after="0"/>
        <w:rPr>
          <w:sz w:val="20"/>
          <w:szCs w:val="20"/>
          <w:color w:val="auto"/>
        </w:rPr>
      </w:pPr>
      <w:r>
        <w:rPr>
          <w:rFonts w:ascii="Courier New" w:cs="Courier New" w:eastAsia="Courier New" w:hAnsi="Courier New"/>
          <w:sz w:val="15"/>
          <w:szCs w:val="15"/>
          <w:color w:val="auto"/>
        </w:rPr>
        <w:t>----------------------------</w:t>
      </w:r>
    </w:p>
    <w:p>
      <w:pPr>
        <w:ind w:left="2220"/>
        <w:spacing w:after="0"/>
        <w:rPr>
          <w:sz w:val="20"/>
          <w:szCs w:val="20"/>
          <w:color w:val="auto"/>
        </w:rPr>
      </w:pPr>
      <w:r>
        <w:rPr>
          <w:rFonts w:ascii="Courier New" w:cs="Courier New" w:eastAsia="Courier New" w:hAnsi="Courier New"/>
          <w:sz w:val="15"/>
          <w:szCs w:val="15"/>
          <w:color w:val="auto"/>
        </w:rPr>
        <w:t>Name: Masaharu Muto</w:t>
      </w:r>
    </w:p>
    <w:p>
      <w:pPr>
        <w:ind w:left="2220"/>
        <w:spacing w:after="0" w:line="238" w:lineRule="auto"/>
        <w:rPr>
          <w:sz w:val="20"/>
          <w:szCs w:val="20"/>
          <w:color w:val="auto"/>
        </w:rPr>
      </w:pPr>
      <w:r>
        <w:rPr>
          <w:rFonts w:ascii="Courier New" w:cs="Courier New" w:eastAsia="Courier New" w:hAnsi="Courier New"/>
          <w:sz w:val="15"/>
          <w:szCs w:val="15"/>
          <w:color w:val="auto"/>
        </w:rPr>
        <w:t>Title: Deputy General Manager</w:t>
      </w:r>
    </w:p>
    <w:p>
      <w:pPr>
        <w:spacing w:after="0" w:line="33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019"/>
          </w:cols>
          <w:pgMar w:left="1440" w:top="791" w:right="1440" w:bottom="1440" w:gutter="0" w:footer="0" w:header="0"/>
        </w:sectPr>
      </w:pPr>
    </w:p>
    <w:bookmarkStart w:id="121" w:name="page122"/>
    <w:bookmarkEnd w:id="121"/>
    <w:p>
      <w:pPr>
        <w:ind w:left="1960"/>
        <w:spacing w:after="0"/>
        <w:rPr>
          <w:sz w:val="20"/>
          <w:szCs w:val="20"/>
          <w:color w:val="auto"/>
        </w:rPr>
      </w:pPr>
      <w:r>
        <w:rPr>
          <w:rFonts w:ascii="Courier New" w:cs="Courier New" w:eastAsia="Courier New" w:hAnsi="Courier New"/>
          <w:sz w:val="15"/>
          <w:szCs w:val="15"/>
          <w:color w:val="auto"/>
        </w:rPr>
        <w:t>THE YASUDA TRUST AND BANKING CO.,</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LTD., NEW YORK BRANCH, as Participant</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and a Bank</w:t>
      </w:r>
    </w:p>
    <w:p>
      <w:pPr>
        <w:spacing w:after="0" w:line="339"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By: /s/ Neil T. Chau</w:t>
      </w:r>
    </w:p>
    <w:p>
      <w:pPr>
        <w:ind w:left="2220"/>
        <w:spacing w:after="0"/>
        <w:rPr>
          <w:sz w:val="20"/>
          <w:szCs w:val="20"/>
          <w:color w:val="auto"/>
        </w:rPr>
      </w:pPr>
      <w:r>
        <w:rPr>
          <w:rFonts w:ascii="Courier New" w:cs="Courier New" w:eastAsia="Courier New" w:hAnsi="Courier New"/>
          <w:sz w:val="15"/>
          <w:szCs w:val="15"/>
          <w:color w:val="auto"/>
        </w:rPr>
        <w:t>----------------------------</w:t>
      </w:r>
    </w:p>
    <w:p>
      <w:pPr>
        <w:ind w:left="2220"/>
        <w:spacing w:after="0"/>
        <w:rPr>
          <w:sz w:val="20"/>
          <w:szCs w:val="20"/>
          <w:color w:val="auto"/>
        </w:rPr>
      </w:pPr>
      <w:r>
        <w:rPr>
          <w:rFonts w:ascii="Courier New" w:cs="Courier New" w:eastAsia="Courier New" w:hAnsi="Courier New"/>
          <w:sz w:val="15"/>
          <w:szCs w:val="15"/>
          <w:color w:val="auto"/>
        </w:rPr>
        <w:t>Name: Neil T. Chau</w:t>
      </w:r>
    </w:p>
    <w:p>
      <w:pPr>
        <w:ind w:left="2220"/>
        <w:spacing w:after="0" w:line="238" w:lineRule="auto"/>
        <w:rPr>
          <w:sz w:val="20"/>
          <w:szCs w:val="20"/>
          <w:color w:val="auto"/>
        </w:rPr>
      </w:pPr>
      <w:r>
        <w:rPr>
          <w:rFonts w:ascii="Courier New" w:cs="Courier New" w:eastAsia="Courier New" w:hAnsi="Courier New"/>
          <w:sz w:val="15"/>
          <w:szCs w:val="15"/>
          <w:color w:val="auto"/>
        </w:rPr>
        <w:t>Title: First Vice President</w:t>
      </w:r>
    </w:p>
    <w:p>
      <w:pPr>
        <w:spacing w:after="0" w:line="200" w:lineRule="exact"/>
        <w:rPr>
          <w:sz w:val="20"/>
          <w:szCs w:val="20"/>
          <w:color w:val="auto"/>
        </w:rPr>
      </w:pPr>
    </w:p>
    <w:p>
      <w:pPr>
        <w:spacing w:after="0" w:line="30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019"/>
          </w:cols>
          <w:pgMar w:left="1440" w:top="622" w:right="1440" w:bottom="1440" w:gutter="0" w:footer="0" w:header="0"/>
        </w:sectPr>
      </w:pPr>
    </w:p>
    <w:bookmarkStart w:id="122" w:name="page123"/>
    <w:bookmarkEnd w:id="122"/>
    <w:p>
      <w:pPr>
        <w:ind w:left="2900"/>
        <w:spacing w:after="0"/>
        <w:rPr>
          <w:sz w:val="20"/>
          <w:szCs w:val="20"/>
          <w:color w:val="auto"/>
        </w:rPr>
      </w:pPr>
      <w:r>
        <w:rPr>
          <w:rFonts w:ascii="Courier New" w:cs="Courier New" w:eastAsia="Courier New" w:hAnsi="Courier New"/>
          <w:sz w:val="15"/>
          <w:szCs w:val="15"/>
          <w:color w:val="auto"/>
        </w:rPr>
        <w:t>Schedule I</w:t>
      </w:r>
    </w:p>
    <w:p>
      <w:pPr>
        <w:spacing w:after="0" w:line="17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List of Lending Offices</w:t>
      </w:r>
    </w:p>
    <w:p>
      <w:pPr>
        <w:sectPr>
          <w:pgSz w:w="11900" w:h="16838" w:orient="portrait"/>
          <w:cols w:equalWidth="0" w:num="1">
            <w:col w:w="10219"/>
          </w:cols>
          <w:pgMar w:left="240" w:top="622" w:right="1440" w:bottom="1440" w:gutter="0" w:footer="0" w:header="0"/>
        </w:sect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Bank of New York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80" w:lineRule="exact"/>
        <w:rPr>
          <w:sz w:val="20"/>
          <w:szCs w:val="20"/>
          <w:color w:val="auto"/>
        </w:rPr>
      </w:pPr>
    </w:p>
    <w:p>
      <w:pPr>
        <w:sectPr>
          <w:pgSz w:w="11900" w:h="16838" w:orient="portrait"/>
          <w:cols w:equalWidth="0" w:num="2">
            <w:col w:w="3240" w:space="720"/>
            <w:col w:w="6259"/>
          </w:cols>
          <w:pgMar w:left="240" w:top="622" w:right="1440" w:bottom="1440" w:gutter="0" w:footer="0" w:header="0"/>
          <w:type w:val="continuous"/>
        </w:sectPr>
      </w:pPr>
    </w:p>
    <w:p>
      <w:pPr>
        <w:ind w:left="3960"/>
        <w:spacing w:after="0"/>
        <w:rPr>
          <w:sz w:val="20"/>
          <w:szCs w:val="20"/>
          <w:color w:val="auto"/>
        </w:rPr>
      </w:pPr>
      <w:r>
        <w:rPr>
          <w:rFonts w:ascii="Courier New" w:cs="Courier New" w:eastAsia="Courier New" w:hAnsi="Courier New"/>
          <w:sz w:val="14"/>
          <w:szCs w:val="14"/>
          <w:color w:val="auto"/>
        </w:rPr>
        <w:t>The Bank of New York</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One Wall Street</w:t>
      </w:r>
    </w:p>
    <w:p>
      <w:pPr>
        <w:ind w:left="3960"/>
        <w:spacing w:after="0"/>
        <w:rPr>
          <w:sz w:val="20"/>
          <w:szCs w:val="20"/>
          <w:color w:val="auto"/>
        </w:rPr>
      </w:pPr>
      <w:r>
        <w:rPr>
          <w:rFonts w:ascii="Courier New" w:cs="Courier New" w:eastAsia="Courier New" w:hAnsi="Courier New"/>
          <w:sz w:val="15"/>
          <w:szCs w:val="15"/>
          <w:color w:val="auto"/>
        </w:rPr>
        <w:t>16th Floor</w:t>
      </w:r>
    </w:p>
    <w:p>
      <w:pPr>
        <w:ind w:left="3960"/>
        <w:spacing w:after="0"/>
        <w:rPr>
          <w:sz w:val="20"/>
          <w:szCs w:val="20"/>
          <w:color w:val="auto"/>
        </w:rPr>
      </w:pPr>
      <w:r>
        <w:rPr>
          <w:rFonts w:ascii="Courier New" w:cs="Courier New" w:eastAsia="Courier New" w:hAnsi="Courier New"/>
          <w:sz w:val="15"/>
          <w:szCs w:val="15"/>
          <w:color w:val="auto"/>
        </w:rPr>
        <w:t>New York, New York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10286</w:t>
      </w:r>
    </w:p>
    <w:p>
      <w:pPr>
        <w:spacing w:after="0" w:line="180" w:lineRule="exact"/>
        <w:rPr>
          <w:sz w:val="20"/>
          <w:szCs w:val="20"/>
          <w:color w:val="auto"/>
        </w:rPr>
      </w:pPr>
    </w:p>
    <w:p>
      <w:pPr>
        <w:sectPr>
          <w:pgSz w:w="11900" w:h="16838" w:orient="portrait"/>
          <w:cols w:equalWidth="0" w:num="2">
            <w:col w:w="5720" w:space="0"/>
            <w:col w:w="4499"/>
          </w:cols>
          <w:pgMar w:left="240" w:top="622" w:right="1440" w:bottom="1440" w:gutter="0" w:footer="0" w:header="0"/>
          <w:type w:val="continuous"/>
        </w:sectPr>
      </w:pPr>
    </w:p>
    <w:p>
      <w:pPr>
        <w:ind w:left="3960"/>
        <w:spacing w:after="0"/>
        <w:rPr>
          <w:sz w:val="20"/>
          <w:szCs w:val="20"/>
          <w:color w:val="auto"/>
        </w:rPr>
      </w:pPr>
      <w:r>
        <w:rPr>
          <w:rFonts w:ascii="Courier New" w:cs="Courier New" w:eastAsia="Courier New" w:hAnsi="Courier New"/>
          <w:sz w:val="14"/>
          <w:szCs w:val="14"/>
          <w:color w:val="auto"/>
        </w:rPr>
        <w:t>Eurodollar Lending Office:</w:t>
      </w:r>
    </w:p>
    <w:p>
      <w:pPr>
        <w:spacing w:after="0" w:line="175"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Same</w:t>
      </w:r>
    </w:p>
    <w:p>
      <w:pPr>
        <w:sectPr>
          <w:pgSz w:w="11900" w:h="16838" w:orient="portrait"/>
          <w:cols w:equalWidth="0" w:num="1">
            <w:col w:w="10219"/>
          </w:cols>
          <w:pgMar w:left="240" w:top="622"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Citibank, N.A.</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75" w:lineRule="exact"/>
        <w:rPr>
          <w:sz w:val="20"/>
          <w:szCs w:val="20"/>
          <w:color w:val="auto"/>
        </w:rPr>
      </w:pPr>
    </w:p>
    <w:p>
      <w:pPr>
        <w:sectPr>
          <w:pgSz w:w="11900" w:h="16838" w:orient="portrait"/>
          <w:cols w:equalWidth="0" w:num="2">
            <w:col w:w="3240" w:space="720"/>
            <w:col w:w="6259"/>
          </w:cols>
          <w:pgMar w:left="240" w:top="622" w:right="1440" w:bottom="1440" w:gutter="0" w:footer="0" w:header="0"/>
          <w:type w:val="continuous"/>
        </w:sectPr>
      </w:pPr>
    </w:p>
    <w:p>
      <w:pPr>
        <w:ind w:left="3960"/>
        <w:spacing w:after="0"/>
        <w:rPr>
          <w:sz w:val="20"/>
          <w:szCs w:val="20"/>
          <w:color w:val="auto"/>
        </w:rPr>
      </w:pPr>
      <w:r>
        <w:rPr>
          <w:rFonts w:ascii="Courier New" w:cs="Courier New" w:eastAsia="Courier New" w:hAnsi="Courier New"/>
          <w:sz w:val="15"/>
          <w:szCs w:val="15"/>
          <w:color w:val="auto"/>
        </w:rPr>
        <w:t>Citibank, N.A.</w:t>
      </w:r>
    </w:p>
    <w:p>
      <w:pPr>
        <w:ind w:left="3960"/>
        <w:spacing w:after="0"/>
        <w:rPr>
          <w:sz w:val="20"/>
          <w:szCs w:val="20"/>
          <w:color w:val="auto"/>
        </w:rPr>
      </w:pPr>
      <w:r>
        <w:rPr>
          <w:rFonts w:ascii="Courier New" w:cs="Courier New" w:eastAsia="Courier New" w:hAnsi="Courier New"/>
          <w:sz w:val="15"/>
          <w:szCs w:val="15"/>
          <w:color w:val="auto"/>
        </w:rPr>
        <w:t>399 Park Avenue</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New York, New York</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10043</w:t>
      </w:r>
    </w:p>
    <w:p>
      <w:pPr>
        <w:spacing w:after="0" w:line="180" w:lineRule="exact"/>
        <w:rPr>
          <w:sz w:val="20"/>
          <w:szCs w:val="20"/>
          <w:color w:val="auto"/>
        </w:rPr>
      </w:pPr>
    </w:p>
    <w:p>
      <w:pPr>
        <w:sectPr>
          <w:pgSz w:w="11900" w:h="16838" w:orient="portrait"/>
          <w:cols w:equalWidth="0" w:num="2">
            <w:col w:w="5540" w:space="180"/>
            <w:col w:w="4499"/>
          </w:cols>
          <w:pgMar w:left="240" w:top="622" w:right="1440" w:bottom="1440" w:gutter="0" w:footer="0" w:header="0"/>
          <w:type w:val="continuous"/>
        </w:sectPr>
      </w:pPr>
    </w:p>
    <w:p>
      <w:pPr>
        <w:ind w:left="3960"/>
        <w:spacing w:after="0"/>
        <w:rPr>
          <w:sz w:val="20"/>
          <w:szCs w:val="20"/>
          <w:color w:val="auto"/>
        </w:rPr>
      </w:pPr>
      <w:r>
        <w:rPr>
          <w:rFonts w:ascii="Courier New" w:cs="Courier New" w:eastAsia="Courier New" w:hAnsi="Courier New"/>
          <w:sz w:val="14"/>
          <w:szCs w:val="14"/>
          <w:color w:val="auto"/>
        </w:rPr>
        <w:t>Eurodollar Lending Office:</w:t>
      </w:r>
    </w:p>
    <w:p>
      <w:pPr>
        <w:spacing w:after="0" w:line="175"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Same</w:t>
      </w:r>
    </w:p>
    <w:p>
      <w:pPr>
        <w:sectPr>
          <w:pgSz w:w="11900" w:h="16838" w:orient="portrait"/>
          <w:cols w:equalWidth="0" w:num="1">
            <w:col w:w="10219"/>
          </w:cols>
          <w:pgMar w:left="240" w:top="622"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Morgan Guaranty Trust Company</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of New York</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80" w:lineRule="exact"/>
        <w:rPr>
          <w:sz w:val="20"/>
          <w:szCs w:val="20"/>
          <w:color w:val="auto"/>
        </w:rPr>
      </w:pPr>
    </w:p>
    <w:p>
      <w:pPr>
        <w:sectPr>
          <w:pgSz w:w="11900" w:h="16838" w:orient="portrait"/>
          <w:cols w:equalWidth="0" w:num="2">
            <w:col w:w="3240" w:space="720"/>
            <w:col w:w="6259"/>
          </w:cols>
          <w:pgMar w:left="240" w:top="622" w:right="1440" w:bottom="1440" w:gutter="0" w:footer="0" w:header="0"/>
          <w:type w:val="continuous"/>
        </w:sectPr>
      </w:pPr>
    </w:p>
    <w:p>
      <w:pPr>
        <w:ind w:left="3960"/>
        <w:spacing w:after="0"/>
        <w:rPr>
          <w:sz w:val="20"/>
          <w:szCs w:val="20"/>
          <w:color w:val="auto"/>
        </w:rPr>
      </w:pPr>
      <w:r>
        <w:rPr>
          <w:rFonts w:ascii="Courier New" w:cs="Courier New" w:eastAsia="Courier New" w:hAnsi="Courier New"/>
          <w:sz w:val="14"/>
          <w:szCs w:val="14"/>
          <w:color w:val="auto"/>
        </w:rPr>
        <w:t>Morgan Guaranty Trust Company of</w:t>
      </w:r>
    </w:p>
    <w:p>
      <w:pPr>
        <w:spacing w:after="0" w:line="5"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New York</w:t>
      </w:r>
    </w:p>
    <w:p>
      <w:pPr>
        <w:ind w:left="3960"/>
        <w:spacing w:after="0"/>
        <w:rPr>
          <w:sz w:val="20"/>
          <w:szCs w:val="20"/>
          <w:color w:val="auto"/>
        </w:rPr>
      </w:pPr>
      <w:r>
        <w:rPr>
          <w:rFonts w:ascii="Courier New" w:cs="Courier New" w:eastAsia="Courier New" w:hAnsi="Courier New"/>
          <w:sz w:val="15"/>
          <w:szCs w:val="15"/>
          <w:color w:val="auto"/>
        </w:rPr>
        <w:t>60 Wall Street</w:t>
      </w:r>
    </w:p>
    <w:p>
      <w:pPr>
        <w:ind w:left="3960"/>
        <w:spacing w:after="0"/>
        <w:tabs>
          <w:tab w:leader="none" w:pos="570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10260-0060</w:t>
      </w:r>
    </w:p>
    <w:p>
      <w:pPr>
        <w:sectPr>
          <w:pgSz w:w="11900" w:h="16838" w:orient="portrait"/>
          <w:cols w:equalWidth="0" w:num="1">
            <w:col w:w="10219"/>
          </w:cols>
          <w:pgMar w:left="240" w:top="622" w:right="1440" w:bottom="1440" w:gutter="0" w:footer="0" w:header="0"/>
          <w:type w:val="continuous"/>
        </w:sectPr>
      </w:pPr>
    </w:p>
    <w:p>
      <w:pPr>
        <w:ind w:left="3960"/>
        <w:spacing w:after="0" w:line="238" w:lineRule="auto"/>
        <w:rPr>
          <w:sz w:val="20"/>
          <w:szCs w:val="20"/>
          <w:color w:val="auto"/>
        </w:rPr>
      </w:pPr>
      <w:r>
        <w:rPr>
          <w:rFonts w:ascii="Courier New" w:cs="Courier New" w:eastAsia="Courier New" w:hAnsi="Courier New"/>
          <w:sz w:val="15"/>
          <w:szCs w:val="15"/>
          <w:color w:val="auto"/>
        </w:rPr>
        <w:t>Attention Loan Department</w:t>
      </w:r>
    </w:p>
    <w:p>
      <w:pPr>
        <w:ind w:left="3960"/>
        <w:spacing w:after="0"/>
        <w:rPr>
          <w:sz w:val="20"/>
          <w:szCs w:val="20"/>
          <w:color w:val="auto"/>
        </w:rPr>
      </w:pPr>
      <w:r>
        <w:rPr>
          <w:rFonts w:ascii="Courier New" w:cs="Courier New" w:eastAsia="Courier New" w:hAnsi="Courier New"/>
          <w:sz w:val="15"/>
          <w:szCs w:val="15"/>
          <w:color w:val="auto"/>
        </w:rPr>
        <w:t>Telex #177615 MGT VT</w:t>
      </w:r>
    </w:p>
    <w:p>
      <w:pPr>
        <w:spacing w:after="0" w:line="169"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Eurodollar Lending Office:</w:t>
      </w:r>
    </w:p>
    <w:p>
      <w:pPr>
        <w:spacing w:after="0" w:line="169"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Morgan Guaranty Trust</w:t>
      </w:r>
    </w:p>
    <w:p>
      <w:pPr>
        <w:ind w:left="4300"/>
        <w:spacing w:after="0"/>
        <w:rPr>
          <w:sz w:val="20"/>
          <w:szCs w:val="20"/>
          <w:color w:val="auto"/>
        </w:rPr>
      </w:pPr>
      <w:r>
        <w:rPr>
          <w:rFonts w:ascii="Courier New" w:cs="Courier New" w:eastAsia="Courier New" w:hAnsi="Courier New"/>
          <w:sz w:val="15"/>
          <w:szCs w:val="15"/>
          <w:color w:val="auto"/>
        </w:rPr>
        <w:t>Company of New York</w:t>
      </w:r>
    </w:p>
    <w:p>
      <w:pPr>
        <w:ind w:left="3960"/>
        <w:spacing w:after="0"/>
        <w:rPr>
          <w:sz w:val="20"/>
          <w:szCs w:val="20"/>
          <w:color w:val="auto"/>
        </w:rPr>
      </w:pPr>
      <w:r>
        <w:rPr>
          <w:rFonts w:ascii="Courier New" w:cs="Courier New" w:eastAsia="Courier New" w:hAnsi="Courier New"/>
          <w:sz w:val="15"/>
          <w:szCs w:val="15"/>
          <w:color w:val="auto"/>
        </w:rPr>
        <w:t>Nassau, Bahamas Office</w:t>
      </w:r>
    </w:p>
    <w:p>
      <w:pPr>
        <w:ind w:left="3960"/>
        <w:spacing w:after="0" w:line="238" w:lineRule="auto"/>
        <w:rPr>
          <w:sz w:val="20"/>
          <w:szCs w:val="20"/>
          <w:color w:val="auto"/>
        </w:rPr>
      </w:pPr>
      <w:r>
        <w:rPr>
          <w:rFonts w:ascii="Courier New" w:cs="Courier New" w:eastAsia="Courier New" w:hAnsi="Courier New"/>
          <w:sz w:val="15"/>
          <w:szCs w:val="15"/>
          <w:color w:val="auto"/>
        </w:rPr>
        <w:t>c/o J.P. Morgan Services</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Loan Operations - 3rd Floor</w:t>
      </w:r>
    </w:p>
    <w:p>
      <w:pPr>
        <w:spacing w:after="0" w:line="11"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500 Stanton Christiana Road</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Newark, Delaware 19713</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I-1</w:t>
      </w:r>
    </w:p>
    <w:p>
      <w:pPr>
        <w:sectPr>
          <w:pgSz w:w="11900" w:h="16838" w:orient="portrait"/>
          <w:cols w:equalWidth="0" w:num="1">
            <w:col w:w="10219"/>
          </w:cols>
          <w:pgMar w:left="240" w:top="622" w:right="1440" w:bottom="1440" w:gutter="0" w:footer="0" w:header="0"/>
          <w:type w:val="continuous"/>
        </w:sectPr>
      </w:pPr>
    </w:p>
    <w:bookmarkStart w:id="123" w:name="page124"/>
    <w:bookmarkEnd w:id="123"/>
    <w:p>
      <w:pPr>
        <w:spacing w:after="0"/>
        <w:rPr>
          <w:sz w:val="20"/>
          <w:szCs w:val="20"/>
          <w:color w:val="auto"/>
        </w:rPr>
      </w:pPr>
      <w:r>
        <w:rPr>
          <w:rFonts w:ascii="Courier New" w:cs="Courier New" w:eastAsia="Courier New" w:hAnsi="Courier New"/>
          <w:sz w:val="15"/>
          <w:szCs w:val="15"/>
          <w:color w:val="auto"/>
        </w:rPr>
        <w:t>Bank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of America NT&amp;SA</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75" w:lineRule="exact"/>
        <w:rPr>
          <w:sz w:val="20"/>
          <w:szCs w:val="20"/>
          <w:color w:val="auto"/>
        </w:rPr>
      </w:pPr>
    </w:p>
    <w:p>
      <w:pPr>
        <w:sectPr>
          <w:pgSz w:w="11900" w:h="16838" w:orient="portrait"/>
          <w:cols w:equalWidth="0" w:num="2">
            <w:col w:w="3240" w:space="720"/>
            <w:col w:w="6259"/>
          </w:cols>
          <w:pgMar w:left="240" w:top="622" w:right="1440" w:bottom="1440" w:gutter="0" w:footer="0" w:header="0"/>
        </w:sectPr>
      </w:pPr>
    </w:p>
    <w:p>
      <w:pPr>
        <w:ind w:left="3960"/>
        <w:spacing w:after="0"/>
        <w:rPr>
          <w:sz w:val="20"/>
          <w:szCs w:val="20"/>
          <w:color w:val="auto"/>
        </w:rPr>
      </w:pPr>
      <w:r>
        <w:rPr>
          <w:rFonts w:ascii="Courier New" w:cs="Courier New" w:eastAsia="Courier New" w:hAnsi="Courier New"/>
          <w:sz w:val="15"/>
          <w:szCs w:val="15"/>
          <w:color w:val="auto"/>
        </w:rPr>
        <w:t>Bank of America NT&amp;SA</w:t>
      </w:r>
    </w:p>
    <w:p>
      <w:pPr>
        <w:ind w:left="3960"/>
        <w:spacing w:after="0"/>
        <w:rPr>
          <w:sz w:val="20"/>
          <w:szCs w:val="20"/>
          <w:color w:val="auto"/>
        </w:rPr>
      </w:pPr>
      <w:r>
        <w:rPr>
          <w:rFonts w:ascii="Courier New" w:cs="Courier New" w:eastAsia="Courier New" w:hAnsi="Courier New"/>
          <w:sz w:val="15"/>
          <w:szCs w:val="15"/>
          <w:color w:val="auto"/>
        </w:rPr>
        <w:t>1850 Gateway Boulevard</w:t>
      </w:r>
    </w:p>
    <w:p>
      <w:pPr>
        <w:ind w:left="3960"/>
        <w:spacing w:after="0"/>
        <w:rPr>
          <w:sz w:val="20"/>
          <w:szCs w:val="20"/>
          <w:color w:val="auto"/>
        </w:rPr>
      </w:pPr>
      <w:r>
        <w:rPr>
          <w:rFonts w:ascii="Courier New" w:cs="Courier New" w:eastAsia="Courier New" w:hAnsi="Courier New"/>
          <w:sz w:val="15"/>
          <w:szCs w:val="15"/>
          <w:color w:val="auto"/>
        </w:rPr>
        <w:t>4th Floor</w:t>
      </w:r>
    </w:p>
    <w:p>
      <w:pPr>
        <w:ind w:left="3960"/>
        <w:spacing w:after="0" w:line="238" w:lineRule="auto"/>
        <w:rPr>
          <w:sz w:val="20"/>
          <w:szCs w:val="20"/>
          <w:color w:val="auto"/>
        </w:rPr>
      </w:pPr>
      <w:r>
        <w:rPr>
          <w:rFonts w:ascii="Courier New" w:cs="Courier New" w:eastAsia="Courier New" w:hAnsi="Courier New"/>
          <w:sz w:val="15"/>
          <w:szCs w:val="15"/>
          <w:color w:val="auto"/>
        </w:rPr>
        <w:t>Concord, California 94520</w:t>
      </w:r>
    </w:p>
    <w:p>
      <w:pPr>
        <w:spacing w:after="0" w:line="175"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Eurodollar Lending Office:</w:t>
      </w:r>
    </w:p>
    <w:p>
      <w:pPr>
        <w:spacing w:after="0" w:line="175"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Same</w:t>
      </w:r>
    </w:p>
    <w:p>
      <w:pPr>
        <w:sectPr>
          <w:pgSz w:w="11900" w:h="16838" w:orient="portrait"/>
          <w:cols w:equalWidth="0" w:num="1">
            <w:col w:w="10219"/>
          </w:cols>
          <w:pgMar w:left="240" w:top="622"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of Montreal</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80" w:lineRule="exact"/>
        <w:rPr>
          <w:sz w:val="20"/>
          <w:szCs w:val="20"/>
          <w:color w:val="auto"/>
        </w:rPr>
      </w:pPr>
    </w:p>
    <w:p>
      <w:pPr>
        <w:sectPr>
          <w:pgSz w:w="11900" w:h="16838" w:orient="portrait"/>
          <w:cols w:equalWidth="0" w:num="2">
            <w:col w:w="3240" w:space="720"/>
            <w:col w:w="6259"/>
          </w:cols>
          <w:pgMar w:left="240" w:top="622" w:right="1440" w:bottom="1440" w:gutter="0" w:footer="0" w:header="0"/>
          <w:type w:val="continuous"/>
        </w:sectPr>
      </w:pPr>
    </w:p>
    <w:p>
      <w:pPr>
        <w:ind w:left="3960"/>
        <w:spacing w:after="0"/>
        <w:rPr>
          <w:sz w:val="20"/>
          <w:szCs w:val="20"/>
          <w:color w:val="auto"/>
        </w:rPr>
      </w:pPr>
      <w:r>
        <w:rPr>
          <w:rFonts w:ascii="Courier New" w:cs="Courier New" w:eastAsia="Courier New" w:hAnsi="Courier New"/>
          <w:sz w:val="14"/>
          <w:szCs w:val="14"/>
          <w:color w:val="auto"/>
        </w:rPr>
        <w:t>Bank of Montreal, Chicago Branch</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115 South LaSalle Street</w:t>
      </w:r>
    </w:p>
    <w:p>
      <w:pPr>
        <w:ind w:left="3960"/>
        <w:spacing w:after="0"/>
        <w:rPr>
          <w:sz w:val="20"/>
          <w:szCs w:val="20"/>
          <w:color w:val="auto"/>
        </w:rPr>
      </w:pPr>
      <w:r>
        <w:rPr>
          <w:rFonts w:ascii="Courier New" w:cs="Courier New" w:eastAsia="Courier New" w:hAnsi="Courier New"/>
          <w:sz w:val="15"/>
          <w:szCs w:val="15"/>
          <w:color w:val="auto"/>
        </w:rPr>
        <w:t>11th Floor</w:t>
      </w:r>
    </w:p>
    <w:p>
      <w:pPr>
        <w:ind w:left="3960"/>
        <w:spacing w:after="0"/>
        <w:rPr>
          <w:sz w:val="20"/>
          <w:szCs w:val="20"/>
          <w:color w:val="auto"/>
        </w:rPr>
      </w:pPr>
      <w:r>
        <w:rPr>
          <w:rFonts w:ascii="Courier New" w:cs="Courier New" w:eastAsia="Courier New" w:hAnsi="Courier New"/>
          <w:sz w:val="15"/>
          <w:szCs w:val="15"/>
          <w:color w:val="auto"/>
        </w:rPr>
        <w:t>Chicago, IL 60603</w:t>
      </w:r>
    </w:p>
    <w:p>
      <w:pPr>
        <w:spacing w:after="0" w:line="16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Eurodollar Lending Office:</w:t>
      </w:r>
    </w:p>
    <w:p>
      <w:pPr>
        <w:spacing w:after="0" w:line="169"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Same</w:t>
      </w:r>
    </w:p>
    <w:p>
      <w:pPr>
        <w:sectPr>
          <w:pgSz w:w="11900" w:h="16838" w:orient="portrait"/>
          <w:cols w:equalWidth="0" w:num="1">
            <w:col w:w="10219"/>
          </w:cols>
          <w:pgMar w:left="240" w:top="622"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Bank of Nova Scotia</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75" w:lineRule="exact"/>
        <w:rPr>
          <w:sz w:val="20"/>
          <w:szCs w:val="20"/>
          <w:color w:val="auto"/>
        </w:rPr>
      </w:pPr>
    </w:p>
    <w:p>
      <w:pPr>
        <w:sectPr>
          <w:pgSz w:w="11900" w:h="16838" w:orient="portrait"/>
          <w:cols w:equalWidth="0" w:num="2">
            <w:col w:w="3240" w:space="720"/>
            <w:col w:w="6259"/>
          </w:cols>
          <w:pgMar w:left="240" w:top="622" w:right="1440" w:bottom="1440" w:gutter="0" w:footer="0" w:header="0"/>
          <w:type w:val="continuous"/>
        </w:sectPr>
      </w:pPr>
    </w:p>
    <w:p>
      <w:pPr>
        <w:ind w:left="3960"/>
        <w:spacing w:after="0"/>
        <w:rPr>
          <w:sz w:val="20"/>
          <w:szCs w:val="20"/>
          <w:color w:val="auto"/>
        </w:rPr>
      </w:pPr>
      <w:r>
        <w:rPr>
          <w:rFonts w:ascii="Courier New" w:cs="Courier New" w:eastAsia="Courier New" w:hAnsi="Courier New"/>
          <w:sz w:val="15"/>
          <w:szCs w:val="15"/>
          <w:color w:val="auto"/>
        </w:rPr>
        <w:t>The Bank of Nova Scotia</w:t>
      </w:r>
    </w:p>
    <w:p>
      <w:pPr>
        <w:ind w:left="3960"/>
        <w:spacing w:after="0"/>
        <w:rPr>
          <w:sz w:val="20"/>
          <w:szCs w:val="20"/>
          <w:color w:val="auto"/>
        </w:rPr>
      </w:pPr>
      <w:r>
        <w:rPr>
          <w:rFonts w:ascii="Courier New" w:cs="Courier New" w:eastAsia="Courier New" w:hAnsi="Courier New"/>
          <w:sz w:val="15"/>
          <w:szCs w:val="15"/>
          <w:color w:val="auto"/>
        </w:rPr>
        <w:t>1 Liberty Plaza</w:t>
      </w:r>
    </w:p>
    <w:p>
      <w:pPr>
        <w:ind w:left="3960"/>
        <w:spacing w:after="0"/>
        <w:rPr>
          <w:sz w:val="20"/>
          <w:szCs w:val="20"/>
          <w:color w:val="auto"/>
        </w:rPr>
      </w:pPr>
      <w:r>
        <w:rPr>
          <w:rFonts w:ascii="Courier New" w:cs="Courier New" w:eastAsia="Courier New" w:hAnsi="Courier New"/>
          <w:sz w:val="15"/>
          <w:szCs w:val="15"/>
          <w:color w:val="auto"/>
        </w:rPr>
        <w:t>26th Floor</w:t>
      </w:r>
    </w:p>
    <w:p>
      <w:pPr>
        <w:ind w:left="3960"/>
        <w:spacing w:after="0" w:line="238" w:lineRule="auto"/>
        <w:rPr>
          <w:sz w:val="20"/>
          <w:szCs w:val="20"/>
          <w:color w:val="auto"/>
        </w:rPr>
      </w:pPr>
      <w:r>
        <w:rPr>
          <w:rFonts w:ascii="Courier New" w:cs="Courier New" w:eastAsia="Courier New" w:hAnsi="Courier New"/>
          <w:sz w:val="15"/>
          <w:szCs w:val="15"/>
          <w:color w:val="auto"/>
        </w:rPr>
        <w:t>New York, NY 10006</w:t>
      </w:r>
    </w:p>
    <w:p>
      <w:pPr>
        <w:spacing w:after="0" w:line="175"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Eurodollar Lending Office:</w:t>
      </w:r>
    </w:p>
    <w:p>
      <w:pPr>
        <w:spacing w:after="0" w:line="175"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Same</w:t>
      </w:r>
    </w:p>
    <w:p>
      <w:pPr>
        <w:sectPr>
          <w:pgSz w:w="11900" w:h="16838" w:orient="portrait"/>
          <w:cols w:equalWidth="0" w:num="1">
            <w:col w:w="10219"/>
          </w:cols>
          <w:pgMar w:left="240" w:top="622"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Bank of Tokyo Trust Company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80" w:lineRule="exact"/>
        <w:rPr>
          <w:sz w:val="20"/>
          <w:szCs w:val="20"/>
          <w:color w:val="auto"/>
        </w:rPr>
      </w:pPr>
    </w:p>
    <w:p>
      <w:pPr>
        <w:sectPr>
          <w:pgSz w:w="11900" w:h="16838" w:orient="portrait"/>
          <w:cols w:equalWidth="0" w:num="2">
            <w:col w:w="3240" w:space="720"/>
            <w:col w:w="6259"/>
          </w:cols>
          <w:pgMar w:left="240" w:top="622" w:right="1440" w:bottom="1440" w:gutter="0" w:footer="0" w:header="0"/>
          <w:type w:val="continuous"/>
        </w:sectPr>
      </w:pPr>
    </w:p>
    <w:p>
      <w:pPr>
        <w:ind w:left="3960"/>
        <w:spacing w:after="0"/>
        <w:rPr>
          <w:sz w:val="20"/>
          <w:szCs w:val="20"/>
          <w:color w:val="auto"/>
        </w:rPr>
      </w:pPr>
      <w:r>
        <w:rPr>
          <w:rFonts w:ascii="Courier New" w:cs="Courier New" w:eastAsia="Courier New" w:hAnsi="Courier New"/>
          <w:sz w:val="14"/>
          <w:szCs w:val="14"/>
          <w:color w:val="auto"/>
        </w:rPr>
        <w:t>The Bank of Tokyo Trust Company</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1251 Avenue of the Americas</w:t>
      </w:r>
    </w:p>
    <w:p>
      <w:pPr>
        <w:ind w:left="3960"/>
        <w:spacing w:after="0"/>
        <w:rPr>
          <w:sz w:val="20"/>
          <w:szCs w:val="20"/>
          <w:color w:val="auto"/>
        </w:rPr>
      </w:pPr>
      <w:r>
        <w:rPr>
          <w:rFonts w:ascii="Courier New" w:cs="Courier New" w:eastAsia="Courier New" w:hAnsi="Courier New"/>
          <w:sz w:val="15"/>
          <w:szCs w:val="15"/>
          <w:color w:val="auto"/>
        </w:rPr>
        <w:t>12th Floor</w:t>
      </w:r>
    </w:p>
    <w:p>
      <w:pPr>
        <w:ind w:left="3960"/>
        <w:spacing w:after="0"/>
        <w:rPr>
          <w:sz w:val="20"/>
          <w:szCs w:val="20"/>
          <w:color w:val="auto"/>
        </w:rPr>
      </w:pPr>
      <w:r>
        <w:rPr>
          <w:rFonts w:ascii="Courier New" w:cs="Courier New" w:eastAsia="Courier New" w:hAnsi="Courier New"/>
          <w:sz w:val="15"/>
          <w:szCs w:val="15"/>
          <w:color w:val="auto"/>
        </w:rPr>
        <w:t>New York, New York 10116</w:t>
      </w:r>
    </w:p>
    <w:p>
      <w:pPr>
        <w:spacing w:after="0" w:line="16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Eurodollar Lending Office:</w:t>
      </w:r>
    </w:p>
    <w:p>
      <w:pPr>
        <w:spacing w:after="0" w:line="169"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Same</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I-2</w:t>
      </w:r>
    </w:p>
    <w:p>
      <w:pPr>
        <w:sectPr>
          <w:pgSz w:w="11900" w:h="16838" w:orient="portrait"/>
          <w:cols w:equalWidth="0" w:num="1">
            <w:col w:w="10219"/>
          </w:cols>
          <w:pgMar w:left="240" w:top="622" w:right="1440" w:bottom="1440" w:gutter="0" w:footer="0" w:header="0"/>
          <w:type w:val="continuous"/>
        </w:sectPr>
      </w:pPr>
    </w:p>
    <w:bookmarkStart w:id="124" w:name="page125"/>
    <w:bookmarkEnd w:id="124"/>
    <w:tbl>
      <w:tblPr>
        <w:tblLayout w:type="fixed"/>
        <w:tblInd w:w="0" w:type="dxa"/>
        <w:tblCellMar>
          <w:top w:w="0" w:type="dxa"/>
          <w:left w:w="0" w:type="dxa"/>
          <w:bottom w:w="0" w:type="dxa"/>
          <w:right w:w="0" w:type="dxa"/>
        </w:tblCellMar>
      </w:tblP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Bank</w:t>
            </w:r>
          </w:p>
        </w:tc>
        <w:tc>
          <w:tcPr>
            <w:tcW w:w="24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Barclays Bank PLC</w:t>
            </w:r>
          </w:p>
        </w:tc>
        <w:tc>
          <w:tcPr>
            <w:tcW w:w="370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Domestic Lending Office:</w:t>
            </w:r>
          </w:p>
        </w:tc>
      </w:tr>
      <w:tr>
        <w:trPr>
          <w:trHeight w:val="339"/>
        </w:trPr>
        <w:tc>
          <w:tcPr>
            <w:tcW w:w="3260" w:type="dxa"/>
            <w:vAlign w:val="bottom"/>
          </w:tcPr>
          <w:p>
            <w:pPr>
              <w:spacing w:after="0"/>
              <w:rPr>
                <w:sz w:val="24"/>
                <w:szCs w:val="24"/>
                <w:color w:val="auto"/>
              </w:rPr>
            </w:pPr>
          </w:p>
        </w:tc>
        <w:tc>
          <w:tcPr>
            <w:tcW w:w="2460" w:type="dxa"/>
            <w:vAlign w:val="bottom"/>
          </w:tcPr>
          <w:p>
            <w:pPr>
              <w:ind w:left="700"/>
              <w:spacing w:after="0"/>
              <w:rPr>
                <w:sz w:val="20"/>
                <w:szCs w:val="20"/>
                <w:color w:val="auto"/>
              </w:rPr>
            </w:pPr>
            <w:r>
              <w:rPr>
                <w:rFonts w:ascii="Courier New" w:cs="Courier New" w:eastAsia="Courier New" w:hAnsi="Courier New"/>
                <w:sz w:val="15"/>
                <w:szCs w:val="15"/>
                <w:color w:val="auto"/>
              </w:rPr>
              <w:t>Barclays Bank</w:t>
            </w:r>
          </w:p>
        </w:tc>
        <w:tc>
          <w:tcPr>
            <w:tcW w:w="1240" w:type="dxa"/>
            <w:vAlign w:val="bottom"/>
          </w:tcPr>
          <w:p>
            <w:pPr>
              <w:spacing w:after="0"/>
              <w:rPr>
                <w:sz w:val="24"/>
                <w:szCs w:val="24"/>
                <w:color w:val="auto"/>
              </w:rPr>
            </w:pPr>
          </w:p>
        </w:tc>
      </w:tr>
      <w:tr>
        <w:trPr>
          <w:trHeight w:val="170"/>
        </w:trPr>
        <w:tc>
          <w:tcPr>
            <w:tcW w:w="3260" w:type="dxa"/>
            <w:vAlign w:val="bottom"/>
          </w:tcPr>
          <w:p>
            <w:pPr>
              <w:spacing w:after="0"/>
              <w:rPr>
                <w:sz w:val="14"/>
                <w:szCs w:val="14"/>
                <w:color w:val="auto"/>
              </w:rPr>
            </w:pPr>
          </w:p>
        </w:tc>
        <w:tc>
          <w:tcPr>
            <w:tcW w:w="2460" w:type="dxa"/>
            <w:vAlign w:val="bottom"/>
          </w:tcPr>
          <w:p>
            <w:pPr>
              <w:ind w:left="700"/>
              <w:spacing w:after="0"/>
              <w:rPr>
                <w:sz w:val="20"/>
                <w:szCs w:val="20"/>
                <w:color w:val="auto"/>
              </w:rPr>
            </w:pPr>
            <w:r>
              <w:rPr>
                <w:rFonts w:ascii="Courier New" w:cs="Courier New" w:eastAsia="Courier New" w:hAnsi="Courier New"/>
                <w:sz w:val="15"/>
                <w:szCs w:val="15"/>
                <w:color w:val="auto"/>
              </w:rPr>
              <w:t>222 Broadway</w:t>
            </w:r>
          </w:p>
        </w:tc>
        <w:tc>
          <w:tcPr>
            <w:tcW w:w="1240" w:type="dxa"/>
            <w:vAlign w:val="bottom"/>
          </w:tcPr>
          <w:p>
            <w:pPr>
              <w:spacing w:after="0"/>
              <w:rPr>
                <w:sz w:val="14"/>
                <w:szCs w:val="14"/>
                <w:color w:val="auto"/>
              </w:rPr>
            </w:pPr>
          </w:p>
        </w:tc>
      </w:tr>
      <w:tr>
        <w:trPr>
          <w:trHeight w:val="170"/>
        </w:trPr>
        <w:tc>
          <w:tcPr>
            <w:tcW w:w="3260" w:type="dxa"/>
            <w:vAlign w:val="bottom"/>
          </w:tcPr>
          <w:p>
            <w:pPr>
              <w:spacing w:after="0"/>
              <w:rPr>
                <w:sz w:val="14"/>
                <w:szCs w:val="14"/>
                <w:color w:val="auto"/>
              </w:rPr>
            </w:pPr>
          </w:p>
        </w:tc>
        <w:tc>
          <w:tcPr>
            <w:tcW w:w="2460" w:type="dxa"/>
            <w:vAlign w:val="bottom"/>
          </w:tcPr>
          <w:p>
            <w:pPr>
              <w:ind w:left="700"/>
              <w:spacing w:after="0"/>
              <w:rPr>
                <w:sz w:val="20"/>
                <w:szCs w:val="20"/>
                <w:color w:val="auto"/>
              </w:rPr>
            </w:pPr>
            <w:r>
              <w:rPr>
                <w:rFonts w:ascii="Courier New" w:cs="Courier New" w:eastAsia="Courier New" w:hAnsi="Courier New"/>
                <w:sz w:val="15"/>
                <w:szCs w:val="15"/>
                <w:color w:val="auto"/>
              </w:rPr>
              <w:t>12th Floor</w:t>
            </w:r>
          </w:p>
        </w:tc>
        <w:tc>
          <w:tcPr>
            <w:tcW w:w="1240" w:type="dxa"/>
            <w:vAlign w:val="bottom"/>
          </w:tcPr>
          <w:p>
            <w:pPr>
              <w:spacing w:after="0"/>
              <w:rPr>
                <w:sz w:val="14"/>
                <w:szCs w:val="14"/>
                <w:color w:val="auto"/>
              </w:rPr>
            </w:pPr>
          </w:p>
        </w:tc>
      </w:tr>
      <w:tr>
        <w:trPr>
          <w:trHeight w:val="170"/>
        </w:trPr>
        <w:tc>
          <w:tcPr>
            <w:tcW w:w="3260" w:type="dxa"/>
            <w:vAlign w:val="bottom"/>
          </w:tcPr>
          <w:p>
            <w:pPr>
              <w:spacing w:after="0"/>
              <w:rPr>
                <w:sz w:val="14"/>
                <w:szCs w:val="14"/>
                <w:color w:val="auto"/>
              </w:rPr>
            </w:pPr>
          </w:p>
        </w:tc>
        <w:tc>
          <w:tcPr>
            <w:tcW w:w="2460" w:type="dxa"/>
            <w:vAlign w:val="bottom"/>
          </w:tcPr>
          <w:p>
            <w:pPr>
              <w:ind w:left="700"/>
              <w:spacing w:after="0"/>
              <w:rPr>
                <w:sz w:val="20"/>
                <w:szCs w:val="20"/>
                <w:color w:val="auto"/>
              </w:rPr>
            </w:pPr>
            <w:r>
              <w:rPr>
                <w:rFonts w:ascii="Courier New" w:cs="Courier New" w:eastAsia="Courier New" w:hAnsi="Courier New"/>
                <w:sz w:val="15"/>
                <w:szCs w:val="15"/>
                <w:color w:val="auto"/>
              </w:rPr>
              <w:t>New York, NY 10038</w:t>
            </w:r>
          </w:p>
        </w:tc>
        <w:tc>
          <w:tcPr>
            <w:tcW w:w="1240" w:type="dxa"/>
            <w:vAlign w:val="bottom"/>
          </w:tcPr>
          <w:p>
            <w:pPr>
              <w:spacing w:after="0"/>
              <w:rPr>
                <w:sz w:val="14"/>
                <w:szCs w:val="14"/>
                <w:color w:val="auto"/>
              </w:rPr>
            </w:pPr>
          </w:p>
        </w:tc>
      </w:tr>
      <w:tr>
        <w:trPr>
          <w:trHeight w:val="339"/>
        </w:trPr>
        <w:tc>
          <w:tcPr>
            <w:tcW w:w="3260" w:type="dxa"/>
            <w:vAlign w:val="bottom"/>
          </w:tcPr>
          <w:p>
            <w:pPr>
              <w:spacing w:after="0"/>
              <w:rPr>
                <w:sz w:val="24"/>
                <w:szCs w:val="24"/>
                <w:color w:val="auto"/>
              </w:rPr>
            </w:pPr>
          </w:p>
        </w:tc>
        <w:tc>
          <w:tcPr>
            <w:tcW w:w="370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Eurodollar Lending Office:</w:t>
            </w:r>
          </w:p>
        </w:tc>
      </w:tr>
      <w:tr>
        <w:trPr>
          <w:trHeight w:val="339"/>
        </w:trPr>
        <w:tc>
          <w:tcPr>
            <w:tcW w:w="3260" w:type="dxa"/>
            <w:vAlign w:val="bottom"/>
          </w:tcPr>
          <w:p>
            <w:pPr>
              <w:spacing w:after="0"/>
              <w:rPr>
                <w:sz w:val="24"/>
                <w:szCs w:val="24"/>
                <w:color w:val="auto"/>
              </w:rPr>
            </w:pPr>
          </w:p>
        </w:tc>
        <w:tc>
          <w:tcPr>
            <w:tcW w:w="2460" w:type="dxa"/>
            <w:vAlign w:val="bottom"/>
          </w:tcPr>
          <w:p>
            <w:pPr>
              <w:ind w:left="700"/>
              <w:spacing w:after="0"/>
              <w:rPr>
                <w:sz w:val="20"/>
                <w:szCs w:val="20"/>
                <w:color w:val="auto"/>
              </w:rPr>
            </w:pPr>
            <w:r>
              <w:rPr>
                <w:rFonts w:ascii="Courier New" w:cs="Courier New" w:eastAsia="Courier New" w:hAnsi="Courier New"/>
                <w:sz w:val="15"/>
                <w:szCs w:val="15"/>
                <w:color w:val="auto"/>
              </w:rPr>
              <w:t>Same</w:t>
            </w:r>
          </w:p>
        </w:tc>
        <w:tc>
          <w:tcPr>
            <w:tcW w:w="1240" w:type="dxa"/>
            <w:vAlign w:val="bottom"/>
          </w:tcPr>
          <w:p>
            <w:pPr>
              <w:spacing w:after="0"/>
              <w:rPr>
                <w:sz w:val="24"/>
                <w:szCs w:val="24"/>
                <w:color w:val="auto"/>
              </w:rPr>
            </w:pPr>
          </w:p>
        </w:tc>
      </w:tr>
      <w:tr>
        <w:trPr>
          <w:trHeight w:val="339"/>
        </w:trPr>
        <w:tc>
          <w:tcPr>
            <w:tcW w:w="3260" w:type="dxa"/>
            <w:vAlign w:val="bottom"/>
          </w:tcPr>
          <w:p>
            <w:pPr>
              <w:spacing w:after="0"/>
              <w:rPr>
                <w:sz w:val="20"/>
                <w:szCs w:val="20"/>
                <w:color w:val="auto"/>
              </w:rPr>
            </w:pPr>
            <w:r>
              <w:rPr>
                <w:rFonts w:ascii="Courier New" w:cs="Courier New" w:eastAsia="Courier New" w:hAnsi="Courier New"/>
                <w:sz w:val="15"/>
                <w:szCs w:val="15"/>
                <w:color w:val="auto"/>
              </w:rPr>
              <w:t>Canadian Imperial Bank</w:t>
            </w:r>
          </w:p>
        </w:tc>
        <w:tc>
          <w:tcPr>
            <w:tcW w:w="370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Domestic Lending Office:</w:t>
            </w:r>
          </w:p>
        </w:tc>
      </w:tr>
      <w:tr>
        <w:trPr>
          <w:trHeight w:val="170"/>
        </w:trPr>
        <w:tc>
          <w:tcPr>
            <w:tcW w:w="3260" w:type="dxa"/>
            <w:vAlign w:val="bottom"/>
          </w:tcPr>
          <w:p>
            <w:pPr>
              <w:ind w:left="160"/>
              <w:spacing w:after="0"/>
              <w:rPr>
                <w:sz w:val="20"/>
                <w:szCs w:val="20"/>
                <w:color w:val="auto"/>
              </w:rPr>
            </w:pPr>
            <w:r>
              <w:rPr>
                <w:rFonts w:ascii="Courier New" w:cs="Courier New" w:eastAsia="Courier New" w:hAnsi="Courier New"/>
                <w:sz w:val="15"/>
                <w:szCs w:val="15"/>
                <w:color w:val="auto"/>
              </w:rPr>
              <w:t>of Commerce</w:t>
            </w:r>
          </w:p>
        </w:tc>
        <w:tc>
          <w:tcPr>
            <w:tcW w:w="24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260" w:type="dxa"/>
            <w:vAlign w:val="bottom"/>
          </w:tcPr>
          <w:p>
            <w:pPr>
              <w:spacing w:after="0"/>
              <w:rPr>
                <w:sz w:val="14"/>
                <w:szCs w:val="14"/>
                <w:color w:val="auto"/>
              </w:rPr>
            </w:pPr>
          </w:p>
        </w:tc>
        <w:tc>
          <w:tcPr>
            <w:tcW w:w="370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7"/>
              </w:rPr>
              <w:t>Canadian Imperial Bank of Commerce</w:t>
            </w:r>
          </w:p>
        </w:tc>
      </w:tr>
      <w:tr>
        <w:trPr>
          <w:trHeight w:val="170"/>
        </w:trPr>
        <w:tc>
          <w:tcPr>
            <w:tcW w:w="3260" w:type="dxa"/>
            <w:vAlign w:val="bottom"/>
          </w:tcPr>
          <w:p>
            <w:pPr>
              <w:spacing w:after="0"/>
              <w:rPr>
                <w:sz w:val="14"/>
                <w:szCs w:val="14"/>
                <w:color w:val="auto"/>
              </w:rPr>
            </w:pPr>
          </w:p>
        </w:tc>
        <w:tc>
          <w:tcPr>
            <w:tcW w:w="2460" w:type="dxa"/>
            <w:vAlign w:val="bottom"/>
          </w:tcPr>
          <w:p>
            <w:pPr>
              <w:ind w:left="700"/>
              <w:spacing w:after="0"/>
              <w:rPr>
                <w:sz w:val="20"/>
                <w:szCs w:val="20"/>
                <w:color w:val="auto"/>
              </w:rPr>
            </w:pPr>
            <w:r>
              <w:rPr>
                <w:rFonts w:ascii="Courier New" w:cs="Courier New" w:eastAsia="Courier New" w:hAnsi="Courier New"/>
                <w:sz w:val="15"/>
                <w:szCs w:val="15"/>
                <w:color w:val="auto"/>
                <w:w w:val="96"/>
              </w:rPr>
              <w:t>425 Lexington Avenue</w:t>
            </w:r>
          </w:p>
        </w:tc>
        <w:tc>
          <w:tcPr>
            <w:tcW w:w="1240" w:type="dxa"/>
            <w:vAlign w:val="bottom"/>
          </w:tcPr>
          <w:p>
            <w:pPr>
              <w:spacing w:after="0"/>
              <w:rPr>
                <w:sz w:val="14"/>
                <w:szCs w:val="14"/>
                <w:color w:val="auto"/>
              </w:rPr>
            </w:pPr>
          </w:p>
        </w:tc>
      </w:tr>
      <w:tr>
        <w:trPr>
          <w:trHeight w:val="170"/>
        </w:trPr>
        <w:tc>
          <w:tcPr>
            <w:tcW w:w="3260" w:type="dxa"/>
            <w:vAlign w:val="bottom"/>
          </w:tcPr>
          <w:p>
            <w:pPr>
              <w:spacing w:after="0"/>
              <w:rPr>
                <w:sz w:val="14"/>
                <w:szCs w:val="14"/>
                <w:color w:val="auto"/>
              </w:rPr>
            </w:pPr>
          </w:p>
        </w:tc>
        <w:tc>
          <w:tcPr>
            <w:tcW w:w="370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Syndication Department</w:t>
            </w:r>
          </w:p>
        </w:tc>
      </w:tr>
      <w:tr>
        <w:trPr>
          <w:trHeight w:val="170"/>
        </w:trPr>
        <w:tc>
          <w:tcPr>
            <w:tcW w:w="3260" w:type="dxa"/>
            <w:vAlign w:val="bottom"/>
          </w:tcPr>
          <w:p>
            <w:pPr>
              <w:spacing w:after="0"/>
              <w:rPr>
                <w:sz w:val="14"/>
                <w:szCs w:val="14"/>
                <w:color w:val="auto"/>
              </w:rPr>
            </w:pPr>
          </w:p>
        </w:tc>
        <w:tc>
          <w:tcPr>
            <w:tcW w:w="2460" w:type="dxa"/>
            <w:vAlign w:val="bottom"/>
          </w:tcPr>
          <w:p>
            <w:pPr>
              <w:ind w:left="700"/>
              <w:spacing w:after="0"/>
              <w:rPr>
                <w:sz w:val="20"/>
                <w:szCs w:val="20"/>
                <w:color w:val="auto"/>
              </w:rPr>
            </w:pPr>
            <w:r>
              <w:rPr>
                <w:rFonts w:ascii="Courier New" w:cs="Courier New" w:eastAsia="Courier New" w:hAnsi="Courier New"/>
                <w:sz w:val="15"/>
                <w:szCs w:val="15"/>
                <w:color w:val="auto"/>
              </w:rPr>
              <w:t>7th Floor</w:t>
            </w:r>
          </w:p>
        </w:tc>
        <w:tc>
          <w:tcPr>
            <w:tcW w:w="1240" w:type="dxa"/>
            <w:vAlign w:val="bottom"/>
          </w:tcPr>
          <w:p>
            <w:pPr>
              <w:spacing w:after="0"/>
              <w:rPr>
                <w:sz w:val="14"/>
                <w:szCs w:val="14"/>
                <w:color w:val="auto"/>
              </w:rPr>
            </w:pPr>
          </w:p>
        </w:tc>
      </w:tr>
      <w:tr>
        <w:trPr>
          <w:trHeight w:val="170"/>
        </w:trPr>
        <w:tc>
          <w:tcPr>
            <w:tcW w:w="3260" w:type="dxa"/>
            <w:vAlign w:val="bottom"/>
          </w:tcPr>
          <w:p>
            <w:pPr>
              <w:spacing w:after="0"/>
              <w:rPr>
                <w:sz w:val="14"/>
                <w:szCs w:val="14"/>
                <w:color w:val="auto"/>
              </w:rPr>
            </w:pPr>
          </w:p>
        </w:tc>
        <w:tc>
          <w:tcPr>
            <w:tcW w:w="2460" w:type="dxa"/>
            <w:vAlign w:val="bottom"/>
          </w:tcPr>
          <w:p>
            <w:pPr>
              <w:ind w:left="700"/>
              <w:spacing w:after="0"/>
              <w:rPr>
                <w:sz w:val="20"/>
                <w:szCs w:val="20"/>
                <w:color w:val="auto"/>
              </w:rPr>
            </w:pPr>
            <w:r>
              <w:rPr>
                <w:rFonts w:ascii="Courier New" w:cs="Courier New" w:eastAsia="Courier New" w:hAnsi="Courier New"/>
                <w:sz w:val="15"/>
                <w:szCs w:val="15"/>
                <w:color w:val="auto"/>
              </w:rPr>
              <w:t>New York, New York</w:t>
            </w:r>
          </w:p>
        </w:tc>
        <w:tc>
          <w:tcPr>
            <w:tcW w:w="124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93"/>
              </w:rPr>
              <w:t>10017</w:t>
            </w:r>
          </w:p>
        </w:tc>
      </w:tr>
      <w:tr>
        <w:trPr>
          <w:trHeight w:val="339"/>
        </w:trPr>
        <w:tc>
          <w:tcPr>
            <w:tcW w:w="3260" w:type="dxa"/>
            <w:vAlign w:val="bottom"/>
          </w:tcPr>
          <w:p>
            <w:pPr>
              <w:spacing w:after="0"/>
              <w:rPr>
                <w:sz w:val="24"/>
                <w:szCs w:val="24"/>
                <w:color w:val="auto"/>
              </w:rPr>
            </w:pPr>
          </w:p>
        </w:tc>
        <w:tc>
          <w:tcPr>
            <w:tcW w:w="370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Eurodollar Lending Office:</w:t>
            </w:r>
          </w:p>
        </w:tc>
      </w:tr>
      <w:tr>
        <w:trPr>
          <w:trHeight w:val="339"/>
        </w:trPr>
        <w:tc>
          <w:tcPr>
            <w:tcW w:w="3260" w:type="dxa"/>
            <w:vAlign w:val="bottom"/>
          </w:tcPr>
          <w:p>
            <w:pPr>
              <w:spacing w:after="0"/>
              <w:rPr>
                <w:sz w:val="24"/>
                <w:szCs w:val="24"/>
                <w:color w:val="auto"/>
              </w:rPr>
            </w:pPr>
          </w:p>
        </w:tc>
        <w:tc>
          <w:tcPr>
            <w:tcW w:w="2460" w:type="dxa"/>
            <w:vAlign w:val="bottom"/>
          </w:tcPr>
          <w:p>
            <w:pPr>
              <w:ind w:left="700"/>
              <w:spacing w:after="0"/>
              <w:rPr>
                <w:sz w:val="20"/>
                <w:szCs w:val="20"/>
                <w:color w:val="auto"/>
              </w:rPr>
            </w:pPr>
            <w:r>
              <w:rPr>
                <w:rFonts w:ascii="Courier New" w:cs="Courier New" w:eastAsia="Courier New" w:hAnsi="Courier New"/>
                <w:sz w:val="15"/>
                <w:szCs w:val="15"/>
                <w:color w:val="auto"/>
              </w:rPr>
              <w:t>Same</w:t>
            </w:r>
          </w:p>
        </w:tc>
        <w:tc>
          <w:tcPr>
            <w:tcW w:w="1240" w:type="dxa"/>
            <w:vAlign w:val="bottom"/>
          </w:tcPr>
          <w:p>
            <w:pPr>
              <w:spacing w:after="0"/>
              <w:rPr>
                <w:sz w:val="24"/>
                <w:szCs w:val="24"/>
                <w:color w:val="auto"/>
              </w:rPr>
            </w:pPr>
          </w:p>
        </w:tc>
      </w:tr>
      <w:tr>
        <w:trPr>
          <w:trHeight w:val="339"/>
        </w:trPr>
        <w:tc>
          <w:tcPr>
            <w:tcW w:w="3260" w:type="dxa"/>
            <w:vAlign w:val="bottom"/>
          </w:tcPr>
          <w:p>
            <w:pPr>
              <w:spacing w:after="0"/>
              <w:rPr>
                <w:sz w:val="20"/>
                <w:szCs w:val="20"/>
                <w:color w:val="auto"/>
              </w:rPr>
            </w:pPr>
            <w:r>
              <w:rPr>
                <w:rFonts w:ascii="Courier New" w:cs="Courier New" w:eastAsia="Courier New" w:hAnsi="Courier New"/>
                <w:sz w:val="15"/>
                <w:szCs w:val="15"/>
                <w:color w:val="auto"/>
              </w:rPr>
              <w:t>The Chase Manhattan Bank</w:t>
            </w:r>
          </w:p>
        </w:tc>
        <w:tc>
          <w:tcPr>
            <w:tcW w:w="370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Domestic Lending Office:</w:t>
            </w:r>
          </w:p>
        </w:tc>
      </w:tr>
      <w:tr>
        <w:trPr>
          <w:trHeight w:val="170"/>
        </w:trPr>
        <w:tc>
          <w:tcPr>
            <w:tcW w:w="3260" w:type="dxa"/>
            <w:vAlign w:val="bottom"/>
          </w:tcPr>
          <w:p>
            <w:pPr>
              <w:ind w:left="160"/>
              <w:spacing w:after="0"/>
              <w:rPr>
                <w:sz w:val="20"/>
                <w:szCs w:val="20"/>
                <w:color w:val="auto"/>
              </w:rPr>
            </w:pPr>
            <w:r>
              <w:rPr>
                <w:rFonts w:ascii="Courier New" w:cs="Courier New" w:eastAsia="Courier New" w:hAnsi="Courier New"/>
                <w:sz w:val="15"/>
                <w:szCs w:val="15"/>
                <w:color w:val="auto"/>
              </w:rPr>
              <w:t>(National Association)</w:t>
            </w:r>
          </w:p>
        </w:tc>
        <w:tc>
          <w:tcPr>
            <w:tcW w:w="24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260" w:type="dxa"/>
            <w:vAlign w:val="bottom"/>
          </w:tcPr>
          <w:p>
            <w:pPr>
              <w:spacing w:after="0"/>
              <w:rPr>
                <w:sz w:val="14"/>
                <w:szCs w:val="14"/>
                <w:color w:val="auto"/>
              </w:rPr>
            </w:pPr>
          </w:p>
        </w:tc>
        <w:tc>
          <w:tcPr>
            <w:tcW w:w="370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The Chase Manhattan Bank</w:t>
            </w:r>
          </w:p>
        </w:tc>
      </w:tr>
      <w:tr>
        <w:trPr>
          <w:trHeight w:val="170"/>
        </w:trPr>
        <w:tc>
          <w:tcPr>
            <w:tcW w:w="3260" w:type="dxa"/>
            <w:vAlign w:val="bottom"/>
          </w:tcPr>
          <w:p>
            <w:pPr>
              <w:spacing w:after="0"/>
              <w:rPr>
                <w:sz w:val="14"/>
                <w:szCs w:val="14"/>
                <w:color w:val="auto"/>
              </w:rPr>
            </w:pPr>
          </w:p>
        </w:tc>
        <w:tc>
          <w:tcPr>
            <w:tcW w:w="370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(National Association)</w:t>
            </w:r>
          </w:p>
        </w:tc>
      </w:tr>
      <w:tr>
        <w:trPr>
          <w:trHeight w:val="170"/>
        </w:trPr>
        <w:tc>
          <w:tcPr>
            <w:tcW w:w="3260" w:type="dxa"/>
            <w:vAlign w:val="bottom"/>
          </w:tcPr>
          <w:p>
            <w:pPr>
              <w:spacing w:after="0"/>
              <w:rPr>
                <w:sz w:val="14"/>
                <w:szCs w:val="14"/>
                <w:color w:val="auto"/>
              </w:rPr>
            </w:pPr>
          </w:p>
        </w:tc>
        <w:tc>
          <w:tcPr>
            <w:tcW w:w="370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One Chase Manhattan Plaza</w:t>
            </w:r>
          </w:p>
        </w:tc>
      </w:tr>
      <w:tr>
        <w:trPr>
          <w:trHeight w:val="170"/>
        </w:trPr>
        <w:tc>
          <w:tcPr>
            <w:tcW w:w="3260" w:type="dxa"/>
            <w:vAlign w:val="bottom"/>
          </w:tcPr>
          <w:p>
            <w:pPr>
              <w:spacing w:after="0"/>
              <w:rPr>
                <w:sz w:val="14"/>
                <w:szCs w:val="14"/>
                <w:color w:val="auto"/>
              </w:rPr>
            </w:pPr>
          </w:p>
        </w:tc>
        <w:tc>
          <w:tcPr>
            <w:tcW w:w="2460" w:type="dxa"/>
            <w:vAlign w:val="bottom"/>
          </w:tcPr>
          <w:p>
            <w:pPr>
              <w:ind w:left="700"/>
              <w:spacing w:after="0"/>
              <w:rPr>
                <w:sz w:val="20"/>
                <w:szCs w:val="20"/>
                <w:color w:val="auto"/>
              </w:rPr>
            </w:pPr>
            <w:r>
              <w:rPr>
                <w:rFonts w:ascii="Courier New" w:cs="Courier New" w:eastAsia="Courier New" w:hAnsi="Courier New"/>
                <w:sz w:val="15"/>
                <w:szCs w:val="15"/>
                <w:color w:val="auto"/>
              </w:rPr>
              <w:t>New York, New York</w:t>
            </w:r>
          </w:p>
        </w:tc>
        <w:tc>
          <w:tcPr>
            <w:tcW w:w="124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93"/>
              </w:rPr>
              <w:t>10081</w:t>
            </w:r>
          </w:p>
        </w:tc>
      </w:tr>
      <w:tr>
        <w:trPr>
          <w:trHeight w:val="339"/>
        </w:trPr>
        <w:tc>
          <w:tcPr>
            <w:tcW w:w="3260" w:type="dxa"/>
            <w:vAlign w:val="bottom"/>
          </w:tcPr>
          <w:p>
            <w:pPr>
              <w:spacing w:after="0"/>
              <w:rPr>
                <w:sz w:val="24"/>
                <w:szCs w:val="24"/>
                <w:color w:val="auto"/>
              </w:rPr>
            </w:pPr>
          </w:p>
        </w:tc>
        <w:tc>
          <w:tcPr>
            <w:tcW w:w="370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Eurodollar Lending Office:</w:t>
            </w:r>
          </w:p>
        </w:tc>
      </w:tr>
      <w:tr>
        <w:trPr>
          <w:trHeight w:val="339"/>
        </w:trPr>
        <w:tc>
          <w:tcPr>
            <w:tcW w:w="3260" w:type="dxa"/>
            <w:vAlign w:val="bottom"/>
          </w:tcPr>
          <w:p>
            <w:pPr>
              <w:spacing w:after="0"/>
              <w:rPr>
                <w:sz w:val="24"/>
                <w:szCs w:val="24"/>
                <w:color w:val="auto"/>
              </w:rPr>
            </w:pPr>
          </w:p>
        </w:tc>
        <w:tc>
          <w:tcPr>
            <w:tcW w:w="2460" w:type="dxa"/>
            <w:vAlign w:val="bottom"/>
          </w:tcPr>
          <w:p>
            <w:pPr>
              <w:ind w:left="700"/>
              <w:spacing w:after="0"/>
              <w:rPr>
                <w:sz w:val="20"/>
                <w:szCs w:val="20"/>
                <w:color w:val="auto"/>
              </w:rPr>
            </w:pPr>
            <w:r>
              <w:rPr>
                <w:rFonts w:ascii="Courier New" w:cs="Courier New" w:eastAsia="Courier New" w:hAnsi="Courier New"/>
                <w:sz w:val="15"/>
                <w:szCs w:val="15"/>
                <w:color w:val="auto"/>
              </w:rPr>
              <w:t>Same</w:t>
            </w:r>
          </w:p>
        </w:tc>
        <w:tc>
          <w:tcPr>
            <w:tcW w:w="1240" w:type="dxa"/>
            <w:vAlign w:val="bottom"/>
          </w:tcPr>
          <w:p>
            <w:pPr>
              <w:spacing w:after="0"/>
              <w:rPr>
                <w:sz w:val="24"/>
                <w:szCs w:val="24"/>
                <w:color w:val="auto"/>
              </w:rPr>
            </w:pPr>
          </w:p>
        </w:tc>
      </w:tr>
      <w:tr>
        <w:trPr>
          <w:trHeight w:val="339"/>
        </w:trPr>
        <w:tc>
          <w:tcPr>
            <w:tcW w:w="3260" w:type="dxa"/>
            <w:vAlign w:val="bottom"/>
          </w:tcPr>
          <w:p>
            <w:pPr>
              <w:spacing w:after="0"/>
              <w:rPr>
                <w:sz w:val="20"/>
                <w:szCs w:val="20"/>
                <w:color w:val="auto"/>
              </w:rPr>
            </w:pPr>
            <w:r>
              <w:rPr>
                <w:rFonts w:ascii="Courier New" w:cs="Courier New" w:eastAsia="Courier New" w:hAnsi="Courier New"/>
                <w:sz w:val="15"/>
                <w:szCs w:val="15"/>
                <w:color w:val="auto"/>
              </w:rPr>
              <w:t>Credit Lyonnais Cayman Island</w:t>
            </w:r>
          </w:p>
        </w:tc>
        <w:tc>
          <w:tcPr>
            <w:tcW w:w="370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Domestic Lending Office:</w:t>
            </w:r>
          </w:p>
        </w:tc>
      </w:tr>
      <w:tr>
        <w:trPr>
          <w:trHeight w:val="170"/>
        </w:trPr>
        <w:tc>
          <w:tcPr>
            <w:tcW w:w="3260" w:type="dxa"/>
            <w:vAlign w:val="bottom"/>
          </w:tcPr>
          <w:p>
            <w:pPr>
              <w:ind w:left="160"/>
              <w:spacing w:after="0"/>
              <w:rPr>
                <w:sz w:val="20"/>
                <w:szCs w:val="20"/>
                <w:color w:val="auto"/>
              </w:rPr>
            </w:pPr>
            <w:r>
              <w:rPr>
                <w:rFonts w:ascii="Courier New" w:cs="Courier New" w:eastAsia="Courier New" w:hAnsi="Courier New"/>
                <w:sz w:val="15"/>
                <w:szCs w:val="15"/>
                <w:color w:val="auto"/>
              </w:rPr>
              <w:t>Branch</w:t>
            </w:r>
          </w:p>
        </w:tc>
        <w:tc>
          <w:tcPr>
            <w:tcW w:w="24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260" w:type="dxa"/>
            <w:vAlign w:val="bottom"/>
          </w:tcPr>
          <w:p>
            <w:pPr>
              <w:spacing w:after="0"/>
              <w:rPr>
                <w:sz w:val="14"/>
                <w:szCs w:val="14"/>
                <w:color w:val="auto"/>
              </w:rPr>
            </w:pPr>
          </w:p>
        </w:tc>
        <w:tc>
          <w:tcPr>
            <w:tcW w:w="2460" w:type="dxa"/>
            <w:vAlign w:val="bottom"/>
          </w:tcPr>
          <w:p>
            <w:pPr>
              <w:ind w:left="700"/>
              <w:spacing w:after="0"/>
              <w:rPr>
                <w:sz w:val="20"/>
                <w:szCs w:val="20"/>
                <w:color w:val="auto"/>
              </w:rPr>
            </w:pPr>
            <w:r>
              <w:rPr>
                <w:rFonts w:ascii="Courier New" w:cs="Courier New" w:eastAsia="Courier New" w:hAnsi="Courier New"/>
                <w:sz w:val="15"/>
                <w:szCs w:val="15"/>
                <w:color w:val="auto"/>
              </w:rPr>
              <w:t>Credit Lyonnais</w:t>
            </w:r>
          </w:p>
        </w:tc>
        <w:tc>
          <w:tcPr>
            <w:tcW w:w="1240" w:type="dxa"/>
            <w:vAlign w:val="bottom"/>
          </w:tcPr>
          <w:p>
            <w:pPr>
              <w:spacing w:after="0"/>
              <w:rPr>
                <w:sz w:val="14"/>
                <w:szCs w:val="14"/>
                <w:color w:val="auto"/>
              </w:rPr>
            </w:pPr>
          </w:p>
        </w:tc>
      </w:tr>
      <w:tr>
        <w:trPr>
          <w:trHeight w:val="170"/>
        </w:trPr>
        <w:tc>
          <w:tcPr>
            <w:tcW w:w="3260" w:type="dxa"/>
            <w:vAlign w:val="bottom"/>
          </w:tcPr>
          <w:p>
            <w:pPr>
              <w:spacing w:after="0"/>
              <w:rPr>
                <w:sz w:val="14"/>
                <w:szCs w:val="14"/>
                <w:color w:val="auto"/>
              </w:rPr>
            </w:pPr>
          </w:p>
        </w:tc>
        <w:tc>
          <w:tcPr>
            <w:tcW w:w="370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1301 Avenue of the Americas</w:t>
            </w:r>
          </w:p>
        </w:tc>
      </w:tr>
      <w:tr>
        <w:trPr>
          <w:trHeight w:val="170"/>
        </w:trPr>
        <w:tc>
          <w:tcPr>
            <w:tcW w:w="3260" w:type="dxa"/>
            <w:vAlign w:val="bottom"/>
          </w:tcPr>
          <w:p>
            <w:pPr>
              <w:spacing w:after="0"/>
              <w:rPr>
                <w:sz w:val="14"/>
                <w:szCs w:val="14"/>
                <w:color w:val="auto"/>
              </w:rPr>
            </w:pPr>
          </w:p>
        </w:tc>
        <w:tc>
          <w:tcPr>
            <w:tcW w:w="2460" w:type="dxa"/>
            <w:vAlign w:val="bottom"/>
          </w:tcPr>
          <w:p>
            <w:pPr>
              <w:ind w:left="700"/>
              <w:spacing w:after="0"/>
              <w:rPr>
                <w:sz w:val="20"/>
                <w:szCs w:val="20"/>
                <w:color w:val="auto"/>
              </w:rPr>
            </w:pPr>
            <w:r>
              <w:rPr>
                <w:rFonts w:ascii="Courier New" w:cs="Courier New" w:eastAsia="Courier New" w:hAnsi="Courier New"/>
                <w:sz w:val="15"/>
                <w:szCs w:val="15"/>
                <w:color w:val="auto"/>
              </w:rPr>
              <w:t>New York, New York</w:t>
            </w:r>
          </w:p>
        </w:tc>
        <w:tc>
          <w:tcPr>
            <w:tcW w:w="124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93"/>
              </w:rPr>
              <w:t>10019</w:t>
            </w:r>
          </w:p>
        </w:tc>
      </w:tr>
    </w:tbl>
    <w:p>
      <w:pPr>
        <w:spacing w:after="0" w:line="169"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Eurodollar Lending Office:</w:t>
      </w:r>
    </w:p>
    <w:p>
      <w:pPr>
        <w:spacing w:after="0" w:line="169"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Same</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I-3</w:t>
      </w:r>
    </w:p>
    <w:p>
      <w:pPr>
        <w:sectPr>
          <w:pgSz w:w="11900" w:h="16838" w:orient="portrait"/>
          <w:cols w:equalWidth="0" w:num="1">
            <w:col w:w="10219"/>
          </w:cols>
          <w:pgMar w:left="240" w:top="622" w:right="1440"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Bank</w:t>
            </w:r>
          </w:p>
        </w:tc>
        <w:tc>
          <w:tcPr>
            <w:tcW w:w="2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The First National Bank of Boston</w:t>
            </w:r>
          </w:p>
        </w:tc>
        <w:tc>
          <w:tcPr>
            <w:tcW w:w="354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Domestic Lending Office:</w:t>
            </w:r>
          </w:p>
        </w:tc>
      </w:tr>
      <w:tr>
        <w:trPr>
          <w:trHeight w:val="339"/>
        </w:trPr>
        <w:tc>
          <w:tcPr>
            <w:tcW w:w="3420" w:type="dxa"/>
            <w:vAlign w:val="bottom"/>
          </w:tcPr>
          <w:p>
            <w:pPr>
              <w:spacing w:after="0"/>
              <w:rPr>
                <w:sz w:val="24"/>
                <w:szCs w:val="24"/>
                <w:color w:val="auto"/>
              </w:rPr>
            </w:pPr>
          </w:p>
        </w:tc>
        <w:tc>
          <w:tcPr>
            <w:tcW w:w="354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The First National Bank of Boston</w:t>
            </w:r>
          </w:p>
        </w:tc>
      </w:tr>
      <w:tr>
        <w:trPr>
          <w:trHeight w:val="170"/>
        </w:trPr>
        <w:tc>
          <w:tcPr>
            <w:tcW w:w="3420" w:type="dxa"/>
            <w:vAlign w:val="bottom"/>
          </w:tcPr>
          <w:p>
            <w:pPr>
              <w:spacing w:after="0"/>
              <w:rPr>
                <w:sz w:val="14"/>
                <w:szCs w:val="14"/>
                <w:color w:val="auto"/>
              </w:rPr>
            </w:pPr>
          </w:p>
        </w:tc>
        <w:tc>
          <w:tcPr>
            <w:tcW w:w="2220" w:type="dxa"/>
            <w:vAlign w:val="bottom"/>
          </w:tcPr>
          <w:p>
            <w:pPr>
              <w:ind w:left="540"/>
              <w:spacing w:after="0"/>
              <w:rPr>
                <w:sz w:val="20"/>
                <w:szCs w:val="20"/>
                <w:color w:val="auto"/>
              </w:rPr>
            </w:pPr>
            <w:r>
              <w:rPr>
                <w:rFonts w:ascii="Courier New" w:cs="Courier New" w:eastAsia="Courier New" w:hAnsi="Courier New"/>
                <w:sz w:val="15"/>
                <w:szCs w:val="15"/>
                <w:color w:val="auto"/>
              </w:rPr>
              <w:t>100 Federal Street</w:t>
            </w:r>
          </w:p>
        </w:tc>
        <w:tc>
          <w:tcPr>
            <w:tcW w:w="132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2220" w:type="dxa"/>
            <w:vAlign w:val="bottom"/>
          </w:tcPr>
          <w:p>
            <w:pPr>
              <w:ind w:left="540"/>
              <w:spacing w:after="0"/>
              <w:rPr>
                <w:sz w:val="20"/>
                <w:szCs w:val="20"/>
                <w:color w:val="auto"/>
              </w:rPr>
            </w:pPr>
            <w:r>
              <w:rPr>
                <w:rFonts w:ascii="Courier New" w:cs="Courier New" w:eastAsia="Courier New" w:hAnsi="Courier New"/>
                <w:sz w:val="15"/>
                <w:szCs w:val="15"/>
                <w:color w:val="auto"/>
              </w:rPr>
              <w:t>Mailstop 01-08-08</w:t>
            </w:r>
          </w:p>
        </w:tc>
        <w:tc>
          <w:tcPr>
            <w:tcW w:w="132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2220" w:type="dxa"/>
            <w:vAlign w:val="bottom"/>
          </w:tcPr>
          <w:p>
            <w:pPr>
              <w:ind w:left="540"/>
              <w:spacing w:after="0"/>
              <w:rPr>
                <w:sz w:val="20"/>
                <w:szCs w:val="20"/>
                <w:color w:val="auto"/>
              </w:rPr>
            </w:pPr>
            <w:r>
              <w:rPr>
                <w:rFonts w:ascii="Courier New" w:cs="Courier New" w:eastAsia="Courier New" w:hAnsi="Courier New"/>
                <w:sz w:val="15"/>
                <w:szCs w:val="15"/>
                <w:color w:val="auto"/>
              </w:rPr>
              <w:t>Boston, MA 02110</w:t>
            </w:r>
          </w:p>
        </w:tc>
        <w:tc>
          <w:tcPr>
            <w:tcW w:w="1320" w:type="dxa"/>
            <w:vAlign w:val="bottom"/>
          </w:tcPr>
          <w:p>
            <w:pPr>
              <w:spacing w:after="0"/>
              <w:rPr>
                <w:sz w:val="14"/>
                <w:szCs w:val="14"/>
                <w:color w:val="auto"/>
              </w:rPr>
            </w:pPr>
          </w:p>
        </w:tc>
      </w:tr>
      <w:tr>
        <w:trPr>
          <w:trHeight w:val="339"/>
        </w:trPr>
        <w:tc>
          <w:tcPr>
            <w:tcW w:w="3420" w:type="dxa"/>
            <w:vAlign w:val="bottom"/>
          </w:tcPr>
          <w:p>
            <w:pPr>
              <w:spacing w:after="0"/>
              <w:rPr>
                <w:sz w:val="24"/>
                <w:szCs w:val="24"/>
                <w:color w:val="auto"/>
              </w:rPr>
            </w:pPr>
          </w:p>
        </w:tc>
        <w:tc>
          <w:tcPr>
            <w:tcW w:w="354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Eurodollar Lending Office:</w:t>
            </w:r>
          </w:p>
        </w:tc>
      </w:tr>
      <w:tr>
        <w:trPr>
          <w:trHeight w:val="339"/>
        </w:trPr>
        <w:tc>
          <w:tcPr>
            <w:tcW w:w="3420" w:type="dxa"/>
            <w:vAlign w:val="bottom"/>
          </w:tcPr>
          <w:p>
            <w:pPr>
              <w:spacing w:after="0"/>
              <w:rPr>
                <w:sz w:val="24"/>
                <w:szCs w:val="24"/>
                <w:color w:val="auto"/>
              </w:rPr>
            </w:pPr>
          </w:p>
        </w:tc>
        <w:tc>
          <w:tcPr>
            <w:tcW w:w="2220" w:type="dxa"/>
            <w:vAlign w:val="bottom"/>
          </w:tcPr>
          <w:p>
            <w:pPr>
              <w:ind w:left="540"/>
              <w:spacing w:after="0"/>
              <w:rPr>
                <w:sz w:val="20"/>
                <w:szCs w:val="20"/>
                <w:color w:val="auto"/>
              </w:rPr>
            </w:pPr>
            <w:r>
              <w:rPr>
                <w:rFonts w:ascii="Courier New" w:cs="Courier New" w:eastAsia="Courier New" w:hAnsi="Courier New"/>
                <w:sz w:val="15"/>
                <w:szCs w:val="15"/>
                <w:color w:val="auto"/>
              </w:rPr>
              <w:t>Same</w:t>
            </w:r>
          </w:p>
        </w:tc>
        <w:tc>
          <w:tcPr>
            <w:tcW w:w="1320" w:type="dxa"/>
            <w:vAlign w:val="bottom"/>
          </w:tcPr>
          <w:p>
            <w:pPr>
              <w:spacing w:after="0"/>
              <w:rPr>
                <w:sz w:val="24"/>
                <w:szCs w:val="24"/>
                <w:color w:val="auto"/>
              </w:rPr>
            </w:pP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The Fuji Bank, Limited</w:t>
            </w:r>
          </w:p>
        </w:tc>
        <w:tc>
          <w:tcPr>
            <w:tcW w:w="354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Domestic Lending Office:</w:t>
            </w:r>
          </w:p>
        </w:tc>
      </w:tr>
      <w:tr>
        <w:trPr>
          <w:trHeight w:val="339"/>
        </w:trPr>
        <w:tc>
          <w:tcPr>
            <w:tcW w:w="3420" w:type="dxa"/>
            <w:vAlign w:val="bottom"/>
          </w:tcPr>
          <w:p>
            <w:pPr>
              <w:spacing w:after="0"/>
              <w:rPr>
                <w:sz w:val="24"/>
                <w:szCs w:val="24"/>
                <w:color w:val="auto"/>
              </w:rPr>
            </w:pPr>
          </w:p>
        </w:tc>
        <w:tc>
          <w:tcPr>
            <w:tcW w:w="354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The Fuji Bank, Limited</w:t>
            </w:r>
          </w:p>
        </w:tc>
      </w:tr>
      <w:tr>
        <w:trPr>
          <w:trHeight w:val="170"/>
        </w:trPr>
        <w:tc>
          <w:tcPr>
            <w:tcW w:w="3420" w:type="dxa"/>
            <w:vAlign w:val="bottom"/>
          </w:tcPr>
          <w:p>
            <w:pPr>
              <w:spacing w:after="0"/>
              <w:rPr>
                <w:sz w:val="14"/>
                <w:szCs w:val="14"/>
                <w:color w:val="auto"/>
              </w:rPr>
            </w:pPr>
          </w:p>
        </w:tc>
        <w:tc>
          <w:tcPr>
            <w:tcW w:w="354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Two World Trade Center</w:t>
            </w:r>
          </w:p>
        </w:tc>
      </w:tr>
      <w:tr>
        <w:trPr>
          <w:trHeight w:val="170"/>
        </w:trPr>
        <w:tc>
          <w:tcPr>
            <w:tcW w:w="3420" w:type="dxa"/>
            <w:vAlign w:val="bottom"/>
          </w:tcPr>
          <w:p>
            <w:pPr>
              <w:spacing w:after="0"/>
              <w:rPr>
                <w:sz w:val="14"/>
                <w:szCs w:val="14"/>
                <w:color w:val="auto"/>
              </w:rPr>
            </w:pPr>
          </w:p>
        </w:tc>
        <w:tc>
          <w:tcPr>
            <w:tcW w:w="2220" w:type="dxa"/>
            <w:vAlign w:val="bottom"/>
          </w:tcPr>
          <w:p>
            <w:pPr>
              <w:ind w:left="540"/>
              <w:spacing w:after="0"/>
              <w:rPr>
                <w:sz w:val="20"/>
                <w:szCs w:val="20"/>
                <w:color w:val="auto"/>
              </w:rPr>
            </w:pPr>
            <w:r>
              <w:rPr>
                <w:rFonts w:ascii="Courier New" w:cs="Courier New" w:eastAsia="Courier New" w:hAnsi="Courier New"/>
                <w:sz w:val="15"/>
                <w:szCs w:val="15"/>
                <w:color w:val="auto"/>
              </w:rPr>
              <w:t>79th Floor</w:t>
            </w:r>
          </w:p>
        </w:tc>
        <w:tc>
          <w:tcPr>
            <w:tcW w:w="132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2220" w:type="dxa"/>
            <w:vAlign w:val="bottom"/>
          </w:tcPr>
          <w:p>
            <w:pPr>
              <w:ind w:left="540"/>
              <w:spacing w:after="0"/>
              <w:rPr>
                <w:sz w:val="20"/>
                <w:szCs w:val="20"/>
                <w:color w:val="auto"/>
              </w:rPr>
            </w:pPr>
            <w:r>
              <w:rPr>
                <w:rFonts w:ascii="Courier New" w:cs="Courier New" w:eastAsia="Courier New" w:hAnsi="Courier New"/>
                <w:sz w:val="15"/>
                <w:szCs w:val="15"/>
                <w:color w:val="auto"/>
              </w:rPr>
              <w:t>New York, New York</w:t>
            </w:r>
          </w:p>
        </w:tc>
        <w:tc>
          <w:tcPr>
            <w:tcW w:w="13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10048</w:t>
            </w:r>
          </w:p>
        </w:tc>
      </w:tr>
      <w:tr>
        <w:trPr>
          <w:trHeight w:val="339"/>
        </w:trPr>
        <w:tc>
          <w:tcPr>
            <w:tcW w:w="3420" w:type="dxa"/>
            <w:vAlign w:val="bottom"/>
          </w:tcPr>
          <w:p>
            <w:pPr>
              <w:spacing w:after="0"/>
              <w:rPr>
                <w:sz w:val="24"/>
                <w:szCs w:val="24"/>
                <w:color w:val="auto"/>
              </w:rPr>
            </w:pPr>
          </w:p>
        </w:tc>
        <w:tc>
          <w:tcPr>
            <w:tcW w:w="354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Eurodollar Lending Office:</w:t>
            </w:r>
          </w:p>
        </w:tc>
      </w:tr>
      <w:tr>
        <w:trPr>
          <w:trHeight w:val="339"/>
        </w:trPr>
        <w:tc>
          <w:tcPr>
            <w:tcW w:w="3420" w:type="dxa"/>
            <w:vAlign w:val="bottom"/>
          </w:tcPr>
          <w:p>
            <w:pPr>
              <w:spacing w:after="0"/>
              <w:rPr>
                <w:sz w:val="24"/>
                <w:szCs w:val="24"/>
                <w:color w:val="auto"/>
              </w:rPr>
            </w:pPr>
          </w:p>
        </w:tc>
        <w:tc>
          <w:tcPr>
            <w:tcW w:w="2220" w:type="dxa"/>
            <w:vAlign w:val="bottom"/>
          </w:tcPr>
          <w:p>
            <w:pPr>
              <w:ind w:left="540"/>
              <w:spacing w:after="0"/>
              <w:rPr>
                <w:sz w:val="20"/>
                <w:szCs w:val="20"/>
                <w:color w:val="auto"/>
              </w:rPr>
            </w:pPr>
            <w:r>
              <w:rPr>
                <w:rFonts w:ascii="Courier New" w:cs="Courier New" w:eastAsia="Courier New" w:hAnsi="Courier New"/>
                <w:sz w:val="15"/>
                <w:szCs w:val="15"/>
                <w:color w:val="auto"/>
              </w:rPr>
              <w:t>Same</w:t>
            </w:r>
          </w:p>
        </w:tc>
        <w:tc>
          <w:tcPr>
            <w:tcW w:w="1320" w:type="dxa"/>
            <w:vAlign w:val="bottom"/>
          </w:tcPr>
          <w:p>
            <w:pPr>
              <w:spacing w:after="0"/>
              <w:rPr>
                <w:sz w:val="24"/>
                <w:szCs w:val="24"/>
                <w:color w:val="auto"/>
              </w:rPr>
            </w:pP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The Industrial Bank of</w:t>
            </w:r>
          </w:p>
        </w:tc>
        <w:tc>
          <w:tcPr>
            <w:tcW w:w="354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Domestic Lending Office:</w:t>
            </w: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rPr>
              <w:t>Japan, Ltd.</w:t>
            </w:r>
          </w:p>
        </w:tc>
        <w:tc>
          <w:tcPr>
            <w:tcW w:w="2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3540" w:type="dxa"/>
            <w:vAlign w:val="bottom"/>
            <w:gridSpan w:val="2"/>
          </w:tcPr>
          <w:p>
            <w:pPr>
              <w:ind w:left="540"/>
              <w:spacing w:after="0"/>
              <w:rPr>
                <w:sz w:val="20"/>
                <w:szCs w:val="20"/>
                <w:color w:val="auto"/>
              </w:rPr>
            </w:pPr>
            <w:r>
              <w:rPr>
                <w:rFonts w:ascii="Courier New" w:cs="Courier New" w:eastAsia="Courier New" w:hAnsi="Courier New"/>
                <w:sz w:val="15"/>
                <w:szCs w:val="15"/>
                <w:color w:val="auto"/>
                <w:w w:val="97"/>
              </w:rPr>
              <w:t>The Industrial Bank of Japan, Ltd.</w:t>
            </w:r>
          </w:p>
        </w:tc>
      </w:tr>
      <w:tr>
        <w:trPr>
          <w:trHeight w:val="170"/>
        </w:trPr>
        <w:tc>
          <w:tcPr>
            <w:tcW w:w="3420" w:type="dxa"/>
            <w:vAlign w:val="bottom"/>
          </w:tcPr>
          <w:p>
            <w:pPr>
              <w:spacing w:after="0"/>
              <w:rPr>
                <w:sz w:val="14"/>
                <w:szCs w:val="14"/>
                <w:color w:val="auto"/>
              </w:rPr>
            </w:pPr>
          </w:p>
        </w:tc>
        <w:tc>
          <w:tcPr>
            <w:tcW w:w="2220" w:type="dxa"/>
            <w:vAlign w:val="bottom"/>
          </w:tcPr>
          <w:p>
            <w:pPr>
              <w:ind w:left="540"/>
              <w:spacing w:after="0"/>
              <w:rPr>
                <w:sz w:val="20"/>
                <w:szCs w:val="20"/>
                <w:color w:val="auto"/>
              </w:rPr>
            </w:pPr>
            <w:r>
              <w:rPr>
                <w:rFonts w:ascii="Courier New" w:cs="Courier New" w:eastAsia="Courier New" w:hAnsi="Courier New"/>
                <w:sz w:val="15"/>
                <w:szCs w:val="15"/>
                <w:color w:val="auto"/>
              </w:rPr>
              <w:t>245 Park Avenue</w:t>
            </w:r>
          </w:p>
        </w:tc>
        <w:tc>
          <w:tcPr>
            <w:tcW w:w="132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2220" w:type="dxa"/>
            <w:vAlign w:val="bottom"/>
          </w:tcPr>
          <w:p>
            <w:pPr>
              <w:ind w:left="540"/>
              <w:spacing w:after="0"/>
              <w:rPr>
                <w:sz w:val="20"/>
                <w:szCs w:val="20"/>
                <w:color w:val="auto"/>
              </w:rPr>
            </w:pPr>
            <w:r>
              <w:rPr>
                <w:rFonts w:ascii="Courier New" w:cs="Courier New" w:eastAsia="Courier New" w:hAnsi="Courier New"/>
                <w:sz w:val="15"/>
                <w:szCs w:val="15"/>
                <w:color w:val="auto"/>
              </w:rPr>
              <w:t>New York, New York</w:t>
            </w:r>
          </w:p>
        </w:tc>
        <w:tc>
          <w:tcPr>
            <w:tcW w:w="13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10167</w:t>
            </w:r>
          </w:p>
        </w:tc>
      </w:tr>
      <w:tr>
        <w:trPr>
          <w:trHeight w:val="339"/>
        </w:trPr>
        <w:tc>
          <w:tcPr>
            <w:tcW w:w="3420" w:type="dxa"/>
            <w:vAlign w:val="bottom"/>
          </w:tcPr>
          <w:p>
            <w:pPr>
              <w:spacing w:after="0"/>
              <w:rPr>
                <w:sz w:val="24"/>
                <w:szCs w:val="24"/>
                <w:color w:val="auto"/>
              </w:rPr>
            </w:pPr>
          </w:p>
        </w:tc>
        <w:tc>
          <w:tcPr>
            <w:tcW w:w="354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Eurodollar Lending Office:</w:t>
            </w:r>
          </w:p>
        </w:tc>
      </w:tr>
      <w:tr>
        <w:trPr>
          <w:trHeight w:val="339"/>
        </w:trPr>
        <w:tc>
          <w:tcPr>
            <w:tcW w:w="3420" w:type="dxa"/>
            <w:vAlign w:val="bottom"/>
          </w:tcPr>
          <w:p>
            <w:pPr>
              <w:spacing w:after="0"/>
              <w:rPr>
                <w:sz w:val="24"/>
                <w:szCs w:val="24"/>
                <w:color w:val="auto"/>
              </w:rPr>
            </w:pPr>
          </w:p>
        </w:tc>
        <w:tc>
          <w:tcPr>
            <w:tcW w:w="2220" w:type="dxa"/>
            <w:vAlign w:val="bottom"/>
          </w:tcPr>
          <w:p>
            <w:pPr>
              <w:ind w:left="540"/>
              <w:spacing w:after="0"/>
              <w:rPr>
                <w:sz w:val="20"/>
                <w:szCs w:val="20"/>
                <w:color w:val="auto"/>
              </w:rPr>
            </w:pPr>
            <w:r>
              <w:rPr>
                <w:rFonts w:ascii="Courier New" w:cs="Courier New" w:eastAsia="Courier New" w:hAnsi="Courier New"/>
                <w:sz w:val="15"/>
                <w:szCs w:val="15"/>
                <w:color w:val="auto"/>
              </w:rPr>
              <w:t>Same</w:t>
            </w:r>
          </w:p>
        </w:tc>
        <w:tc>
          <w:tcPr>
            <w:tcW w:w="1320" w:type="dxa"/>
            <w:vAlign w:val="bottom"/>
          </w:tcPr>
          <w:p>
            <w:pPr>
              <w:spacing w:after="0"/>
              <w:rPr>
                <w:sz w:val="24"/>
                <w:szCs w:val="24"/>
                <w:color w:val="auto"/>
              </w:rPr>
            </w:pP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LTCB Trust Company</w:t>
            </w:r>
          </w:p>
        </w:tc>
        <w:tc>
          <w:tcPr>
            <w:tcW w:w="354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Domestic Lending Office:</w:t>
            </w:r>
          </w:p>
        </w:tc>
      </w:tr>
      <w:tr>
        <w:trPr>
          <w:trHeight w:val="339"/>
        </w:trPr>
        <w:tc>
          <w:tcPr>
            <w:tcW w:w="3420" w:type="dxa"/>
            <w:vAlign w:val="bottom"/>
          </w:tcPr>
          <w:p>
            <w:pPr>
              <w:spacing w:after="0"/>
              <w:rPr>
                <w:sz w:val="24"/>
                <w:szCs w:val="24"/>
                <w:color w:val="auto"/>
              </w:rPr>
            </w:pPr>
          </w:p>
        </w:tc>
        <w:tc>
          <w:tcPr>
            <w:tcW w:w="2220" w:type="dxa"/>
            <w:vAlign w:val="bottom"/>
          </w:tcPr>
          <w:p>
            <w:pPr>
              <w:ind w:left="540"/>
              <w:spacing w:after="0"/>
              <w:rPr>
                <w:sz w:val="20"/>
                <w:szCs w:val="20"/>
                <w:color w:val="auto"/>
              </w:rPr>
            </w:pPr>
            <w:r>
              <w:rPr>
                <w:rFonts w:ascii="Courier New" w:cs="Courier New" w:eastAsia="Courier New" w:hAnsi="Courier New"/>
                <w:sz w:val="15"/>
                <w:szCs w:val="15"/>
                <w:color w:val="auto"/>
              </w:rPr>
              <w:t>LTCB Trust Company</w:t>
            </w:r>
          </w:p>
        </w:tc>
        <w:tc>
          <w:tcPr>
            <w:tcW w:w="1320" w:type="dxa"/>
            <w:vAlign w:val="bottom"/>
          </w:tcPr>
          <w:p>
            <w:pPr>
              <w:spacing w:after="0"/>
              <w:rPr>
                <w:sz w:val="24"/>
                <w:szCs w:val="24"/>
                <w:color w:val="auto"/>
              </w:rPr>
            </w:pPr>
          </w:p>
        </w:tc>
      </w:tr>
      <w:tr>
        <w:trPr>
          <w:trHeight w:val="170"/>
        </w:trPr>
        <w:tc>
          <w:tcPr>
            <w:tcW w:w="3420" w:type="dxa"/>
            <w:vAlign w:val="bottom"/>
          </w:tcPr>
          <w:p>
            <w:pPr>
              <w:spacing w:after="0"/>
              <w:rPr>
                <w:sz w:val="14"/>
                <w:szCs w:val="14"/>
                <w:color w:val="auto"/>
              </w:rPr>
            </w:pPr>
          </w:p>
        </w:tc>
        <w:tc>
          <w:tcPr>
            <w:tcW w:w="2220" w:type="dxa"/>
            <w:vAlign w:val="bottom"/>
          </w:tcPr>
          <w:p>
            <w:pPr>
              <w:ind w:left="540"/>
              <w:spacing w:after="0"/>
              <w:rPr>
                <w:sz w:val="20"/>
                <w:szCs w:val="20"/>
                <w:color w:val="auto"/>
              </w:rPr>
            </w:pPr>
            <w:r>
              <w:rPr>
                <w:rFonts w:ascii="Courier New" w:cs="Courier New" w:eastAsia="Courier New" w:hAnsi="Courier New"/>
                <w:sz w:val="15"/>
                <w:szCs w:val="15"/>
                <w:color w:val="auto"/>
              </w:rPr>
              <w:t>165 Broadway</w:t>
            </w:r>
          </w:p>
        </w:tc>
        <w:tc>
          <w:tcPr>
            <w:tcW w:w="132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2220" w:type="dxa"/>
            <w:vAlign w:val="bottom"/>
          </w:tcPr>
          <w:p>
            <w:pPr>
              <w:ind w:left="540"/>
              <w:spacing w:after="0"/>
              <w:rPr>
                <w:sz w:val="20"/>
                <w:szCs w:val="20"/>
                <w:color w:val="auto"/>
              </w:rPr>
            </w:pPr>
            <w:r>
              <w:rPr>
                <w:rFonts w:ascii="Courier New" w:cs="Courier New" w:eastAsia="Courier New" w:hAnsi="Courier New"/>
                <w:sz w:val="15"/>
                <w:szCs w:val="15"/>
                <w:color w:val="auto"/>
              </w:rPr>
              <w:t>49th Floor</w:t>
            </w:r>
          </w:p>
        </w:tc>
        <w:tc>
          <w:tcPr>
            <w:tcW w:w="132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2220" w:type="dxa"/>
            <w:vAlign w:val="bottom"/>
          </w:tcPr>
          <w:p>
            <w:pPr>
              <w:ind w:left="540"/>
              <w:spacing w:after="0"/>
              <w:rPr>
                <w:sz w:val="20"/>
                <w:szCs w:val="20"/>
                <w:color w:val="auto"/>
              </w:rPr>
            </w:pPr>
            <w:r>
              <w:rPr>
                <w:rFonts w:ascii="Courier New" w:cs="Courier New" w:eastAsia="Courier New" w:hAnsi="Courier New"/>
                <w:sz w:val="15"/>
                <w:szCs w:val="15"/>
                <w:color w:val="auto"/>
              </w:rPr>
              <w:t>New York, NY 10006</w:t>
            </w:r>
          </w:p>
        </w:tc>
        <w:tc>
          <w:tcPr>
            <w:tcW w:w="1320" w:type="dxa"/>
            <w:vAlign w:val="bottom"/>
          </w:tcPr>
          <w:p>
            <w:pPr>
              <w:spacing w:after="0"/>
              <w:rPr>
                <w:sz w:val="14"/>
                <w:szCs w:val="14"/>
                <w:color w:val="auto"/>
              </w:rPr>
            </w:pPr>
          </w:p>
        </w:tc>
      </w:tr>
    </w:tbl>
    <w:p>
      <w:pPr>
        <w:spacing w:after="0" w:line="169"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Eurodollar Lending Office:</w:t>
      </w:r>
    </w:p>
    <w:p>
      <w:pPr>
        <w:spacing w:after="0" w:line="169"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Same</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I-4</w:t>
      </w:r>
    </w:p>
    <w:p>
      <w:pPr>
        <w:sectPr>
          <w:pgSz w:w="11900" w:h="16838" w:orient="portrait"/>
          <w:cols w:equalWidth="0" w:num="1">
            <w:col w:w="10219"/>
          </w:cols>
          <w:pgMar w:left="240" w:top="622" w:right="1440" w:bottom="1440" w:gutter="0" w:footer="0" w:header="0"/>
        </w:sectPr>
      </w:pPr>
    </w:p>
    <w:bookmarkStart w:id="126" w:name="page127"/>
    <w:bookmarkEnd w:id="126"/>
    <w:p>
      <w:pPr>
        <w:spacing w:after="0"/>
        <w:rPr>
          <w:sz w:val="20"/>
          <w:szCs w:val="20"/>
          <w:color w:val="auto"/>
        </w:rPr>
      </w:pPr>
      <w:r>
        <w:rPr>
          <w:rFonts w:ascii="Courier New" w:cs="Courier New" w:eastAsia="Courier New" w:hAnsi="Courier New"/>
          <w:sz w:val="15"/>
          <w:szCs w:val="15"/>
          <w:color w:val="auto"/>
        </w:rPr>
        <w:t>Bank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Mellon Bank, N.A.</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75" w:lineRule="exact"/>
        <w:rPr>
          <w:sz w:val="20"/>
          <w:szCs w:val="20"/>
          <w:color w:val="auto"/>
        </w:rPr>
      </w:pPr>
    </w:p>
    <w:p>
      <w:pPr>
        <w:sectPr>
          <w:pgSz w:w="11900" w:h="16838" w:orient="portrait"/>
          <w:cols w:equalWidth="0" w:num="2">
            <w:col w:w="3240" w:space="720"/>
            <w:col w:w="6259"/>
          </w:cols>
          <w:pgMar w:left="240" w:top="622" w:right="1440" w:bottom="1440" w:gutter="0" w:footer="0" w:header="0"/>
        </w:sectPr>
      </w:pPr>
    </w:p>
    <w:p>
      <w:pPr>
        <w:ind w:left="3960"/>
        <w:spacing w:after="0"/>
        <w:rPr>
          <w:sz w:val="20"/>
          <w:szCs w:val="20"/>
          <w:color w:val="auto"/>
        </w:rPr>
      </w:pPr>
      <w:r>
        <w:rPr>
          <w:rFonts w:ascii="Courier New" w:cs="Courier New" w:eastAsia="Courier New" w:hAnsi="Courier New"/>
          <w:sz w:val="15"/>
          <w:szCs w:val="15"/>
          <w:color w:val="auto"/>
        </w:rPr>
        <w:t>Mellon Bank, N.A.</w:t>
      </w:r>
    </w:p>
    <w:p>
      <w:pPr>
        <w:ind w:left="3960"/>
        <w:spacing w:after="0"/>
        <w:rPr>
          <w:sz w:val="20"/>
          <w:szCs w:val="20"/>
          <w:color w:val="auto"/>
        </w:rPr>
      </w:pPr>
      <w:r>
        <w:rPr>
          <w:rFonts w:ascii="Courier New" w:cs="Courier New" w:eastAsia="Courier New" w:hAnsi="Courier New"/>
          <w:sz w:val="15"/>
          <w:szCs w:val="15"/>
          <w:color w:val="auto"/>
        </w:rPr>
        <w:t>3 Mellon Bank Center</w:t>
      </w:r>
    </w:p>
    <w:p>
      <w:pPr>
        <w:ind w:left="3960"/>
        <w:spacing w:after="0"/>
        <w:rPr>
          <w:sz w:val="20"/>
          <w:szCs w:val="20"/>
          <w:color w:val="auto"/>
        </w:rPr>
      </w:pPr>
      <w:r>
        <w:rPr>
          <w:rFonts w:ascii="Courier New" w:cs="Courier New" w:eastAsia="Courier New" w:hAnsi="Courier New"/>
          <w:sz w:val="15"/>
          <w:szCs w:val="15"/>
          <w:color w:val="auto"/>
        </w:rPr>
        <w:t>Room 2304</w:t>
      </w:r>
    </w:p>
    <w:p>
      <w:pPr>
        <w:ind w:left="3960"/>
        <w:spacing w:after="0" w:line="238" w:lineRule="auto"/>
        <w:rPr>
          <w:sz w:val="20"/>
          <w:szCs w:val="20"/>
          <w:color w:val="auto"/>
        </w:rPr>
      </w:pPr>
      <w:r>
        <w:rPr>
          <w:rFonts w:ascii="Courier New" w:cs="Courier New" w:eastAsia="Courier New" w:hAnsi="Courier New"/>
          <w:sz w:val="15"/>
          <w:szCs w:val="15"/>
          <w:color w:val="auto"/>
        </w:rPr>
        <w:t>Pittsburgh, PA 15259</w:t>
      </w:r>
    </w:p>
    <w:p>
      <w:pPr>
        <w:spacing w:after="0" w:line="175"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Eurodollar Lending Office:</w:t>
      </w:r>
    </w:p>
    <w:p>
      <w:pPr>
        <w:spacing w:after="0" w:line="175"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Same</w:t>
      </w:r>
    </w:p>
    <w:p>
      <w:pPr>
        <w:sectPr>
          <w:pgSz w:w="11900" w:h="16838" w:orient="portrait"/>
          <w:cols w:equalWidth="0" w:num="1">
            <w:col w:w="10219"/>
          </w:cols>
          <w:pgMar w:left="240" w:top="622"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NationsBank of Texas N.A.</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75" w:lineRule="exact"/>
        <w:rPr>
          <w:sz w:val="20"/>
          <w:szCs w:val="20"/>
          <w:color w:val="auto"/>
        </w:rPr>
      </w:pPr>
    </w:p>
    <w:p>
      <w:pPr>
        <w:sectPr>
          <w:pgSz w:w="11900" w:h="16838" w:orient="portrait"/>
          <w:cols w:equalWidth="0" w:num="2">
            <w:col w:w="3240" w:space="720"/>
            <w:col w:w="6259"/>
          </w:cols>
          <w:pgMar w:left="240" w:top="622" w:right="1440" w:bottom="1440" w:gutter="0" w:footer="0" w:header="0"/>
          <w:type w:val="continuous"/>
        </w:sectPr>
      </w:pPr>
    </w:p>
    <w:p>
      <w:pPr>
        <w:ind w:left="3960"/>
        <w:spacing w:after="0"/>
        <w:rPr>
          <w:sz w:val="20"/>
          <w:szCs w:val="20"/>
          <w:color w:val="auto"/>
        </w:rPr>
      </w:pPr>
      <w:r>
        <w:rPr>
          <w:rFonts w:ascii="Courier New" w:cs="Courier New" w:eastAsia="Courier New" w:hAnsi="Courier New"/>
          <w:sz w:val="15"/>
          <w:szCs w:val="15"/>
          <w:color w:val="auto"/>
        </w:rPr>
        <w:t>NationsBank</w:t>
      </w:r>
    </w:p>
    <w:p>
      <w:pPr>
        <w:ind w:left="3960"/>
        <w:spacing w:after="0"/>
        <w:rPr>
          <w:sz w:val="20"/>
          <w:szCs w:val="20"/>
          <w:color w:val="auto"/>
        </w:rPr>
      </w:pPr>
      <w:r>
        <w:rPr>
          <w:rFonts w:ascii="Courier New" w:cs="Courier New" w:eastAsia="Courier New" w:hAnsi="Courier New"/>
          <w:sz w:val="15"/>
          <w:szCs w:val="15"/>
          <w:color w:val="auto"/>
        </w:rPr>
        <w:t>901 Miami Street</w:t>
      </w:r>
    </w:p>
    <w:p>
      <w:pPr>
        <w:ind w:left="3960"/>
        <w:spacing w:after="0"/>
        <w:rPr>
          <w:sz w:val="20"/>
          <w:szCs w:val="20"/>
          <w:color w:val="auto"/>
        </w:rPr>
      </w:pPr>
      <w:r>
        <w:rPr>
          <w:rFonts w:ascii="Courier New" w:cs="Courier New" w:eastAsia="Courier New" w:hAnsi="Courier New"/>
          <w:sz w:val="15"/>
          <w:szCs w:val="15"/>
          <w:color w:val="auto"/>
        </w:rPr>
        <w:t>67th Floor</w:t>
      </w:r>
    </w:p>
    <w:p>
      <w:pPr>
        <w:ind w:left="3960"/>
        <w:spacing w:after="0" w:line="238" w:lineRule="auto"/>
        <w:rPr>
          <w:sz w:val="20"/>
          <w:szCs w:val="20"/>
          <w:color w:val="auto"/>
        </w:rPr>
      </w:pPr>
      <w:r>
        <w:rPr>
          <w:rFonts w:ascii="Courier New" w:cs="Courier New" w:eastAsia="Courier New" w:hAnsi="Courier New"/>
          <w:sz w:val="15"/>
          <w:szCs w:val="15"/>
          <w:color w:val="auto"/>
        </w:rPr>
        <w:t>Dallas, TX 75202</w:t>
      </w:r>
    </w:p>
    <w:p>
      <w:pPr>
        <w:spacing w:after="0" w:line="175"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Eurodollar Lending Office:</w:t>
      </w:r>
    </w:p>
    <w:p>
      <w:pPr>
        <w:spacing w:after="0" w:line="175"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Same</w:t>
      </w:r>
    </w:p>
    <w:p>
      <w:pPr>
        <w:sectPr>
          <w:pgSz w:w="11900" w:h="16838" w:orient="portrait"/>
          <w:cols w:equalWidth="0" w:num="1">
            <w:col w:w="10219"/>
          </w:cols>
          <w:pgMar w:left="240" w:top="622"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Societe Generale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75" w:lineRule="exact"/>
        <w:rPr>
          <w:sz w:val="20"/>
          <w:szCs w:val="20"/>
          <w:color w:val="auto"/>
        </w:rPr>
      </w:pPr>
    </w:p>
    <w:p>
      <w:pPr>
        <w:sectPr>
          <w:pgSz w:w="11900" w:h="16838" w:orient="portrait"/>
          <w:cols w:equalWidth="0" w:num="2">
            <w:col w:w="3240" w:space="720"/>
            <w:col w:w="6259"/>
          </w:cols>
          <w:pgMar w:left="240" w:top="622" w:right="1440" w:bottom="1440" w:gutter="0" w:footer="0" w:header="0"/>
          <w:type w:val="continuous"/>
        </w:sectPr>
      </w:pPr>
    </w:p>
    <w:p>
      <w:pPr>
        <w:ind w:left="3960"/>
        <w:spacing w:after="0"/>
        <w:rPr>
          <w:sz w:val="20"/>
          <w:szCs w:val="20"/>
          <w:color w:val="auto"/>
        </w:rPr>
      </w:pPr>
      <w:r>
        <w:rPr>
          <w:rFonts w:ascii="Courier New" w:cs="Courier New" w:eastAsia="Courier New" w:hAnsi="Courier New"/>
          <w:sz w:val="15"/>
          <w:szCs w:val="15"/>
          <w:color w:val="auto"/>
        </w:rPr>
        <w:t>Societe Generale</w:t>
      </w:r>
    </w:p>
    <w:p>
      <w:pPr>
        <w:ind w:left="3960"/>
        <w:spacing w:after="0"/>
        <w:rPr>
          <w:sz w:val="20"/>
          <w:szCs w:val="20"/>
          <w:color w:val="auto"/>
        </w:rPr>
      </w:pPr>
      <w:r>
        <w:rPr>
          <w:rFonts w:ascii="Courier New" w:cs="Courier New" w:eastAsia="Courier New" w:hAnsi="Courier New"/>
          <w:sz w:val="15"/>
          <w:szCs w:val="15"/>
          <w:color w:val="auto"/>
        </w:rPr>
        <w:t>50 Rockefeller Plaza</w:t>
      </w:r>
    </w:p>
    <w:p>
      <w:pPr>
        <w:ind w:left="3960"/>
        <w:spacing w:after="0"/>
        <w:rPr>
          <w:sz w:val="20"/>
          <w:szCs w:val="20"/>
          <w:color w:val="auto"/>
        </w:rPr>
      </w:pPr>
      <w:r>
        <w:rPr>
          <w:rFonts w:ascii="Courier New" w:cs="Courier New" w:eastAsia="Courier New" w:hAnsi="Courier New"/>
          <w:sz w:val="15"/>
          <w:szCs w:val="15"/>
          <w:color w:val="auto"/>
        </w:rPr>
        <w:t>5th Avenue</w:t>
      </w:r>
    </w:p>
    <w:p>
      <w:pPr>
        <w:ind w:left="3960"/>
        <w:spacing w:after="0" w:line="238" w:lineRule="auto"/>
        <w:rPr>
          <w:sz w:val="20"/>
          <w:szCs w:val="20"/>
          <w:color w:val="auto"/>
        </w:rPr>
      </w:pPr>
      <w:r>
        <w:rPr>
          <w:rFonts w:ascii="Courier New" w:cs="Courier New" w:eastAsia="Courier New" w:hAnsi="Courier New"/>
          <w:sz w:val="15"/>
          <w:szCs w:val="15"/>
          <w:color w:val="auto"/>
        </w:rPr>
        <w:t>14th Floor</w:t>
      </w:r>
    </w:p>
    <w:p>
      <w:pPr>
        <w:ind w:left="3960"/>
        <w:spacing w:after="0"/>
        <w:rPr>
          <w:sz w:val="20"/>
          <w:szCs w:val="20"/>
          <w:color w:val="auto"/>
        </w:rPr>
      </w:pPr>
      <w:r>
        <w:rPr>
          <w:rFonts w:ascii="Courier New" w:cs="Courier New" w:eastAsia="Courier New" w:hAnsi="Courier New"/>
          <w:sz w:val="15"/>
          <w:szCs w:val="15"/>
          <w:color w:val="auto"/>
        </w:rPr>
        <w:t>New York, NY 10020</w:t>
      </w:r>
    </w:p>
    <w:p>
      <w:pPr>
        <w:spacing w:after="0" w:line="174"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Eurodollar Lending Office:</w:t>
      </w:r>
    </w:p>
    <w:p>
      <w:pPr>
        <w:spacing w:after="0" w:line="175"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Same</w:t>
      </w:r>
    </w:p>
    <w:p>
      <w:pPr>
        <w:sectPr>
          <w:pgSz w:w="11900" w:h="16838" w:orient="portrait"/>
          <w:cols w:equalWidth="0" w:num="1">
            <w:col w:w="10219"/>
          </w:cols>
          <w:pgMar w:left="240" w:top="622"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Toronto-Dominion Bank</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75" w:lineRule="exact"/>
        <w:rPr>
          <w:sz w:val="20"/>
          <w:szCs w:val="20"/>
          <w:color w:val="auto"/>
        </w:rPr>
      </w:pPr>
    </w:p>
    <w:p>
      <w:pPr>
        <w:sectPr>
          <w:pgSz w:w="11900" w:h="16838" w:orient="portrait"/>
          <w:cols w:equalWidth="0" w:num="2">
            <w:col w:w="3240" w:space="720"/>
            <w:col w:w="6259"/>
          </w:cols>
          <w:pgMar w:left="240" w:top="622" w:right="1440" w:bottom="1440" w:gutter="0" w:footer="0" w:header="0"/>
          <w:type w:val="continuous"/>
        </w:sectPr>
      </w:pPr>
    </w:p>
    <w:p>
      <w:pPr>
        <w:ind w:left="3960"/>
        <w:spacing w:after="0"/>
        <w:rPr>
          <w:sz w:val="20"/>
          <w:szCs w:val="20"/>
          <w:color w:val="auto"/>
        </w:rPr>
      </w:pPr>
      <w:r>
        <w:rPr>
          <w:rFonts w:ascii="Courier New" w:cs="Courier New" w:eastAsia="Courier New" w:hAnsi="Courier New"/>
          <w:sz w:val="15"/>
          <w:szCs w:val="15"/>
          <w:color w:val="auto"/>
        </w:rPr>
        <w:t>The Toronto-Dominion Bank</w:t>
      </w:r>
    </w:p>
    <w:p>
      <w:pPr>
        <w:ind w:left="3960"/>
        <w:spacing w:after="0"/>
        <w:rPr>
          <w:sz w:val="20"/>
          <w:szCs w:val="20"/>
          <w:color w:val="auto"/>
        </w:rPr>
      </w:pPr>
      <w:r>
        <w:rPr>
          <w:rFonts w:ascii="Courier New" w:cs="Courier New" w:eastAsia="Courier New" w:hAnsi="Courier New"/>
          <w:sz w:val="15"/>
          <w:szCs w:val="15"/>
          <w:color w:val="auto"/>
        </w:rPr>
        <w:t>909 Fannin Street</w:t>
      </w:r>
    </w:p>
    <w:p>
      <w:pPr>
        <w:ind w:left="3960"/>
        <w:spacing w:after="0"/>
        <w:rPr>
          <w:sz w:val="20"/>
          <w:szCs w:val="20"/>
          <w:color w:val="auto"/>
        </w:rPr>
      </w:pPr>
      <w:r>
        <w:rPr>
          <w:rFonts w:ascii="Courier New" w:cs="Courier New" w:eastAsia="Courier New" w:hAnsi="Courier New"/>
          <w:sz w:val="15"/>
          <w:szCs w:val="15"/>
          <w:color w:val="auto"/>
        </w:rPr>
        <w:t>Houston, TX 77010</w:t>
      </w:r>
    </w:p>
    <w:p>
      <w:pPr>
        <w:spacing w:after="0" w:line="174"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Eurodollar Lending Office:</w:t>
      </w:r>
    </w:p>
    <w:p>
      <w:pPr>
        <w:spacing w:after="0" w:line="175"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Same</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I-5</w:t>
      </w:r>
    </w:p>
    <w:p>
      <w:pPr>
        <w:sectPr>
          <w:pgSz w:w="11900" w:h="16838" w:orient="portrait"/>
          <w:cols w:equalWidth="0" w:num="1">
            <w:col w:w="10219"/>
          </w:cols>
          <w:pgMar w:left="240" w:top="622" w:right="1440" w:bottom="1440" w:gutter="0" w:footer="0" w:header="0"/>
          <w:type w:val="continuous"/>
        </w:sectPr>
      </w:pPr>
    </w:p>
    <w:bookmarkStart w:id="127" w:name="page128"/>
    <w:bookmarkEnd w:id="127"/>
    <w:p>
      <w:pPr>
        <w:spacing w:after="0"/>
        <w:rPr>
          <w:sz w:val="20"/>
          <w:szCs w:val="20"/>
          <w:color w:val="auto"/>
        </w:rPr>
      </w:pPr>
      <w:r>
        <w:rPr>
          <w:rFonts w:ascii="Courier New" w:cs="Courier New" w:eastAsia="Courier New" w:hAnsi="Courier New"/>
          <w:sz w:val="15"/>
          <w:szCs w:val="15"/>
          <w:color w:val="auto"/>
        </w:rPr>
        <w:t>Bank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Union Bank</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75" w:lineRule="exact"/>
        <w:rPr>
          <w:sz w:val="20"/>
          <w:szCs w:val="20"/>
          <w:color w:val="auto"/>
        </w:rPr>
      </w:pPr>
    </w:p>
    <w:p>
      <w:pPr>
        <w:sectPr>
          <w:pgSz w:w="11900" w:h="16838" w:orient="portrait"/>
          <w:cols w:equalWidth="0" w:num="2">
            <w:col w:w="3240" w:space="720"/>
            <w:col w:w="6259"/>
          </w:cols>
          <w:pgMar w:left="240" w:top="622" w:right="1440" w:bottom="1440" w:gutter="0" w:footer="0" w:header="0"/>
        </w:sectPr>
      </w:pPr>
    </w:p>
    <w:p>
      <w:pPr>
        <w:ind w:left="3960"/>
        <w:spacing w:after="0"/>
        <w:rPr>
          <w:sz w:val="20"/>
          <w:szCs w:val="20"/>
          <w:color w:val="auto"/>
        </w:rPr>
      </w:pPr>
      <w:r>
        <w:rPr>
          <w:rFonts w:ascii="Courier New" w:cs="Courier New" w:eastAsia="Courier New" w:hAnsi="Courier New"/>
          <w:sz w:val="15"/>
          <w:szCs w:val="15"/>
          <w:color w:val="auto"/>
        </w:rPr>
        <w:t>Union Bank of California</w:t>
      </w:r>
    </w:p>
    <w:p>
      <w:pPr>
        <w:ind w:left="3960"/>
        <w:spacing w:after="0"/>
        <w:rPr>
          <w:sz w:val="20"/>
          <w:szCs w:val="20"/>
          <w:color w:val="auto"/>
        </w:rPr>
      </w:pPr>
      <w:r>
        <w:rPr>
          <w:rFonts w:ascii="Courier New" w:cs="Courier New" w:eastAsia="Courier New" w:hAnsi="Courier New"/>
          <w:sz w:val="15"/>
          <w:szCs w:val="15"/>
          <w:color w:val="auto"/>
        </w:rPr>
        <w:t>445 South Figuera Street</w:t>
      </w:r>
    </w:p>
    <w:p>
      <w:pPr>
        <w:ind w:left="3960"/>
        <w:spacing w:after="0"/>
        <w:rPr>
          <w:sz w:val="20"/>
          <w:szCs w:val="20"/>
          <w:color w:val="auto"/>
        </w:rPr>
      </w:pPr>
      <w:r>
        <w:rPr>
          <w:rFonts w:ascii="Courier New" w:cs="Courier New" w:eastAsia="Courier New" w:hAnsi="Courier New"/>
          <w:sz w:val="15"/>
          <w:szCs w:val="15"/>
          <w:color w:val="auto"/>
        </w:rPr>
        <w:t>15th Floor</w:t>
      </w:r>
    </w:p>
    <w:p>
      <w:pPr>
        <w:ind w:left="3960"/>
        <w:spacing w:after="0" w:line="238" w:lineRule="auto"/>
        <w:rPr>
          <w:sz w:val="20"/>
          <w:szCs w:val="20"/>
          <w:color w:val="auto"/>
        </w:rPr>
      </w:pPr>
      <w:r>
        <w:rPr>
          <w:rFonts w:ascii="Courier New" w:cs="Courier New" w:eastAsia="Courier New" w:hAnsi="Courier New"/>
          <w:sz w:val="15"/>
          <w:szCs w:val="15"/>
          <w:color w:val="auto"/>
        </w:rPr>
        <w:t>Los Angeles, CA 90071</w:t>
      </w:r>
    </w:p>
    <w:p>
      <w:pPr>
        <w:spacing w:after="0" w:line="175"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Eurodollar Lending Office:</w:t>
      </w:r>
    </w:p>
    <w:p>
      <w:pPr>
        <w:spacing w:after="0" w:line="175"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Same</w:t>
      </w:r>
    </w:p>
    <w:p>
      <w:pPr>
        <w:sectPr>
          <w:pgSz w:w="11900" w:h="16838" w:orient="portrait"/>
          <w:cols w:equalWidth="0" w:num="1">
            <w:col w:w="10219"/>
          </w:cols>
          <w:pgMar w:left="240" w:top="622"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Suisse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75" w:lineRule="exact"/>
        <w:rPr>
          <w:sz w:val="20"/>
          <w:szCs w:val="20"/>
          <w:color w:val="auto"/>
        </w:rPr>
      </w:pPr>
    </w:p>
    <w:p>
      <w:pPr>
        <w:sectPr>
          <w:pgSz w:w="11900" w:h="16838" w:orient="portrait"/>
          <w:cols w:equalWidth="0" w:num="2">
            <w:col w:w="3240" w:space="720"/>
            <w:col w:w="6259"/>
          </w:cols>
          <w:pgMar w:left="240" w:top="622" w:right="1440" w:bottom="1440" w:gutter="0" w:footer="0" w:header="0"/>
          <w:type w:val="continuous"/>
        </w:sectPr>
      </w:pPr>
    </w:p>
    <w:p>
      <w:pPr>
        <w:ind w:left="3960"/>
        <w:spacing w:after="0"/>
        <w:rPr>
          <w:sz w:val="20"/>
          <w:szCs w:val="20"/>
          <w:color w:val="auto"/>
        </w:rPr>
      </w:pPr>
      <w:r>
        <w:rPr>
          <w:rFonts w:ascii="Courier New" w:cs="Courier New" w:eastAsia="Courier New" w:hAnsi="Courier New"/>
          <w:sz w:val="15"/>
          <w:szCs w:val="15"/>
          <w:color w:val="auto"/>
        </w:rPr>
        <w:t>Credit Suisse</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12 East 49th Street</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New York, New York</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10017</w:t>
      </w:r>
    </w:p>
    <w:p>
      <w:pPr>
        <w:spacing w:after="0" w:line="180" w:lineRule="exact"/>
        <w:rPr>
          <w:sz w:val="20"/>
          <w:szCs w:val="20"/>
          <w:color w:val="auto"/>
        </w:rPr>
      </w:pPr>
    </w:p>
    <w:p>
      <w:pPr>
        <w:sectPr>
          <w:pgSz w:w="11900" w:h="16838" w:orient="portrait"/>
          <w:cols w:equalWidth="0" w:num="2">
            <w:col w:w="5640" w:space="80"/>
            <w:col w:w="4499"/>
          </w:cols>
          <w:pgMar w:left="240" w:top="622" w:right="1440" w:bottom="1440" w:gutter="0" w:footer="0" w:header="0"/>
          <w:type w:val="continuous"/>
        </w:sectPr>
      </w:pPr>
    </w:p>
    <w:p>
      <w:pPr>
        <w:ind w:left="3960"/>
        <w:spacing w:after="0"/>
        <w:rPr>
          <w:sz w:val="20"/>
          <w:szCs w:val="20"/>
          <w:color w:val="auto"/>
        </w:rPr>
      </w:pPr>
      <w:r>
        <w:rPr>
          <w:rFonts w:ascii="Courier New" w:cs="Courier New" w:eastAsia="Courier New" w:hAnsi="Courier New"/>
          <w:sz w:val="14"/>
          <w:szCs w:val="14"/>
          <w:color w:val="auto"/>
        </w:rPr>
        <w:t>Eurodollar Lending Office:</w:t>
      </w:r>
    </w:p>
    <w:p>
      <w:pPr>
        <w:spacing w:after="0" w:line="175"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Same</w:t>
      </w:r>
    </w:p>
    <w:p>
      <w:pPr>
        <w:sectPr>
          <w:pgSz w:w="11900" w:h="16838" w:orient="portrait"/>
          <w:cols w:equalWidth="0" w:num="1">
            <w:col w:w="10219"/>
          </w:cols>
          <w:pgMar w:left="240" w:top="622" w:right="1440" w:bottom="1440" w:gutter="0" w:footer="0" w:header="0"/>
          <w:type w:val="continuous"/>
        </w:sectPr>
      </w:pPr>
    </w:p>
    <w:p>
      <w:pPr>
        <w:spacing w:after="0" w:line="175"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The Dai-Ichi Kangyo Bank Ltd., New York Branch</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75" w:lineRule="exact"/>
        <w:rPr>
          <w:sz w:val="20"/>
          <w:szCs w:val="20"/>
          <w:color w:val="auto"/>
        </w:rPr>
      </w:pPr>
    </w:p>
    <w:p>
      <w:pPr>
        <w:sectPr>
          <w:pgSz w:w="11900" w:h="16838" w:orient="portrait"/>
          <w:cols w:equalWidth="0" w:num="2">
            <w:col w:w="3420" w:space="540"/>
            <w:col w:w="6259"/>
          </w:cols>
          <w:pgMar w:left="240" w:top="622" w:right="1440" w:bottom="1440" w:gutter="0" w:footer="0" w:header="0"/>
          <w:type w:val="continuous"/>
        </w:sectPr>
      </w:pPr>
    </w:p>
    <w:p>
      <w:pPr>
        <w:ind w:left="3960"/>
        <w:spacing w:after="0"/>
        <w:rPr>
          <w:sz w:val="20"/>
          <w:szCs w:val="20"/>
          <w:color w:val="auto"/>
        </w:rPr>
      </w:pPr>
      <w:r>
        <w:rPr>
          <w:rFonts w:ascii="Courier New" w:cs="Courier New" w:eastAsia="Courier New" w:hAnsi="Courier New"/>
          <w:sz w:val="15"/>
          <w:szCs w:val="15"/>
          <w:color w:val="auto"/>
        </w:rPr>
        <w:t>The Dai-Ichi Kangyo Bank</w:t>
      </w:r>
    </w:p>
    <w:p>
      <w:pPr>
        <w:ind w:left="3960"/>
        <w:spacing w:after="0"/>
        <w:rPr>
          <w:sz w:val="20"/>
          <w:szCs w:val="20"/>
          <w:color w:val="auto"/>
        </w:rPr>
      </w:pPr>
      <w:r>
        <w:rPr>
          <w:rFonts w:ascii="Courier New" w:cs="Courier New" w:eastAsia="Courier New" w:hAnsi="Courier New"/>
          <w:sz w:val="15"/>
          <w:szCs w:val="15"/>
          <w:color w:val="auto"/>
        </w:rPr>
        <w:t>One World Trade Center</w:t>
      </w:r>
    </w:p>
    <w:p>
      <w:pPr>
        <w:ind w:left="3960"/>
        <w:spacing w:after="0"/>
        <w:rPr>
          <w:sz w:val="20"/>
          <w:szCs w:val="20"/>
          <w:color w:val="auto"/>
        </w:rPr>
      </w:pPr>
      <w:r>
        <w:rPr>
          <w:rFonts w:ascii="Courier New" w:cs="Courier New" w:eastAsia="Courier New" w:hAnsi="Courier New"/>
          <w:sz w:val="15"/>
          <w:szCs w:val="15"/>
          <w:color w:val="auto"/>
        </w:rPr>
        <w:t>Suite 4911</w:t>
      </w:r>
    </w:p>
    <w:p>
      <w:pPr>
        <w:ind w:left="3960"/>
        <w:spacing w:after="0" w:line="238" w:lineRule="auto"/>
        <w:rPr>
          <w:sz w:val="20"/>
          <w:szCs w:val="20"/>
          <w:color w:val="auto"/>
        </w:rPr>
      </w:pPr>
      <w:r>
        <w:rPr>
          <w:rFonts w:ascii="Courier New" w:cs="Courier New" w:eastAsia="Courier New" w:hAnsi="Courier New"/>
          <w:sz w:val="15"/>
          <w:szCs w:val="15"/>
          <w:color w:val="auto"/>
        </w:rPr>
        <w:t>New York, NY 10048</w:t>
      </w:r>
    </w:p>
    <w:p>
      <w:pPr>
        <w:spacing w:after="0" w:line="175"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Eurodollar Lending Office:</w:t>
      </w:r>
    </w:p>
    <w:p>
      <w:pPr>
        <w:spacing w:after="0" w:line="175"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Same</w:t>
      </w:r>
    </w:p>
    <w:p>
      <w:pPr>
        <w:sectPr>
          <w:pgSz w:w="11900" w:h="16838" w:orient="portrait"/>
          <w:cols w:equalWidth="0" w:num="1">
            <w:col w:w="10219"/>
          </w:cols>
          <w:pgMar w:left="240" w:top="622"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Mitsubishi Bank, Limited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75" w:lineRule="exact"/>
        <w:rPr>
          <w:sz w:val="20"/>
          <w:szCs w:val="20"/>
          <w:color w:val="auto"/>
        </w:rPr>
      </w:pPr>
    </w:p>
    <w:p>
      <w:pPr>
        <w:sectPr>
          <w:pgSz w:w="11900" w:h="16838" w:orient="portrait"/>
          <w:cols w:equalWidth="0" w:num="2">
            <w:col w:w="3240" w:space="720"/>
            <w:col w:w="6259"/>
          </w:cols>
          <w:pgMar w:left="240" w:top="622" w:right="1440" w:bottom="1440" w:gutter="0" w:footer="0" w:header="0"/>
          <w:type w:val="continuous"/>
        </w:sectPr>
      </w:pPr>
    </w:p>
    <w:p>
      <w:pPr>
        <w:ind w:left="3960"/>
        <w:spacing w:after="0"/>
        <w:rPr>
          <w:sz w:val="20"/>
          <w:szCs w:val="20"/>
          <w:color w:val="auto"/>
        </w:rPr>
      </w:pPr>
      <w:r>
        <w:rPr>
          <w:rFonts w:ascii="Courier New" w:cs="Courier New" w:eastAsia="Courier New" w:hAnsi="Courier New"/>
          <w:sz w:val="15"/>
          <w:szCs w:val="15"/>
          <w:color w:val="auto"/>
        </w:rPr>
        <w:t>The Mitsubishi Bank, Ltd.</w:t>
      </w:r>
    </w:p>
    <w:p>
      <w:pPr>
        <w:ind w:left="3960"/>
        <w:spacing w:after="0"/>
        <w:rPr>
          <w:sz w:val="20"/>
          <w:szCs w:val="20"/>
          <w:color w:val="auto"/>
        </w:rPr>
      </w:pPr>
      <w:r>
        <w:rPr>
          <w:rFonts w:ascii="Courier New" w:cs="Courier New" w:eastAsia="Courier New" w:hAnsi="Courier New"/>
          <w:sz w:val="15"/>
          <w:szCs w:val="15"/>
          <w:color w:val="auto"/>
        </w:rPr>
        <w:t>New York Branch</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Two World Financial Center</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225 Liberty Street</w:t>
      </w:r>
    </w:p>
    <w:p>
      <w:pPr>
        <w:ind w:left="3960"/>
        <w:spacing w:after="0"/>
        <w:rPr>
          <w:sz w:val="20"/>
          <w:szCs w:val="20"/>
          <w:color w:val="auto"/>
        </w:rPr>
      </w:pPr>
      <w:r>
        <w:rPr>
          <w:rFonts w:ascii="Courier New" w:cs="Courier New" w:eastAsia="Courier New" w:hAnsi="Courier New"/>
          <w:sz w:val="15"/>
          <w:szCs w:val="15"/>
          <w:color w:val="auto"/>
        </w:rPr>
        <w:t>New York, New York 10281</w:t>
      </w:r>
    </w:p>
    <w:p>
      <w:pPr>
        <w:spacing w:after="0" w:line="174"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Eurodollar Lending Office:</w:t>
      </w:r>
    </w:p>
    <w:p>
      <w:pPr>
        <w:spacing w:after="0" w:line="175"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Same</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I-6</w:t>
      </w:r>
    </w:p>
    <w:p>
      <w:pPr>
        <w:sectPr>
          <w:pgSz w:w="11900" w:h="16838" w:orient="portrait"/>
          <w:cols w:equalWidth="0" w:num="1">
            <w:col w:w="10219"/>
          </w:cols>
          <w:pgMar w:left="240" w:top="622" w:right="1440" w:bottom="1440" w:gutter="0" w:footer="0" w:header="0"/>
          <w:type w:val="continuous"/>
        </w:sectPr>
      </w:pPr>
    </w:p>
    <w:bookmarkStart w:id="128" w:name="page129"/>
    <w:bookmarkEnd w:id="128"/>
    <w:p>
      <w:pPr>
        <w:spacing w:after="0"/>
        <w:rPr>
          <w:sz w:val="20"/>
          <w:szCs w:val="20"/>
          <w:color w:val="auto"/>
        </w:rPr>
      </w:pPr>
      <w:r>
        <w:rPr>
          <w:rFonts w:ascii="Courier New" w:cs="Courier New" w:eastAsia="Courier New" w:hAnsi="Courier New"/>
          <w:sz w:val="15"/>
          <w:szCs w:val="15"/>
          <w:color w:val="auto"/>
        </w:rPr>
        <w:t>Bank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Mitsubishi Trust &amp; Banking Corporation</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80" w:lineRule="exact"/>
        <w:rPr>
          <w:sz w:val="20"/>
          <w:szCs w:val="20"/>
          <w:color w:val="auto"/>
        </w:rPr>
      </w:pPr>
    </w:p>
    <w:p>
      <w:pPr>
        <w:sectPr>
          <w:pgSz w:w="11900" w:h="16838" w:orient="portrait"/>
          <w:cols w:equalWidth="0" w:num="2">
            <w:col w:w="3700" w:space="160"/>
            <w:col w:w="6359"/>
          </w:cols>
          <w:pgMar w:left="240" w:top="622" w:right="1440" w:bottom="1440" w:gutter="0" w:footer="0" w:header="0"/>
        </w:sectPr>
      </w:pPr>
    </w:p>
    <w:p>
      <w:pPr>
        <w:ind w:left="3860"/>
        <w:spacing w:after="0"/>
        <w:rPr>
          <w:sz w:val="20"/>
          <w:szCs w:val="20"/>
          <w:color w:val="auto"/>
        </w:rPr>
      </w:pPr>
      <w:r>
        <w:rPr>
          <w:rFonts w:ascii="Courier New" w:cs="Courier New" w:eastAsia="Courier New" w:hAnsi="Courier New"/>
          <w:sz w:val="14"/>
          <w:szCs w:val="14"/>
          <w:color w:val="auto"/>
        </w:rPr>
        <w:t>The Mitsubishi Trust &amp; Banking Corp.</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520 Madison Avenue</w:t>
      </w:r>
    </w:p>
    <w:p>
      <w:pPr>
        <w:ind w:left="3860"/>
        <w:spacing w:after="0"/>
        <w:rPr>
          <w:sz w:val="20"/>
          <w:szCs w:val="20"/>
          <w:color w:val="auto"/>
        </w:rPr>
      </w:pPr>
      <w:r>
        <w:rPr>
          <w:rFonts w:ascii="Courier New" w:cs="Courier New" w:eastAsia="Courier New" w:hAnsi="Courier New"/>
          <w:sz w:val="15"/>
          <w:szCs w:val="15"/>
          <w:color w:val="auto"/>
        </w:rPr>
        <w:t>26th Floor</w:t>
      </w:r>
    </w:p>
    <w:p>
      <w:pPr>
        <w:ind w:left="3860"/>
        <w:spacing w:after="0"/>
        <w:rPr>
          <w:sz w:val="20"/>
          <w:szCs w:val="20"/>
          <w:color w:val="auto"/>
        </w:rPr>
      </w:pPr>
      <w:r>
        <w:rPr>
          <w:rFonts w:ascii="Courier New" w:cs="Courier New" w:eastAsia="Courier New" w:hAnsi="Courier New"/>
          <w:sz w:val="15"/>
          <w:szCs w:val="15"/>
          <w:color w:val="auto"/>
        </w:rPr>
        <w:t>New York, NY 10022</w:t>
      </w:r>
    </w:p>
    <w:p>
      <w:pPr>
        <w:spacing w:after="0" w:line="16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Eurodollar Lending Office:</w:t>
      </w:r>
    </w:p>
    <w:p>
      <w:pPr>
        <w:spacing w:after="0" w:line="16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Same</w:t>
      </w:r>
    </w:p>
    <w:p>
      <w:pPr>
        <w:sectPr>
          <w:pgSz w:w="11900" w:h="16838" w:orient="portrait"/>
          <w:cols w:equalWidth="0" w:num="1">
            <w:col w:w="10219"/>
          </w:cols>
          <w:pgMar w:left="240" w:top="622"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Royal Bank of Canada</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75" w:lineRule="exact"/>
        <w:rPr>
          <w:sz w:val="20"/>
          <w:szCs w:val="20"/>
          <w:color w:val="auto"/>
        </w:rPr>
      </w:pPr>
    </w:p>
    <w:p>
      <w:pPr>
        <w:sectPr>
          <w:pgSz w:w="11900" w:h="16838" w:orient="portrait"/>
          <w:cols w:equalWidth="0" w:num="2">
            <w:col w:w="3140" w:space="720"/>
            <w:col w:w="6359"/>
          </w:cols>
          <w:pgMar w:left="240" w:top="622" w:right="1440" w:bottom="1440" w:gutter="0" w:footer="0" w:header="0"/>
          <w:type w:val="continuous"/>
        </w:sectPr>
      </w:pPr>
    </w:p>
    <w:p>
      <w:pPr>
        <w:ind w:left="3860"/>
        <w:spacing w:after="0"/>
        <w:rPr>
          <w:sz w:val="20"/>
          <w:szCs w:val="20"/>
          <w:color w:val="auto"/>
        </w:rPr>
      </w:pPr>
      <w:r>
        <w:rPr>
          <w:rFonts w:ascii="Courier New" w:cs="Courier New" w:eastAsia="Courier New" w:hAnsi="Courier New"/>
          <w:sz w:val="15"/>
          <w:szCs w:val="15"/>
          <w:color w:val="auto"/>
        </w:rPr>
        <w:t>Royal Bank of Canada</w:t>
      </w:r>
    </w:p>
    <w:p>
      <w:pPr>
        <w:ind w:left="3860"/>
        <w:spacing w:after="0"/>
        <w:rPr>
          <w:sz w:val="20"/>
          <w:szCs w:val="20"/>
          <w:color w:val="auto"/>
        </w:rPr>
      </w:pPr>
      <w:r>
        <w:rPr>
          <w:rFonts w:ascii="Courier New" w:cs="Courier New" w:eastAsia="Courier New" w:hAnsi="Courier New"/>
          <w:sz w:val="15"/>
          <w:szCs w:val="15"/>
          <w:color w:val="auto"/>
        </w:rPr>
        <w:t>New York Branch</w:t>
      </w:r>
    </w:p>
    <w:p>
      <w:pPr>
        <w:ind w:left="3860"/>
        <w:spacing w:after="0"/>
        <w:rPr>
          <w:sz w:val="20"/>
          <w:szCs w:val="20"/>
          <w:color w:val="auto"/>
        </w:rPr>
      </w:pPr>
      <w:r>
        <w:rPr>
          <w:rFonts w:ascii="Courier New" w:cs="Courier New" w:eastAsia="Courier New" w:hAnsi="Courier New"/>
          <w:sz w:val="15"/>
          <w:szCs w:val="15"/>
          <w:color w:val="auto"/>
        </w:rPr>
        <w:t>c/o Royal Bank of Canada</w:t>
      </w:r>
    </w:p>
    <w:p>
      <w:pPr>
        <w:ind w:left="3860"/>
        <w:spacing w:after="0" w:line="238" w:lineRule="auto"/>
        <w:rPr>
          <w:sz w:val="20"/>
          <w:szCs w:val="20"/>
          <w:color w:val="auto"/>
        </w:rPr>
      </w:pPr>
      <w:r>
        <w:rPr>
          <w:rFonts w:ascii="Courier New" w:cs="Courier New" w:eastAsia="Courier New" w:hAnsi="Courier New"/>
          <w:sz w:val="15"/>
          <w:szCs w:val="15"/>
          <w:color w:val="auto"/>
        </w:rPr>
        <w:t>New York Operations Center</w:t>
      </w:r>
    </w:p>
    <w:p>
      <w:pPr>
        <w:ind w:left="3860"/>
        <w:spacing w:after="0"/>
        <w:rPr>
          <w:sz w:val="20"/>
          <w:szCs w:val="20"/>
          <w:color w:val="auto"/>
        </w:rPr>
      </w:pPr>
      <w:r>
        <w:rPr>
          <w:rFonts w:ascii="Courier New" w:cs="Courier New" w:eastAsia="Courier New" w:hAnsi="Courier New"/>
          <w:sz w:val="15"/>
          <w:szCs w:val="15"/>
          <w:color w:val="auto"/>
        </w:rPr>
        <w:t>Pierrepont Plaza</w:t>
      </w:r>
    </w:p>
    <w:p>
      <w:pPr>
        <w:ind w:left="3860"/>
        <w:spacing w:after="0"/>
        <w:rPr>
          <w:sz w:val="20"/>
          <w:szCs w:val="20"/>
          <w:color w:val="auto"/>
        </w:rPr>
      </w:pPr>
      <w:r>
        <w:rPr>
          <w:rFonts w:ascii="Courier New" w:cs="Courier New" w:eastAsia="Courier New" w:hAnsi="Courier New"/>
          <w:sz w:val="15"/>
          <w:szCs w:val="15"/>
          <w:color w:val="auto"/>
        </w:rPr>
        <w:t>300 Cadman Plaza West</w:t>
      </w:r>
    </w:p>
    <w:p>
      <w:pPr>
        <w:spacing w:after="0" w:line="4"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Brooklyn, New York 11201-2701</w:t>
      </w:r>
    </w:p>
    <w:p>
      <w:pPr>
        <w:spacing w:after="0" w:line="17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Eurodollar Lending Office:</w:t>
      </w:r>
    </w:p>
    <w:p>
      <w:pPr>
        <w:spacing w:after="0" w:line="16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Same</w:t>
      </w:r>
    </w:p>
    <w:p>
      <w:pPr>
        <w:sectPr>
          <w:pgSz w:w="11900" w:h="16838" w:orient="portrait"/>
          <w:cols w:equalWidth="0" w:num="1">
            <w:col w:w="10219"/>
          </w:cols>
          <w:pgMar w:left="240" w:top="622"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Sanwa Bank, Ltd.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80" w:lineRule="exact"/>
        <w:rPr>
          <w:sz w:val="20"/>
          <w:szCs w:val="20"/>
          <w:color w:val="auto"/>
        </w:rPr>
      </w:pPr>
    </w:p>
    <w:p>
      <w:pPr>
        <w:sectPr>
          <w:pgSz w:w="11900" w:h="16838" w:orient="portrait"/>
          <w:cols w:equalWidth="0" w:num="2">
            <w:col w:w="3140" w:space="720"/>
            <w:col w:w="6359"/>
          </w:cols>
          <w:pgMar w:left="240" w:top="622" w:right="1440" w:bottom="1440" w:gutter="0" w:footer="0" w:header="0"/>
          <w:type w:val="continuous"/>
        </w:sectPr>
      </w:pPr>
    </w:p>
    <w:p>
      <w:pPr>
        <w:ind w:left="3860"/>
        <w:spacing w:after="0"/>
        <w:rPr>
          <w:sz w:val="20"/>
          <w:szCs w:val="20"/>
          <w:color w:val="auto"/>
        </w:rPr>
      </w:pPr>
      <w:r>
        <w:rPr>
          <w:rFonts w:ascii="Courier New" w:cs="Courier New" w:eastAsia="Courier New" w:hAnsi="Courier New"/>
          <w:sz w:val="14"/>
          <w:szCs w:val="14"/>
          <w:color w:val="auto"/>
        </w:rPr>
        <w:t>The Sanwa Bank, Ltd.</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Park Avenue Plaza</w:t>
      </w:r>
    </w:p>
    <w:p>
      <w:pPr>
        <w:ind w:left="3860"/>
        <w:spacing w:after="0"/>
        <w:rPr>
          <w:sz w:val="20"/>
          <w:szCs w:val="20"/>
          <w:color w:val="auto"/>
        </w:rPr>
      </w:pPr>
      <w:r>
        <w:rPr>
          <w:rFonts w:ascii="Courier New" w:cs="Courier New" w:eastAsia="Courier New" w:hAnsi="Courier New"/>
          <w:sz w:val="15"/>
          <w:szCs w:val="15"/>
          <w:color w:val="auto"/>
        </w:rPr>
        <w:t>55 East 52nd Street</w:t>
      </w:r>
    </w:p>
    <w:p>
      <w:pPr>
        <w:ind w:left="3860"/>
        <w:spacing w:after="0"/>
        <w:rPr>
          <w:sz w:val="20"/>
          <w:szCs w:val="20"/>
          <w:color w:val="auto"/>
        </w:rPr>
      </w:pPr>
      <w:r>
        <w:rPr>
          <w:rFonts w:ascii="Courier New" w:cs="Courier New" w:eastAsia="Courier New" w:hAnsi="Courier New"/>
          <w:sz w:val="15"/>
          <w:szCs w:val="15"/>
          <w:color w:val="auto"/>
        </w:rPr>
        <w:t>24th Floor</w:t>
      </w:r>
    </w:p>
    <w:p>
      <w:pPr>
        <w:ind w:left="3860"/>
        <w:spacing w:after="0" w:line="238" w:lineRule="auto"/>
        <w:rPr>
          <w:sz w:val="20"/>
          <w:szCs w:val="20"/>
          <w:color w:val="auto"/>
        </w:rPr>
      </w:pPr>
      <w:r>
        <w:rPr>
          <w:rFonts w:ascii="Courier New" w:cs="Courier New" w:eastAsia="Courier New" w:hAnsi="Courier New"/>
          <w:sz w:val="15"/>
          <w:szCs w:val="15"/>
          <w:color w:val="auto"/>
        </w:rPr>
        <w:t>New York, New York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10055</w:t>
      </w:r>
    </w:p>
    <w:p>
      <w:pPr>
        <w:spacing w:after="0" w:line="180" w:lineRule="exact"/>
        <w:rPr>
          <w:sz w:val="20"/>
          <w:szCs w:val="20"/>
          <w:color w:val="auto"/>
        </w:rPr>
      </w:pPr>
    </w:p>
    <w:p>
      <w:pPr>
        <w:sectPr>
          <w:pgSz w:w="11900" w:h="16838" w:orient="portrait"/>
          <w:cols w:equalWidth="0" w:num="2">
            <w:col w:w="5640" w:space="0"/>
            <w:col w:w="4579"/>
          </w:cols>
          <w:pgMar w:left="240" w:top="622" w:right="1440" w:bottom="1440" w:gutter="0" w:footer="0" w:header="0"/>
          <w:type w:val="continuous"/>
        </w:sectPr>
      </w:pPr>
    </w:p>
    <w:p>
      <w:pPr>
        <w:ind w:left="3860"/>
        <w:spacing w:after="0"/>
        <w:rPr>
          <w:sz w:val="20"/>
          <w:szCs w:val="20"/>
          <w:color w:val="auto"/>
        </w:rPr>
      </w:pPr>
      <w:r>
        <w:rPr>
          <w:rFonts w:ascii="Courier New" w:cs="Courier New" w:eastAsia="Courier New" w:hAnsi="Courier New"/>
          <w:sz w:val="14"/>
          <w:szCs w:val="14"/>
          <w:color w:val="auto"/>
        </w:rPr>
        <w:t>Eurodollar Lending Office:</w:t>
      </w:r>
    </w:p>
    <w:p>
      <w:pPr>
        <w:spacing w:after="0" w:line="17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Same</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I-7</w:t>
      </w:r>
    </w:p>
    <w:p>
      <w:pPr>
        <w:sectPr>
          <w:pgSz w:w="11900" w:h="16838" w:orient="portrait"/>
          <w:cols w:equalWidth="0" w:num="1">
            <w:col w:w="10219"/>
          </w:cols>
          <w:pgMar w:left="240" w:top="622" w:right="1440" w:bottom="1440" w:gutter="0" w:footer="0" w:header="0"/>
          <w:type w:val="continuous"/>
        </w:sectPr>
      </w:pPr>
    </w:p>
    <w:bookmarkStart w:id="129" w:name="page130"/>
    <w:bookmarkEnd w:id="129"/>
    <w:p>
      <w:pPr>
        <w:spacing w:after="0"/>
        <w:rPr>
          <w:sz w:val="20"/>
          <w:szCs w:val="20"/>
          <w:color w:val="auto"/>
        </w:rPr>
      </w:pPr>
      <w:r>
        <w:rPr>
          <w:rFonts w:ascii="Courier New" w:cs="Courier New" w:eastAsia="Courier New" w:hAnsi="Courier New"/>
          <w:sz w:val="15"/>
          <w:szCs w:val="15"/>
          <w:color w:val="auto"/>
        </w:rPr>
        <w:t>Bank</w:t>
      </w:r>
    </w:p>
    <w:p>
      <w:pPr>
        <w:spacing w:after="0"/>
        <w:rPr>
          <w:sz w:val="20"/>
          <w:szCs w:val="20"/>
          <w:color w:val="auto"/>
        </w:rPr>
      </w:pPr>
      <w:r>
        <w:rPr>
          <w:rFonts w:ascii="Courier New" w:cs="Courier New" w:eastAsia="Courier New" w:hAnsi="Courier New"/>
          <w:sz w:val="15"/>
          <w:szCs w:val="15"/>
          <w:color w:val="auto"/>
        </w:rPr>
        <w:t>The Sumitomo Bank, Limited, New York Branch Domestic Lending Office:</w:t>
      </w:r>
    </w:p>
    <w:p>
      <w:pPr>
        <w:spacing w:after="0" w:line="174"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The Sumitomo Bank, Limited, New York</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Branch</w:t>
      </w:r>
    </w:p>
    <w:p>
      <w:pPr>
        <w:ind w:left="3860"/>
        <w:spacing w:after="0"/>
        <w:rPr>
          <w:sz w:val="20"/>
          <w:szCs w:val="20"/>
          <w:color w:val="auto"/>
        </w:rPr>
      </w:pPr>
      <w:r>
        <w:rPr>
          <w:rFonts w:ascii="Courier New" w:cs="Courier New" w:eastAsia="Courier New" w:hAnsi="Courier New"/>
          <w:sz w:val="15"/>
          <w:szCs w:val="15"/>
          <w:color w:val="auto"/>
        </w:rPr>
        <w:t>One World Trade Center</w:t>
      </w:r>
    </w:p>
    <w:p>
      <w:pPr>
        <w:ind w:left="3860"/>
        <w:spacing w:after="0"/>
        <w:rPr>
          <w:sz w:val="20"/>
          <w:szCs w:val="20"/>
          <w:color w:val="auto"/>
        </w:rPr>
      </w:pPr>
      <w:r>
        <w:rPr>
          <w:rFonts w:ascii="Courier New" w:cs="Courier New" w:eastAsia="Courier New" w:hAnsi="Courier New"/>
          <w:sz w:val="15"/>
          <w:szCs w:val="15"/>
          <w:color w:val="auto"/>
        </w:rPr>
        <w:t>Suite 9651</w:t>
      </w:r>
    </w:p>
    <w:p>
      <w:pPr>
        <w:ind w:left="3860"/>
        <w:spacing w:after="0" w:line="238" w:lineRule="auto"/>
        <w:rPr>
          <w:sz w:val="20"/>
          <w:szCs w:val="20"/>
          <w:color w:val="auto"/>
        </w:rPr>
      </w:pPr>
      <w:r>
        <w:rPr>
          <w:rFonts w:ascii="Courier New" w:cs="Courier New" w:eastAsia="Courier New" w:hAnsi="Courier New"/>
          <w:sz w:val="15"/>
          <w:szCs w:val="15"/>
          <w:color w:val="auto"/>
        </w:rPr>
        <w:t>New York, NY 10048</w:t>
      </w:r>
    </w:p>
    <w:p>
      <w:pPr>
        <w:spacing w:after="0" w:line="16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Eurodollar Lending Office:</w:t>
      </w:r>
    </w:p>
    <w:p>
      <w:pPr>
        <w:spacing w:after="0" w:line="16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Same</w:t>
      </w:r>
    </w:p>
    <w:p>
      <w:pPr>
        <w:sectPr>
          <w:pgSz w:w="11900" w:h="16838" w:orient="portrait"/>
          <w:cols w:equalWidth="0" w:num="1">
            <w:col w:w="10219"/>
          </w:cols>
          <w:pgMar w:left="240" w:top="622"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Union Bank of Switzerland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75" w:lineRule="exact"/>
        <w:rPr>
          <w:sz w:val="20"/>
          <w:szCs w:val="20"/>
          <w:color w:val="auto"/>
        </w:rPr>
      </w:pPr>
    </w:p>
    <w:p>
      <w:pPr>
        <w:sectPr>
          <w:pgSz w:w="11900" w:h="16838" w:orient="portrait"/>
          <w:cols w:equalWidth="0" w:num="2">
            <w:col w:w="3140" w:space="720"/>
            <w:col w:w="6359"/>
          </w:cols>
          <w:pgMar w:left="240" w:top="622" w:right="1440" w:bottom="1440" w:gutter="0" w:footer="0" w:header="0"/>
          <w:type w:val="continuous"/>
        </w:sectPr>
      </w:pPr>
    </w:p>
    <w:p>
      <w:pPr>
        <w:ind w:left="3860"/>
        <w:spacing w:after="0"/>
        <w:rPr>
          <w:sz w:val="20"/>
          <w:szCs w:val="20"/>
          <w:color w:val="auto"/>
        </w:rPr>
      </w:pPr>
      <w:r>
        <w:rPr>
          <w:rFonts w:ascii="Courier New" w:cs="Courier New" w:eastAsia="Courier New" w:hAnsi="Courier New"/>
          <w:sz w:val="15"/>
          <w:szCs w:val="15"/>
          <w:color w:val="auto"/>
        </w:rPr>
        <w:t>Union Bank of Switzerland</w:t>
      </w:r>
    </w:p>
    <w:p>
      <w:pPr>
        <w:ind w:left="3860"/>
        <w:spacing w:after="0"/>
        <w:rPr>
          <w:sz w:val="20"/>
          <w:szCs w:val="20"/>
          <w:color w:val="auto"/>
        </w:rPr>
      </w:pPr>
      <w:r>
        <w:rPr>
          <w:rFonts w:ascii="Courier New" w:cs="Courier New" w:eastAsia="Courier New" w:hAnsi="Courier New"/>
          <w:sz w:val="15"/>
          <w:szCs w:val="15"/>
          <w:color w:val="auto"/>
        </w:rPr>
        <w:t>299 Park Avenue</w:t>
      </w:r>
    </w:p>
    <w:p>
      <w:pPr>
        <w:ind w:left="3860"/>
        <w:spacing w:after="0"/>
        <w:rPr>
          <w:sz w:val="20"/>
          <w:szCs w:val="20"/>
          <w:color w:val="auto"/>
        </w:rPr>
      </w:pPr>
      <w:r>
        <w:rPr>
          <w:rFonts w:ascii="Courier New" w:cs="Courier New" w:eastAsia="Courier New" w:hAnsi="Courier New"/>
          <w:sz w:val="15"/>
          <w:szCs w:val="15"/>
          <w:color w:val="auto"/>
        </w:rPr>
        <w:t>33rd Floor</w:t>
      </w:r>
    </w:p>
    <w:p>
      <w:pPr>
        <w:ind w:left="3860"/>
        <w:spacing w:after="0" w:line="238" w:lineRule="auto"/>
        <w:rPr>
          <w:sz w:val="20"/>
          <w:szCs w:val="20"/>
          <w:color w:val="auto"/>
        </w:rPr>
      </w:pPr>
      <w:r>
        <w:rPr>
          <w:rFonts w:ascii="Courier New" w:cs="Courier New" w:eastAsia="Courier New" w:hAnsi="Courier New"/>
          <w:sz w:val="15"/>
          <w:szCs w:val="15"/>
          <w:color w:val="auto"/>
        </w:rPr>
        <w:t>New York, NY 10171</w:t>
      </w:r>
    </w:p>
    <w:p>
      <w:pPr>
        <w:spacing w:after="0" w:line="17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Eurodollar Lending Office:</w:t>
      </w:r>
    </w:p>
    <w:p>
      <w:pPr>
        <w:spacing w:after="0" w:line="17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Same</w:t>
      </w:r>
    </w:p>
    <w:p>
      <w:pPr>
        <w:sectPr>
          <w:pgSz w:w="11900" w:h="16838" w:orient="portrait"/>
          <w:cols w:equalWidth="0" w:num="1">
            <w:col w:w="10219"/>
          </w:cols>
          <w:pgMar w:left="240" w:top="622"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Chemical Bank</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75" w:lineRule="exact"/>
        <w:rPr>
          <w:sz w:val="20"/>
          <w:szCs w:val="20"/>
          <w:color w:val="auto"/>
        </w:rPr>
      </w:pPr>
    </w:p>
    <w:p>
      <w:pPr>
        <w:sectPr>
          <w:pgSz w:w="11900" w:h="16838" w:orient="portrait"/>
          <w:cols w:equalWidth="0" w:num="2">
            <w:col w:w="3140" w:space="720"/>
            <w:col w:w="6359"/>
          </w:cols>
          <w:pgMar w:left="240" w:top="622" w:right="1440" w:bottom="1440" w:gutter="0" w:footer="0" w:header="0"/>
          <w:type w:val="continuous"/>
        </w:sectPr>
      </w:pPr>
    </w:p>
    <w:p>
      <w:pPr>
        <w:ind w:left="3860"/>
        <w:spacing w:after="0"/>
        <w:rPr>
          <w:sz w:val="20"/>
          <w:szCs w:val="20"/>
          <w:color w:val="auto"/>
        </w:rPr>
      </w:pPr>
      <w:r>
        <w:rPr>
          <w:rFonts w:ascii="Courier New" w:cs="Courier New" w:eastAsia="Courier New" w:hAnsi="Courier New"/>
          <w:sz w:val="15"/>
          <w:szCs w:val="15"/>
          <w:color w:val="auto"/>
        </w:rPr>
        <w:t>Chemical Bank</w:t>
      </w:r>
    </w:p>
    <w:p>
      <w:pPr>
        <w:ind w:left="3860"/>
        <w:spacing w:after="0"/>
        <w:rPr>
          <w:sz w:val="20"/>
          <w:szCs w:val="20"/>
          <w:color w:val="auto"/>
        </w:rPr>
      </w:pPr>
      <w:r>
        <w:rPr>
          <w:rFonts w:ascii="Courier New" w:cs="Courier New" w:eastAsia="Courier New" w:hAnsi="Courier New"/>
          <w:sz w:val="15"/>
          <w:szCs w:val="15"/>
          <w:color w:val="auto"/>
        </w:rPr>
        <w:t>270 Park Avenue</w:t>
      </w:r>
    </w:p>
    <w:p>
      <w:pPr>
        <w:ind w:left="3860"/>
        <w:spacing w:after="0"/>
        <w:rPr>
          <w:sz w:val="20"/>
          <w:szCs w:val="20"/>
          <w:color w:val="auto"/>
        </w:rPr>
      </w:pPr>
      <w:r>
        <w:rPr>
          <w:rFonts w:ascii="Courier New" w:cs="Courier New" w:eastAsia="Courier New" w:hAnsi="Courier New"/>
          <w:sz w:val="15"/>
          <w:szCs w:val="15"/>
          <w:color w:val="auto"/>
        </w:rPr>
        <w:t>10th Floor</w:t>
      </w:r>
    </w:p>
    <w:p>
      <w:pPr>
        <w:ind w:left="3860"/>
        <w:spacing w:after="0" w:line="238" w:lineRule="auto"/>
        <w:rPr>
          <w:sz w:val="20"/>
          <w:szCs w:val="20"/>
          <w:color w:val="auto"/>
        </w:rPr>
      </w:pPr>
      <w:r>
        <w:rPr>
          <w:rFonts w:ascii="Courier New" w:cs="Courier New" w:eastAsia="Courier New" w:hAnsi="Courier New"/>
          <w:sz w:val="15"/>
          <w:szCs w:val="15"/>
          <w:color w:val="auto"/>
        </w:rPr>
        <w:t>New York, New York 10172</w:t>
      </w:r>
    </w:p>
    <w:p>
      <w:pPr>
        <w:spacing w:after="0" w:line="175"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4"/>
          <w:szCs w:val="14"/>
          <w:color w:val="auto"/>
        </w:rPr>
        <w:t>Eurodollar Lending Office:</w:t>
      </w:r>
    </w:p>
    <w:p>
      <w:pPr>
        <w:sectPr>
          <w:pgSz w:w="11900" w:h="16838" w:orient="portrait"/>
          <w:cols w:equalWidth="0" w:num="1">
            <w:col w:w="10219"/>
          </w:cols>
          <w:pgMar w:left="240" w:top="622" w:right="1440" w:bottom="1440" w:gutter="0" w:footer="0" w:header="0"/>
          <w:type w:val="continuous"/>
        </w:sect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Deutsche Bank AG</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75" w:lineRule="exact"/>
        <w:rPr>
          <w:sz w:val="20"/>
          <w:szCs w:val="20"/>
          <w:color w:val="auto"/>
        </w:rPr>
      </w:pPr>
    </w:p>
    <w:p>
      <w:pPr>
        <w:sectPr>
          <w:pgSz w:w="11900" w:h="16838" w:orient="portrait"/>
          <w:cols w:equalWidth="0" w:num="2">
            <w:col w:w="3140" w:space="720"/>
            <w:col w:w="6359"/>
          </w:cols>
          <w:pgMar w:left="240" w:top="622" w:right="1440" w:bottom="1440" w:gutter="0" w:footer="0" w:header="0"/>
          <w:type w:val="continuous"/>
        </w:sectPr>
      </w:pPr>
    </w:p>
    <w:p>
      <w:pPr>
        <w:ind w:left="3860"/>
        <w:spacing w:after="0"/>
        <w:rPr>
          <w:sz w:val="20"/>
          <w:szCs w:val="20"/>
          <w:color w:val="auto"/>
        </w:rPr>
      </w:pPr>
      <w:r>
        <w:rPr>
          <w:rFonts w:ascii="Courier New" w:cs="Courier New" w:eastAsia="Courier New" w:hAnsi="Courier New"/>
          <w:sz w:val="15"/>
          <w:szCs w:val="15"/>
          <w:color w:val="auto"/>
        </w:rPr>
        <w:t>Deutsche Bank</w:t>
      </w:r>
    </w:p>
    <w:p>
      <w:pPr>
        <w:ind w:left="3860"/>
        <w:spacing w:after="0"/>
        <w:rPr>
          <w:sz w:val="20"/>
          <w:szCs w:val="20"/>
          <w:color w:val="auto"/>
        </w:rPr>
      </w:pPr>
      <w:r>
        <w:rPr>
          <w:rFonts w:ascii="Courier New" w:cs="Courier New" w:eastAsia="Courier New" w:hAnsi="Courier New"/>
          <w:sz w:val="15"/>
          <w:szCs w:val="15"/>
          <w:color w:val="auto"/>
        </w:rPr>
        <w:t>31 West 52nd Street</w:t>
      </w:r>
    </w:p>
    <w:p>
      <w:pPr>
        <w:ind w:left="3860"/>
        <w:spacing w:after="0"/>
        <w:rPr>
          <w:sz w:val="20"/>
          <w:szCs w:val="20"/>
          <w:color w:val="auto"/>
        </w:rPr>
      </w:pPr>
      <w:r>
        <w:rPr>
          <w:rFonts w:ascii="Courier New" w:cs="Courier New" w:eastAsia="Courier New" w:hAnsi="Courier New"/>
          <w:sz w:val="15"/>
          <w:szCs w:val="15"/>
          <w:color w:val="auto"/>
        </w:rPr>
        <w:t>24th Floor</w:t>
      </w:r>
    </w:p>
    <w:p>
      <w:pPr>
        <w:ind w:left="3860"/>
        <w:spacing w:after="0" w:line="238" w:lineRule="auto"/>
        <w:rPr>
          <w:sz w:val="20"/>
          <w:szCs w:val="20"/>
          <w:color w:val="auto"/>
        </w:rPr>
      </w:pPr>
      <w:r>
        <w:rPr>
          <w:rFonts w:ascii="Courier New" w:cs="Courier New" w:eastAsia="Courier New" w:hAnsi="Courier New"/>
          <w:sz w:val="15"/>
          <w:szCs w:val="15"/>
          <w:color w:val="auto"/>
        </w:rPr>
        <w:t>New York, New York 10019</w:t>
      </w:r>
    </w:p>
    <w:p>
      <w:pPr>
        <w:spacing w:after="0" w:line="17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Eurodollar Lending Office:</w:t>
      </w:r>
    </w:p>
    <w:p>
      <w:pPr>
        <w:spacing w:after="0" w:line="17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Same</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I-8</w:t>
      </w:r>
    </w:p>
    <w:p>
      <w:pPr>
        <w:sectPr>
          <w:pgSz w:w="11900" w:h="16838" w:orient="portrait"/>
          <w:cols w:equalWidth="0" w:num="1">
            <w:col w:w="10219"/>
          </w:cols>
          <w:pgMar w:left="240" w:top="622" w:right="1440" w:bottom="1440" w:gutter="0" w:footer="0" w:header="0"/>
          <w:type w:val="continuous"/>
        </w:sectPr>
      </w:pPr>
    </w:p>
    <w:bookmarkStart w:id="130" w:name="page131"/>
    <w:bookmarkEnd w:id="130"/>
    <w:p>
      <w:pPr>
        <w:spacing w:after="0"/>
        <w:rPr>
          <w:sz w:val="20"/>
          <w:szCs w:val="20"/>
          <w:color w:val="auto"/>
        </w:rPr>
      </w:pPr>
      <w:r>
        <w:rPr>
          <w:rFonts w:ascii="Courier New" w:cs="Courier New" w:eastAsia="Courier New" w:hAnsi="Courier New"/>
          <w:sz w:val="15"/>
          <w:szCs w:val="15"/>
          <w:color w:val="auto"/>
        </w:rPr>
        <w:t>Bank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Sakura Bank, Limited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75" w:lineRule="exact"/>
        <w:rPr>
          <w:sz w:val="20"/>
          <w:szCs w:val="20"/>
          <w:color w:val="auto"/>
        </w:rPr>
      </w:pPr>
    </w:p>
    <w:p>
      <w:pPr>
        <w:sectPr>
          <w:pgSz w:w="11900" w:h="16838" w:orient="portrait"/>
          <w:cols w:equalWidth="0" w:num="2">
            <w:col w:w="3140" w:space="720"/>
            <w:col w:w="6359"/>
          </w:cols>
          <w:pgMar w:left="240" w:top="622" w:right="1440" w:bottom="1440" w:gutter="0" w:footer="0" w:header="0"/>
        </w:sectPr>
      </w:pPr>
    </w:p>
    <w:p>
      <w:pPr>
        <w:ind w:left="3860"/>
        <w:spacing w:after="0"/>
        <w:rPr>
          <w:sz w:val="20"/>
          <w:szCs w:val="20"/>
          <w:color w:val="auto"/>
        </w:rPr>
      </w:pPr>
      <w:r>
        <w:rPr>
          <w:rFonts w:ascii="Courier New" w:cs="Courier New" w:eastAsia="Courier New" w:hAnsi="Courier New"/>
          <w:sz w:val="15"/>
          <w:szCs w:val="15"/>
          <w:color w:val="auto"/>
        </w:rPr>
        <w:t>The Sakura Bank, Limited,</w:t>
      </w:r>
    </w:p>
    <w:p>
      <w:pPr>
        <w:ind w:left="3860"/>
        <w:spacing w:after="0"/>
        <w:rPr>
          <w:sz w:val="20"/>
          <w:szCs w:val="20"/>
          <w:color w:val="auto"/>
        </w:rPr>
      </w:pPr>
      <w:r>
        <w:rPr>
          <w:rFonts w:ascii="Courier New" w:cs="Courier New" w:eastAsia="Courier New" w:hAnsi="Courier New"/>
          <w:sz w:val="15"/>
          <w:szCs w:val="15"/>
          <w:color w:val="auto"/>
        </w:rPr>
        <w:t>New York Branch</w:t>
      </w:r>
    </w:p>
    <w:p>
      <w:pPr>
        <w:ind w:left="3860"/>
        <w:spacing w:after="0"/>
        <w:rPr>
          <w:sz w:val="20"/>
          <w:szCs w:val="20"/>
          <w:color w:val="auto"/>
        </w:rPr>
      </w:pPr>
      <w:r>
        <w:rPr>
          <w:rFonts w:ascii="Courier New" w:cs="Courier New" w:eastAsia="Courier New" w:hAnsi="Courier New"/>
          <w:sz w:val="15"/>
          <w:szCs w:val="15"/>
          <w:color w:val="auto"/>
        </w:rPr>
        <w:t>277 Park Avenue</w:t>
      </w:r>
    </w:p>
    <w:p>
      <w:pPr>
        <w:ind w:left="3860"/>
        <w:spacing w:after="0" w:line="238" w:lineRule="auto"/>
        <w:rPr>
          <w:sz w:val="20"/>
          <w:szCs w:val="20"/>
          <w:color w:val="auto"/>
        </w:rPr>
      </w:pPr>
      <w:r>
        <w:rPr>
          <w:rFonts w:ascii="Courier New" w:cs="Courier New" w:eastAsia="Courier New" w:hAnsi="Courier New"/>
          <w:sz w:val="15"/>
          <w:szCs w:val="15"/>
          <w:color w:val="auto"/>
        </w:rPr>
        <w:t>45th Floor</w:t>
      </w:r>
    </w:p>
    <w:p>
      <w:pPr>
        <w:ind w:left="3860"/>
        <w:spacing w:after="0"/>
        <w:rPr>
          <w:sz w:val="20"/>
          <w:szCs w:val="20"/>
          <w:color w:val="auto"/>
        </w:rPr>
      </w:pPr>
      <w:r>
        <w:rPr>
          <w:rFonts w:ascii="Courier New" w:cs="Courier New" w:eastAsia="Courier New" w:hAnsi="Courier New"/>
          <w:sz w:val="15"/>
          <w:szCs w:val="15"/>
          <w:color w:val="auto"/>
        </w:rPr>
        <w:t>New York, New York 10172</w:t>
      </w:r>
    </w:p>
    <w:p>
      <w:pPr>
        <w:spacing w:after="0" w:line="174"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4"/>
          <w:szCs w:val="14"/>
          <w:color w:val="auto"/>
        </w:rPr>
        <w:t>Eurodollar Lending Office:</w:t>
      </w:r>
    </w:p>
    <w:p>
      <w:pPr>
        <w:sectPr>
          <w:pgSz w:w="11900" w:h="16838" w:orient="portrait"/>
          <w:cols w:equalWidth="0" w:num="1">
            <w:col w:w="10219"/>
          </w:cols>
          <w:pgMar w:left="240" w:top="622" w:right="1440" w:bottom="1440" w:gutter="0" w:footer="0" w:header="0"/>
          <w:type w:val="continuous"/>
        </w:sect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Compagnie Financiere de CIC</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1" w:lineRule="exact"/>
        <w:rPr>
          <w:sz w:val="20"/>
          <w:szCs w:val="20"/>
          <w:color w:val="auto"/>
        </w:rPr>
      </w:pPr>
    </w:p>
    <w:p>
      <w:pPr>
        <w:sectPr>
          <w:pgSz w:w="11900" w:h="16838" w:orient="portrait"/>
          <w:cols w:equalWidth="0" w:num="2">
            <w:col w:w="3140" w:space="720"/>
            <w:col w:w="6359"/>
          </w:cols>
          <w:pgMar w:left="240" w:top="62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et de l'Union Europeenne,</w:t>
      </w:r>
    </w:p>
    <w:p>
      <w:pPr>
        <w:sectPr>
          <w:pgSz w:w="11900" w:h="16838" w:orient="portrait"/>
          <w:cols w:equalWidth="0" w:num="1">
            <w:col w:w="10219"/>
          </w:cols>
          <w:pgMar w:left="240" w:top="622"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Branch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Compagnie Financiere de CIC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et de l'Union Europeenne,</w:t>
      </w:r>
    </w:p>
    <w:p>
      <w:pPr>
        <w:spacing w:after="0"/>
        <w:rPr>
          <w:sz w:val="20"/>
          <w:szCs w:val="20"/>
          <w:color w:val="auto"/>
        </w:rPr>
      </w:pPr>
      <w:r>
        <w:rPr>
          <w:rFonts w:ascii="Courier New" w:cs="Courier New" w:eastAsia="Courier New" w:hAnsi="Courier New"/>
          <w:sz w:val="15"/>
          <w:szCs w:val="15"/>
          <w:color w:val="auto"/>
        </w:rPr>
        <w:t>New York Branch</w:t>
      </w:r>
    </w:p>
    <w:p>
      <w:pPr>
        <w:spacing w:after="0"/>
        <w:rPr>
          <w:sz w:val="20"/>
          <w:szCs w:val="20"/>
          <w:color w:val="auto"/>
        </w:rPr>
      </w:pPr>
      <w:r>
        <w:rPr>
          <w:rFonts w:ascii="Courier New" w:cs="Courier New" w:eastAsia="Courier New" w:hAnsi="Courier New"/>
          <w:sz w:val="15"/>
          <w:szCs w:val="15"/>
          <w:color w:val="auto"/>
        </w:rPr>
        <w:t>520 Madison Avenue</w:t>
      </w:r>
    </w:p>
    <w:p>
      <w:pPr>
        <w:spacing w:after="0" w:line="238" w:lineRule="auto"/>
        <w:rPr>
          <w:sz w:val="20"/>
          <w:szCs w:val="20"/>
          <w:color w:val="auto"/>
        </w:rPr>
      </w:pPr>
      <w:r>
        <w:rPr>
          <w:rFonts w:ascii="Courier New" w:cs="Courier New" w:eastAsia="Courier New" w:hAnsi="Courier New"/>
          <w:sz w:val="15"/>
          <w:szCs w:val="15"/>
          <w:color w:val="auto"/>
        </w:rPr>
        <w:t>37th Floor</w:t>
      </w:r>
    </w:p>
    <w:p>
      <w:pPr>
        <w:spacing w:after="0"/>
        <w:rPr>
          <w:sz w:val="20"/>
          <w:szCs w:val="20"/>
          <w:color w:val="auto"/>
        </w:rPr>
      </w:pPr>
      <w:r>
        <w:rPr>
          <w:rFonts w:ascii="Courier New" w:cs="Courier New" w:eastAsia="Courier New" w:hAnsi="Courier New"/>
          <w:sz w:val="15"/>
          <w:szCs w:val="15"/>
          <w:color w:val="auto"/>
        </w:rPr>
        <w:t>New York, New York 10022</w:t>
      </w:r>
    </w:p>
    <w:p>
      <w:pPr>
        <w:spacing w:after="0" w:line="174" w:lineRule="exact"/>
        <w:rPr>
          <w:sz w:val="20"/>
          <w:szCs w:val="20"/>
          <w:color w:val="auto"/>
        </w:rPr>
      </w:pPr>
    </w:p>
    <w:p>
      <w:pPr>
        <w:sectPr>
          <w:pgSz w:w="11900" w:h="16838" w:orient="portrait"/>
          <w:cols w:equalWidth="0" w:num="2">
            <w:col w:w="3140" w:space="720"/>
            <w:col w:w="6359"/>
          </w:cols>
          <w:pgMar w:left="240" w:top="622" w:right="1440" w:bottom="1440" w:gutter="0" w:footer="0" w:header="0"/>
          <w:type w:val="continuous"/>
        </w:sectPr>
      </w:pPr>
    </w:p>
    <w:p>
      <w:pPr>
        <w:jc w:val="center"/>
        <w:ind w:right="199"/>
        <w:spacing w:after="0"/>
        <w:rPr>
          <w:sz w:val="20"/>
          <w:szCs w:val="20"/>
          <w:color w:val="auto"/>
        </w:rPr>
      </w:pPr>
      <w:r>
        <w:rPr>
          <w:rFonts w:ascii="Courier New" w:cs="Courier New" w:eastAsia="Courier New" w:hAnsi="Courier New"/>
          <w:sz w:val="14"/>
          <w:szCs w:val="14"/>
          <w:color w:val="auto"/>
        </w:rPr>
        <w:t>Eurodollar Lending Office:</w:t>
      </w:r>
    </w:p>
    <w:p>
      <w:pPr>
        <w:sectPr>
          <w:pgSz w:w="11900" w:h="16838" w:orient="portrait"/>
          <w:cols w:equalWidth="0" w:num="1">
            <w:col w:w="10219"/>
          </w:cols>
          <w:pgMar w:left="240" w:top="622" w:right="1440" w:bottom="1440" w:gutter="0" w:footer="0" w:header="0"/>
          <w:type w:val="continuous"/>
        </w:sect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PNC Bank N.A.</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75" w:lineRule="exact"/>
        <w:rPr>
          <w:sz w:val="20"/>
          <w:szCs w:val="20"/>
          <w:color w:val="auto"/>
        </w:rPr>
      </w:pPr>
    </w:p>
    <w:p>
      <w:pPr>
        <w:sectPr>
          <w:pgSz w:w="11900" w:h="16838" w:orient="portrait"/>
          <w:cols w:equalWidth="0" w:num="2">
            <w:col w:w="3140" w:space="720"/>
            <w:col w:w="6359"/>
          </w:cols>
          <w:pgMar w:left="240" w:top="622" w:right="1440" w:bottom="1440" w:gutter="0" w:footer="0" w:header="0"/>
          <w:type w:val="continuous"/>
        </w:sectPr>
      </w:pPr>
    </w:p>
    <w:p>
      <w:pPr>
        <w:ind w:left="3860"/>
        <w:spacing w:after="0"/>
        <w:rPr>
          <w:sz w:val="20"/>
          <w:szCs w:val="20"/>
          <w:color w:val="auto"/>
        </w:rPr>
      </w:pPr>
      <w:r>
        <w:rPr>
          <w:rFonts w:ascii="Courier New" w:cs="Courier New" w:eastAsia="Courier New" w:hAnsi="Courier New"/>
          <w:sz w:val="15"/>
          <w:szCs w:val="15"/>
          <w:color w:val="auto"/>
        </w:rPr>
        <w:t>PNC Bank N.A.</w:t>
      </w:r>
    </w:p>
    <w:p>
      <w:pPr>
        <w:ind w:left="3860"/>
        <w:spacing w:after="0"/>
        <w:rPr>
          <w:sz w:val="20"/>
          <w:szCs w:val="20"/>
          <w:color w:val="auto"/>
        </w:rPr>
      </w:pPr>
      <w:r>
        <w:rPr>
          <w:rFonts w:ascii="Courier New" w:cs="Courier New" w:eastAsia="Courier New" w:hAnsi="Courier New"/>
          <w:sz w:val="15"/>
          <w:szCs w:val="15"/>
          <w:color w:val="auto"/>
        </w:rPr>
        <w:t>Broad &amp; Chestnut Streets</w:t>
      </w:r>
    </w:p>
    <w:p>
      <w:pPr>
        <w:ind w:left="3860"/>
        <w:spacing w:after="0"/>
        <w:rPr>
          <w:sz w:val="20"/>
          <w:szCs w:val="20"/>
          <w:color w:val="auto"/>
        </w:rPr>
      </w:pPr>
      <w:r>
        <w:rPr>
          <w:rFonts w:ascii="Courier New" w:cs="Courier New" w:eastAsia="Courier New" w:hAnsi="Courier New"/>
          <w:sz w:val="15"/>
          <w:szCs w:val="15"/>
          <w:color w:val="auto"/>
        </w:rPr>
        <w:t>P. O. Box 7648</w:t>
      </w:r>
    </w:p>
    <w:p>
      <w:pPr>
        <w:spacing w:after="0" w:line="4"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Philadelphia, Pennsylvania 19101</w:t>
      </w:r>
    </w:p>
    <w:p>
      <w:pPr>
        <w:spacing w:after="0" w:line="180"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4"/>
          <w:szCs w:val="14"/>
          <w:color w:val="auto"/>
        </w:rPr>
        <w:t>Eurodollar Lending Office:</w:t>
      </w:r>
    </w:p>
    <w:p>
      <w:pPr>
        <w:sectPr>
          <w:pgSz w:w="11900" w:h="16838" w:orient="portrait"/>
          <w:cols w:equalWidth="0" w:num="1">
            <w:col w:w="10219"/>
          </w:cols>
          <w:pgMar w:left="240" w:top="622" w:right="1440" w:bottom="1440" w:gutter="0" w:footer="0" w:header="0"/>
          <w:type w:val="continuous"/>
        </w:sect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Interstate Bank of Washington, N.A.</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80" w:lineRule="exact"/>
        <w:rPr>
          <w:sz w:val="20"/>
          <w:szCs w:val="20"/>
          <w:color w:val="auto"/>
        </w:rPr>
      </w:pPr>
    </w:p>
    <w:p>
      <w:pPr>
        <w:sectPr>
          <w:pgSz w:w="11900" w:h="16838" w:orient="portrait"/>
          <w:cols w:equalWidth="0" w:num="2">
            <w:col w:w="3600" w:space="260"/>
            <w:col w:w="6359"/>
          </w:cols>
          <w:pgMar w:left="240" w:top="622" w:right="1440" w:bottom="1440" w:gutter="0" w:footer="0" w:header="0"/>
          <w:type w:val="continuous"/>
        </w:sectPr>
      </w:pPr>
    </w:p>
    <w:p>
      <w:pPr>
        <w:ind w:left="3860"/>
        <w:spacing w:after="0"/>
        <w:rPr>
          <w:sz w:val="20"/>
          <w:szCs w:val="20"/>
          <w:color w:val="auto"/>
        </w:rPr>
      </w:pPr>
      <w:r>
        <w:rPr>
          <w:rFonts w:ascii="Courier New" w:cs="Courier New" w:eastAsia="Courier New" w:hAnsi="Courier New"/>
          <w:sz w:val="14"/>
          <w:szCs w:val="14"/>
          <w:color w:val="auto"/>
        </w:rPr>
        <w:t>First Interstate Bank of Washington,</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N.A.</w:t>
      </w:r>
    </w:p>
    <w:p>
      <w:pPr>
        <w:ind w:left="3860"/>
        <w:spacing w:after="0"/>
        <w:rPr>
          <w:sz w:val="20"/>
          <w:szCs w:val="20"/>
          <w:color w:val="auto"/>
        </w:rPr>
      </w:pPr>
      <w:r>
        <w:rPr>
          <w:rFonts w:ascii="Courier New" w:cs="Courier New" w:eastAsia="Courier New" w:hAnsi="Courier New"/>
          <w:sz w:val="15"/>
          <w:szCs w:val="15"/>
          <w:color w:val="auto"/>
        </w:rPr>
        <w:t>999 Third Avenue</w:t>
      </w:r>
    </w:p>
    <w:p>
      <w:pPr>
        <w:ind w:left="3860"/>
        <w:spacing w:after="0"/>
        <w:rPr>
          <w:sz w:val="20"/>
          <w:szCs w:val="20"/>
          <w:color w:val="auto"/>
        </w:rPr>
      </w:pPr>
      <w:r>
        <w:rPr>
          <w:rFonts w:ascii="Courier New" w:cs="Courier New" w:eastAsia="Courier New" w:hAnsi="Courier New"/>
          <w:sz w:val="15"/>
          <w:szCs w:val="15"/>
          <w:color w:val="auto"/>
        </w:rPr>
        <w:t>Mail Stop 984</w:t>
      </w:r>
    </w:p>
    <w:p>
      <w:pPr>
        <w:ind w:left="3860"/>
        <w:spacing w:after="0" w:line="238" w:lineRule="auto"/>
        <w:rPr>
          <w:sz w:val="20"/>
          <w:szCs w:val="20"/>
          <w:color w:val="auto"/>
        </w:rPr>
      </w:pPr>
      <w:r>
        <w:rPr>
          <w:rFonts w:ascii="Courier New" w:cs="Courier New" w:eastAsia="Courier New" w:hAnsi="Courier New"/>
          <w:sz w:val="15"/>
          <w:szCs w:val="15"/>
          <w:color w:val="auto"/>
        </w:rPr>
        <w:t>Seattle, Washington 98104</w:t>
      </w:r>
    </w:p>
    <w:p>
      <w:pPr>
        <w:spacing w:after="0" w:line="16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Eurodollar Lending Office:</w:t>
      </w:r>
    </w:p>
    <w:p>
      <w:pPr>
        <w:spacing w:after="0" w:line="16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Same</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I-9</w:t>
      </w:r>
    </w:p>
    <w:p>
      <w:pPr>
        <w:sectPr>
          <w:pgSz w:w="11900" w:h="16838" w:orient="portrait"/>
          <w:cols w:equalWidth="0" w:num="1">
            <w:col w:w="10219"/>
          </w:cols>
          <w:pgMar w:left="240" w:top="622" w:right="1440" w:bottom="1440" w:gutter="0" w:footer="0" w:header="0"/>
          <w:type w:val="continuous"/>
        </w:sectPr>
      </w:pPr>
    </w:p>
    <w:bookmarkStart w:id="131" w:name="page132"/>
    <w:bookmarkEnd w:id="131"/>
    <w:p>
      <w:pPr>
        <w:spacing w:after="0"/>
        <w:rPr>
          <w:sz w:val="20"/>
          <w:szCs w:val="20"/>
          <w:color w:val="auto"/>
        </w:rPr>
      </w:pPr>
      <w:r>
        <w:rPr>
          <w:rFonts w:ascii="Courier New" w:cs="Courier New" w:eastAsia="Courier New" w:hAnsi="Courier New"/>
          <w:sz w:val="15"/>
          <w:szCs w:val="15"/>
          <w:color w:val="auto"/>
        </w:rPr>
        <w:t>Bank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Gulf International</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75" w:lineRule="exact"/>
        <w:rPr>
          <w:sz w:val="20"/>
          <w:szCs w:val="20"/>
          <w:color w:val="auto"/>
        </w:rPr>
      </w:pPr>
    </w:p>
    <w:p>
      <w:pPr>
        <w:sectPr>
          <w:pgSz w:w="11900" w:h="16838" w:orient="portrait"/>
          <w:cols w:equalWidth="0" w:num="2">
            <w:col w:w="3240" w:space="720"/>
            <w:col w:w="6259"/>
          </w:cols>
          <w:pgMar w:left="240" w:top="622" w:right="1440" w:bottom="1440" w:gutter="0" w:footer="0" w:header="0"/>
        </w:sectPr>
      </w:pPr>
    </w:p>
    <w:p>
      <w:pPr>
        <w:ind w:left="3960"/>
        <w:spacing w:after="0"/>
        <w:rPr>
          <w:sz w:val="20"/>
          <w:szCs w:val="20"/>
          <w:color w:val="auto"/>
        </w:rPr>
      </w:pPr>
      <w:r>
        <w:rPr>
          <w:rFonts w:ascii="Courier New" w:cs="Courier New" w:eastAsia="Courier New" w:hAnsi="Courier New"/>
          <w:sz w:val="15"/>
          <w:szCs w:val="15"/>
          <w:color w:val="auto"/>
        </w:rPr>
        <w:t>Gulf International Bank</w:t>
      </w:r>
    </w:p>
    <w:p>
      <w:pPr>
        <w:ind w:left="3960"/>
        <w:spacing w:after="0"/>
        <w:rPr>
          <w:sz w:val="20"/>
          <w:szCs w:val="20"/>
          <w:color w:val="auto"/>
        </w:rPr>
      </w:pPr>
      <w:r>
        <w:rPr>
          <w:rFonts w:ascii="Courier New" w:cs="Courier New" w:eastAsia="Courier New" w:hAnsi="Courier New"/>
          <w:sz w:val="15"/>
          <w:szCs w:val="15"/>
          <w:color w:val="auto"/>
        </w:rPr>
        <w:t>380 Madison Avenue</w:t>
      </w:r>
    </w:p>
    <w:p>
      <w:pPr>
        <w:ind w:left="3960"/>
        <w:spacing w:after="0"/>
        <w:rPr>
          <w:sz w:val="20"/>
          <w:szCs w:val="20"/>
          <w:color w:val="auto"/>
        </w:rPr>
      </w:pPr>
      <w:r>
        <w:rPr>
          <w:rFonts w:ascii="Courier New" w:cs="Courier New" w:eastAsia="Courier New" w:hAnsi="Courier New"/>
          <w:sz w:val="15"/>
          <w:szCs w:val="15"/>
          <w:color w:val="auto"/>
        </w:rPr>
        <w:t>New York, New York 10017</w:t>
      </w:r>
    </w:p>
    <w:p>
      <w:pPr>
        <w:spacing w:after="0" w:line="174"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4"/>
          <w:szCs w:val="14"/>
          <w:color w:val="auto"/>
        </w:rPr>
        <w:t>Eurodollar Lending Office:</w:t>
      </w:r>
    </w:p>
    <w:p>
      <w:pPr>
        <w:sectPr>
          <w:pgSz w:w="11900" w:h="16838" w:orient="portrait"/>
          <w:cols w:equalWidth="0" w:num="1">
            <w:col w:w="10219"/>
          </w:cols>
          <w:pgMar w:left="240" w:top="622" w:right="1440" w:bottom="1440" w:gutter="0" w:footer="0" w:header="0"/>
          <w:type w:val="continuous"/>
        </w:sectPr>
      </w:pPr>
    </w:p>
    <w:p>
      <w:pPr>
        <w:spacing w:after="0" w:line="350" w:lineRule="exact"/>
        <w:rPr>
          <w:sz w:val="20"/>
          <w:szCs w:val="20"/>
          <w:color w:val="auto"/>
        </w:rPr>
      </w:pPr>
    </w:p>
    <w:p>
      <w:pPr>
        <w:ind w:right="1140"/>
        <w:spacing w:after="0" w:line="256" w:lineRule="auto"/>
        <w:rPr>
          <w:sz w:val="20"/>
          <w:szCs w:val="20"/>
          <w:color w:val="auto"/>
        </w:rPr>
      </w:pPr>
      <w:r>
        <w:rPr>
          <w:rFonts w:ascii="Courier New" w:cs="Courier New" w:eastAsia="Courier New" w:hAnsi="Courier New"/>
          <w:sz w:val="14"/>
          <w:szCs w:val="14"/>
          <w:color w:val="auto"/>
        </w:rPr>
        <w:t>The Tokai Bank, Limited, New York Branch</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80" w:lineRule="exact"/>
        <w:rPr>
          <w:sz w:val="20"/>
          <w:szCs w:val="20"/>
          <w:color w:val="auto"/>
        </w:rPr>
      </w:pPr>
    </w:p>
    <w:p>
      <w:pPr>
        <w:sectPr>
          <w:pgSz w:w="11900" w:h="16838" w:orient="portrait"/>
          <w:cols w:equalWidth="0" w:num="2">
            <w:col w:w="3240" w:space="720"/>
            <w:col w:w="6259"/>
          </w:cols>
          <w:pgMar w:left="240" w:top="622" w:right="1440" w:bottom="1440" w:gutter="0" w:footer="0" w:header="0"/>
          <w:type w:val="continuous"/>
        </w:sectPr>
      </w:pPr>
    </w:p>
    <w:p>
      <w:pPr>
        <w:ind w:left="3960"/>
        <w:spacing w:after="0" w:line="233" w:lineRule="auto"/>
        <w:rPr>
          <w:sz w:val="20"/>
          <w:szCs w:val="20"/>
          <w:color w:val="auto"/>
        </w:rPr>
      </w:pPr>
      <w:r>
        <w:rPr>
          <w:rFonts w:ascii="Courier New" w:cs="Courier New" w:eastAsia="Courier New" w:hAnsi="Courier New"/>
          <w:sz w:val="15"/>
          <w:szCs w:val="15"/>
          <w:color w:val="auto"/>
        </w:rPr>
        <w:t>The Tokai Bank, Limited,</w:t>
      </w:r>
    </w:p>
    <w:p>
      <w:pPr>
        <w:ind w:left="3960"/>
        <w:spacing w:after="0"/>
        <w:rPr>
          <w:sz w:val="20"/>
          <w:szCs w:val="20"/>
          <w:color w:val="auto"/>
        </w:rPr>
      </w:pPr>
      <w:r>
        <w:rPr>
          <w:rFonts w:ascii="Courier New" w:cs="Courier New" w:eastAsia="Courier New" w:hAnsi="Courier New"/>
          <w:sz w:val="15"/>
          <w:szCs w:val="15"/>
          <w:color w:val="auto"/>
        </w:rPr>
        <w:t>New York Branch</w:t>
      </w:r>
    </w:p>
    <w:p>
      <w:pPr>
        <w:ind w:left="3960"/>
        <w:spacing w:after="0"/>
        <w:rPr>
          <w:sz w:val="20"/>
          <w:szCs w:val="20"/>
          <w:color w:val="auto"/>
        </w:rPr>
      </w:pPr>
      <w:r>
        <w:rPr>
          <w:rFonts w:ascii="Courier New" w:cs="Courier New" w:eastAsia="Courier New" w:hAnsi="Courier New"/>
          <w:sz w:val="15"/>
          <w:szCs w:val="15"/>
          <w:color w:val="auto"/>
        </w:rPr>
        <w:t>55 East 52nd Street</w:t>
      </w:r>
    </w:p>
    <w:p>
      <w:pPr>
        <w:ind w:left="3960"/>
        <w:spacing w:after="0" w:line="238" w:lineRule="auto"/>
        <w:rPr>
          <w:sz w:val="20"/>
          <w:szCs w:val="20"/>
          <w:color w:val="auto"/>
        </w:rPr>
      </w:pPr>
      <w:r>
        <w:rPr>
          <w:rFonts w:ascii="Courier New" w:cs="Courier New" w:eastAsia="Courier New" w:hAnsi="Courier New"/>
          <w:sz w:val="15"/>
          <w:szCs w:val="15"/>
          <w:color w:val="auto"/>
        </w:rPr>
        <w:t>(Park Avenue Plaza)</w:t>
      </w:r>
    </w:p>
    <w:p>
      <w:pPr>
        <w:ind w:left="3960"/>
        <w:spacing w:after="0"/>
        <w:rPr>
          <w:sz w:val="20"/>
          <w:szCs w:val="20"/>
          <w:color w:val="auto"/>
        </w:rPr>
      </w:pPr>
      <w:r>
        <w:rPr>
          <w:rFonts w:ascii="Courier New" w:cs="Courier New" w:eastAsia="Courier New" w:hAnsi="Courier New"/>
          <w:sz w:val="15"/>
          <w:szCs w:val="15"/>
          <w:color w:val="auto"/>
        </w:rPr>
        <w:t>New York, New York 10055</w:t>
      </w:r>
    </w:p>
    <w:p>
      <w:pPr>
        <w:spacing w:after="0" w:line="174"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4"/>
          <w:szCs w:val="14"/>
          <w:color w:val="auto"/>
        </w:rPr>
        <w:t>Eurodollar Lending Office:</w:t>
      </w:r>
    </w:p>
    <w:p>
      <w:pPr>
        <w:sectPr>
          <w:pgSz w:w="11900" w:h="16838" w:orient="portrait"/>
          <w:cols w:equalWidth="0" w:num="1">
            <w:col w:w="10219"/>
          </w:cols>
          <w:pgMar w:left="240" w:top="622" w:right="1440" w:bottom="1440" w:gutter="0" w:footer="0" w:header="0"/>
          <w:type w:val="continuous"/>
        </w:sect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Yasuda Trust and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1" w:lineRule="exact"/>
        <w:rPr>
          <w:sz w:val="20"/>
          <w:szCs w:val="20"/>
          <w:color w:val="auto"/>
        </w:rPr>
      </w:pPr>
    </w:p>
    <w:p>
      <w:pPr>
        <w:sectPr>
          <w:pgSz w:w="11900" w:h="16838" w:orient="portrait"/>
          <w:cols w:equalWidth="0" w:num="2">
            <w:col w:w="3240" w:space="720"/>
            <w:col w:w="6259"/>
          </w:cols>
          <w:pgMar w:left="240" w:top="62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Banking Co., Ltd.,</w:t>
      </w:r>
    </w:p>
    <w:p>
      <w:pPr>
        <w:sectPr>
          <w:pgSz w:w="11900" w:h="16838" w:orient="portrait"/>
          <w:cols w:equalWidth="0" w:num="1">
            <w:col w:w="10219"/>
          </w:cols>
          <w:pgMar w:left="240" w:top="622"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Branch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The Yasuda Trust and</w:t>
      </w:r>
    </w:p>
    <w:p>
      <w:pPr>
        <w:spacing w:after="0"/>
        <w:rPr>
          <w:sz w:val="20"/>
          <w:szCs w:val="20"/>
          <w:color w:val="auto"/>
        </w:rPr>
      </w:pPr>
      <w:r>
        <w:rPr>
          <w:rFonts w:ascii="Courier New" w:cs="Courier New" w:eastAsia="Courier New" w:hAnsi="Courier New"/>
          <w:sz w:val="15"/>
          <w:szCs w:val="15"/>
          <w:color w:val="auto"/>
        </w:rPr>
        <w:t>Banking Co., Ltd.,</w:t>
      </w:r>
    </w:p>
    <w:p>
      <w:pPr>
        <w:spacing w:after="0"/>
        <w:rPr>
          <w:sz w:val="20"/>
          <w:szCs w:val="20"/>
          <w:color w:val="auto"/>
        </w:rPr>
      </w:pPr>
      <w:r>
        <w:rPr>
          <w:rFonts w:ascii="Courier New" w:cs="Courier New" w:eastAsia="Courier New" w:hAnsi="Courier New"/>
          <w:sz w:val="15"/>
          <w:szCs w:val="15"/>
          <w:color w:val="auto"/>
        </w:rPr>
        <w:t>New York Branch</w:t>
      </w:r>
    </w:p>
    <w:p>
      <w:pPr>
        <w:spacing w:after="0" w:line="238" w:lineRule="auto"/>
        <w:rPr>
          <w:sz w:val="20"/>
          <w:szCs w:val="20"/>
          <w:color w:val="auto"/>
        </w:rPr>
      </w:pPr>
      <w:r>
        <w:rPr>
          <w:rFonts w:ascii="Courier New" w:cs="Courier New" w:eastAsia="Courier New" w:hAnsi="Courier New"/>
          <w:sz w:val="15"/>
          <w:szCs w:val="15"/>
          <w:color w:val="auto"/>
        </w:rPr>
        <w:t>666 Fifth Avenue</w:t>
      </w:r>
    </w:p>
    <w:p>
      <w:pPr>
        <w:spacing w:after="0"/>
        <w:rPr>
          <w:sz w:val="20"/>
          <w:szCs w:val="20"/>
          <w:color w:val="auto"/>
        </w:rPr>
      </w:pPr>
      <w:r>
        <w:rPr>
          <w:rFonts w:ascii="Courier New" w:cs="Courier New" w:eastAsia="Courier New" w:hAnsi="Courier New"/>
          <w:sz w:val="15"/>
          <w:szCs w:val="15"/>
          <w:color w:val="auto"/>
        </w:rPr>
        <w:t>Suite 801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 10103</w:t>
      </w:r>
    </w:p>
    <w:p>
      <w:pPr>
        <w:spacing w:after="0" w:line="180" w:lineRule="exact"/>
        <w:rPr>
          <w:sz w:val="20"/>
          <w:szCs w:val="20"/>
          <w:color w:val="auto"/>
        </w:rPr>
      </w:pPr>
    </w:p>
    <w:p>
      <w:pPr>
        <w:sectPr>
          <w:pgSz w:w="11900" w:h="16838" w:orient="portrait"/>
          <w:cols w:equalWidth="0" w:num="2">
            <w:col w:w="3240" w:space="720"/>
            <w:col w:w="6259"/>
          </w:cols>
          <w:pgMar w:left="240" w:top="622" w:right="1440" w:bottom="1440" w:gutter="0" w:footer="0" w:header="0"/>
          <w:type w:val="continuous"/>
        </w:sectPr>
      </w:pPr>
    </w:p>
    <w:p>
      <w:pPr>
        <w:ind w:left="3960"/>
        <w:spacing w:after="0"/>
        <w:rPr>
          <w:sz w:val="20"/>
          <w:szCs w:val="20"/>
          <w:color w:val="auto"/>
        </w:rPr>
      </w:pPr>
      <w:r>
        <w:rPr>
          <w:rFonts w:ascii="Courier New" w:cs="Courier New" w:eastAsia="Courier New" w:hAnsi="Courier New"/>
          <w:sz w:val="14"/>
          <w:szCs w:val="14"/>
          <w:color w:val="auto"/>
        </w:rPr>
        <w:t>Eurodollar Lending Office:</w:t>
      </w:r>
    </w:p>
    <w:p>
      <w:pPr>
        <w:spacing w:after="0" w:line="175"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Same</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I-10</w:t>
      </w:r>
    </w:p>
    <w:p>
      <w:pPr>
        <w:sectPr>
          <w:pgSz w:w="11900" w:h="16838" w:orient="portrait"/>
          <w:cols w:equalWidth="0" w:num="1">
            <w:col w:w="10219"/>
          </w:cols>
          <w:pgMar w:left="240" w:top="622" w:right="1440" w:bottom="1440" w:gutter="0" w:footer="0" w:header="0"/>
          <w:type w:val="continuous"/>
        </w:sectPr>
      </w:pPr>
    </w:p>
    <w:bookmarkStart w:id="132" w:name="page133"/>
    <w:bookmarkEnd w:id="132"/>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200" w:type="dxa"/>
            <w:vAlign w:val="bottom"/>
            <w:gridSpan w:val="3"/>
          </w:tcPr>
          <w:p>
            <w:pPr>
              <w:jc w:val="right"/>
              <w:ind w:right="1247"/>
              <w:spacing w:after="0"/>
              <w:rPr>
                <w:sz w:val="20"/>
                <w:szCs w:val="20"/>
                <w:color w:val="auto"/>
              </w:rPr>
            </w:pPr>
            <w:r>
              <w:rPr>
                <w:rFonts w:ascii="Courier New" w:cs="Courier New" w:eastAsia="Courier New" w:hAnsi="Courier New"/>
                <w:sz w:val="15"/>
                <w:szCs w:val="15"/>
                <w:color w:val="auto"/>
              </w:rPr>
              <w:t>SCHEDULE II - PARENT FACILITY</w:t>
            </w:r>
          </w:p>
        </w:tc>
      </w:tr>
      <w:tr>
        <w:trPr>
          <w:trHeight w:val="339"/>
        </w:trPr>
        <w:tc>
          <w:tcPr>
            <w:tcW w:w="3120" w:type="dxa"/>
            <w:vAlign w:val="bottom"/>
          </w:tcPr>
          <w:p>
            <w:pPr>
              <w:spacing w:after="0"/>
              <w:rPr>
                <w:sz w:val="24"/>
                <w:szCs w:val="24"/>
                <w:color w:val="auto"/>
              </w:rPr>
            </w:pP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Short-Term Loan</w:t>
            </w:r>
          </w:p>
        </w:tc>
        <w:tc>
          <w:tcPr>
            <w:tcW w:w="17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Revolving Loan</w:t>
            </w:r>
          </w:p>
        </w:tc>
        <w:tc>
          <w:tcPr>
            <w:tcW w:w="1820" w:type="dxa"/>
            <w:vAlign w:val="bottom"/>
          </w:tcPr>
          <w:p>
            <w:pPr>
              <w:ind w:left="580"/>
              <w:spacing w:after="0"/>
              <w:rPr>
                <w:sz w:val="20"/>
                <w:szCs w:val="20"/>
                <w:color w:val="auto"/>
              </w:rPr>
            </w:pPr>
            <w:r>
              <w:rPr>
                <w:rFonts w:ascii="Courier New" w:cs="Courier New" w:eastAsia="Courier New" w:hAnsi="Courier New"/>
                <w:sz w:val="15"/>
                <w:szCs w:val="15"/>
                <w:color w:val="auto"/>
              </w:rPr>
              <w:t>Term Loan</w:t>
            </w: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3120" w:type="dxa"/>
            <w:vAlign w:val="bottom"/>
          </w:tcPr>
          <w:p>
            <w:pPr>
              <w:spacing w:after="0"/>
              <w:rPr>
                <w:sz w:val="14"/>
                <w:szCs w:val="14"/>
                <w:color w:val="auto"/>
              </w:rPr>
            </w:pPr>
          </w:p>
        </w:tc>
        <w:tc>
          <w:tcPr>
            <w:tcW w:w="1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Commitment</w:t>
            </w:r>
          </w:p>
        </w:tc>
        <w:tc>
          <w:tcPr>
            <w:tcW w:w="17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Commitment</w:t>
            </w:r>
          </w:p>
        </w:tc>
        <w:tc>
          <w:tcPr>
            <w:tcW w:w="1820" w:type="dxa"/>
            <w:vAlign w:val="bottom"/>
          </w:tcPr>
          <w:p>
            <w:pPr>
              <w:ind w:left="580"/>
              <w:spacing w:after="0"/>
              <w:rPr>
                <w:sz w:val="20"/>
                <w:szCs w:val="20"/>
                <w:color w:val="auto"/>
              </w:rPr>
            </w:pPr>
            <w:r>
              <w:rPr>
                <w:rFonts w:ascii="Courier New" w:cs="Courier New" w:eastAsia="Courier New" w:hAnsi="Courier New"/>
                <w:sz w:val="15"/>
                <w:szCs w:val="15"/>
                <w:color w:val="auto"/>
              </w:rPr>
              <w:t>Commitment</w:t>
            </w:r>
          </w:p>
        </w:tc>
        <w:tc>
          <w:tcPr>
            <w:tcW w:w="16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Commitment</w:t>
            </w:r>
          </w:p>
        </w:tc>
      </w:tr>
      <w:tr>
        <w:trPr>
          <w:trHeight w:val="170"/>
        </w:trPr>
        <w:tc>
          <w:tcPr>
            <w:tcW w:w="3120" w:type="dxa"/>
            <w:vAlign w:val="bottom"/>
          </w:tcPr>
          <w:p>
            <w:pPr>
              <w:spacing w:after="0"/>
              <w:rPr>
                <w:sz w:val="14"/>
                <w:szCs w:val="14"/>
                <w:color w:val="auto"/>
              </w:rPr>
            </w:pP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120" w:type="dxa"/>
            <w:vAlign w:val="bottom"/>
          </w:tcPr>
          <w:p>
            <w:pPr>
              <w:spacing w:after="0"/>
              <w:rPr>
                <w:sz w:val="20"/>
                <w:szCs w:val="20"/>
                <w:color w:val="auto"/>
              </w:rPr>
            </w:pPr>
            <w:r>
              <w:rPr>
                <w:rFonts w:ascii="Courier New" w:cs="Courier New" w:eastAsia="Courier New" w:hAnsi="Courier New"/>
                <w:sz w:val="15"/>
                <w:szCs w:val="15"/>
                <w:color w:val="auto"/>
              </w:rPr>
              <w:t>The Bank of New York</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$110,294,117.65</w:t>
            </w:r>
          </w:p>
        </w:tc>
        <w:tc>
          <w:tcPr>
            <w:tcW w:w="17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$79,411,764.71</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$96,573,529.42</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$286,279,411.78</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Citibank, N.A.</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$110,294,117.64</w:t>
            </w:r>
          </w:p>
        </w:tc>
        <w:tc>
          <w:tcPr>
            <w:tcW w:w="17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$79,411,764.70</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$96,573,529.44</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$286,279,411.78</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Morgan Guaranty Trust</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$110,294,117.65</w:t>
            </w:r>
          </w:p>
        </w:tc>
        <w:tc>
          <w:tcPr>
            <w:tcW w:w="17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$79,411,764.71</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$96,573,529.42</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$286,279,411.78</w:t>
            </w:r>
          </w:p>
        </w:tc>
      </w:tr>
      <w:tr>
        <w:trPr>
          <w:trHeight w:val="170"/>
        </w:trPr>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Company of New York</w:t>
            </w:r>
          </w:p>
        </w:tc>
        <w:tc>
          <w:tcPr>
            <w:tcW w:w="18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Bank of America NT&amp;SA</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$110,294,117.65</w:t>
            </w:r>
          </w:p>
        </w:tc>
        <w:tc>
          <w:tcPr>
            <w:tcW w:w="17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$79,411,764.71</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$96,573,529.42</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$286,279,411.78</w:t>
            </w:r>
          </w:p>
        </w:tc>
      </w:tr>
      <w:tr>
        <w:trPr>
          <w:trHeight w:val="339"/>
        </w:trPr>
        <w:tc>
          <w:tcPr>
            <w:tcW w:w="3120" w:type="dxa"/>
            <w:vAlign w:val="bottom"/>
          </w:tcPr>
          <w:p>
            <w:pPr>
              <w:spacing w:after="0"/>
              <w:rPr>
                <w:sz w:val="20"/>
                <w:szCs w:val="20"/>
                <w:color w:val="auto"/>
              </w:rPr>
            </w:pPr>
            <w:r>
              <w:rPr>
                <w:rFonts w:ascii="Courier New" w:cs="Courier New" w:eastAsia="Courier New" w:hAnsi="Courier New"/>
                <w:sz w:val="15"/>
                <w:szCs w:val="15"/>
                <w:color w:val="auto"/>
              </w:rPr>
              <w:t>Bank of Montreal</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$90,960,953.35</w:t>
            </w:r>
          </w:p>
        </w:tc>
        <w:tc>
          <w:tcPr>
            <w:tcW w:w="17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$65,491,886.41</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$79,645,410.75</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$236,098,250.51</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The Bank of Nova Scotia</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$90,960,953.35</w:t>
            </w:r>
          </w:p>
        </w:tc>
        <w:tc>
          <w:tcPr>
            <w:tcW w:w="17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$65,491,886.41</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$79,645,410.75</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$236,098,250.51</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The Bank of Tokyo Trust Company</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$68,220,715.01</w:t>
            </w:r>
          </w:p>
        </w:tc>
        <w:tc>
          <w:tcPr>
            <w:tcW w:w="17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$49,118,914.81</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$59,734,058.06</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$177,073,687.88</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Barclays Bank PLC</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$90,960,953.35</w:t>
            </w:r>
          </w:p>
        </w:tc>
        <w:tc>
          <w:tcPr>
            <w:tcW w:w="17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$65,491,886.41</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$79,645,410.75</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$236,098,250.51</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Canadian Imperial Bank</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$90,960,953.35</w:t>
            </w:r>
          </w:p>
        </w:tc>
        <w:tc>
          <w:tcPr>
            <w:tcW w:w="17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$65,491,886.41</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$79,645,410.75</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$236,098,250.51</w:t>
            </w:r>
          </w:p>
        </w:tc>
      </w:tr>
      <w:tr>
        <w:trPr>
          <w:trHeight w:val="170"/>
        </w:trPr>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of Commerce</w:t>
            </w:r>
          </w:p>
        </w:tc>
        <w:tc>
          <w:tcPr>
            <w:tcW w:w="18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The Chase Manhattan Bank N.A.</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$90,960,953.35</w:t>
            </w:r>
          </w:p>
        </w:tc>
        <w:tc>
          <w:tcPr>
            <w:tcW w:w="17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$65,491,886.41</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$79,645,410.75</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$236,098,250.51</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Credit Lyonnais Cayman</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$90,960,953.35</w:t>
            </w:r>
          </w:p>
        </w:tc>
        <w:tc>
          <w:tcPr>
            <w:tcW w:w="17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$65,491,886.41</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$79,645,410.75</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$236,098,250.51</w:t>
            </w:r>
          </w:p>
        </w:tc>
      </w:tr>
      <w:tr>
        <w:trPr>
          <w:trHeight w:val="170"/>
        </w:trPr>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Island Branch</w:t>
            </w:r>
          </w:p>
        </w:tc>
        <w:tc>
          <w:tcPr>
            <w:tcW w:w="18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The First National Bank of Boston</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$90,960,953.35</w:t>
            </w:r>
          </w:p>
        </w:tc>
        <w:tc>
          <w:tcPr>
            <w:tcW w:w="17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$65,491,886.41</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$79,645,410.75</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$236,098,250.51</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The Fuji Bank, Limited</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$90,960,953.35</w:t>
            </w:r>
          </w:p>
        </w:tc>
        <w:tc>
          <w:tcPr>
            <w:tcW w:w="17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$65,491,886.41</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$79,645,410.75</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$236,098,250.51</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The Industrial Bank of</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$90,960,953.35</w:t>
            </w:r>
          </w:p>
        </w:tc>
        <w:tc>
          <w:tcPr>
            <w:tcW w:w="17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$65,491,886.41</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$79,645,410.75</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$236,098,250.51</w:t>
            </w:r>
          </w:p>
        </w:tc>
      </w:tr>
      <w:tr>
        <w:trPr>
          <w:trHeight w:val="170"/>
        </w:trPr>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Japan, Ltd.</w:t>
            </w:r>
          </w:p>
        </w:tc>
        <w:tc>
          <w:tcPr>
            <w:tcW w:w="18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LTCB Trust Company</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$90,960,953.35</w:t>
            </w:r>
          </w:p>
        </w:tc>
        <w:tc>
          <w:tcPr>
            <w:tcW w:w="17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$65,491,886.41</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$79,645,410.75</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$236,098,250.51</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Mellon Bank, N.A.</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$90,960,953.35</w:t>
            </w:r>
          </w:p>
        </w:tc>
        <w:tc>
          <w:tcPr>
            <w:tcW w:w="17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$65,491,886.41</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$79,645,410.75</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$236,098,250.51</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NationsBank of Texas N.A.</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$90,960,953.35</w:t>
            </w:r>
          </w:p>
        </w:tc>
        <w:tc>
          <w:tcPr>
            <w:tcW w:w="17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$65,491,886.41</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$79,645,410.75</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$236,098,250.51</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Societe Generale</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$90,960,953.35</w:t>
            </w:r>
          </w:p>
        </w:tc>
        <w:tc>
          <w:tcPr>
            <w:tcW w:w="17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$65,491,886.41</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$79,645,410.75</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$236,098,250.51</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Toronto-Dominion Bank</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$90,960,953.35</w:t>
            </w:r>
          </w:p>
        </w:tc>
        <w:tc>
          <w:tcPr>
            <w:tcW w:w="17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$65,491,886.41</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$79,645,410.75</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$236,098,250.51</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Union Bank</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$22,740,238.33</w:t>
            </w:r>
          </w:p>
        </w:tc>
        <w:tc>
          <w:tcPr>
            <w:tcW w:w="17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$16,372,971.60</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$19,911,362.69</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$59,024,562.62</w:t>
            </w:r>
          </w:p>
        </w:tc>
      </w:tr>
      <w:tr>
        <w:trPr>
          <w:trHeight w:val="339"/>
        </w:trPr>
        <w:tc>
          <w:tcPr>
            <w:tcW w:w="3120" w:type="dxa"/>
            <w:vAlign w:val="bottom"/>
          </w:tcPr>
          <w:p>
            <w:pPr>
              <w:spacing w:after="0"/>
              <w:rPr>
                <w:sz w:val="20"/>
                <w:szCs w:val="20"/>
                <w:color w:val="auto"/>
              </w:rPr>
            </w:pPr>
            <w:r>
              <w:rPr>
                <w:rFonts w:ascii="Courier New" w:cs="Courier New" w:eastAsia="Courier New" w:hAnsi="Courier New"/>
                <w:sz w:val="15"/>
                <w:szCs w:val="15"/>
                <w:color w:val="auto"/>
              </w:rPr>
              <w:t>Credit Suisse</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$64,972,109.53</w:t>
            </w:r>
          </w:p>
        </w:tc>
        <w:tc>
          <w:tcPr>
            <w:tcW w:w="17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$46,779,918.86</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$56,889,579.10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$168,641,607.49</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The Dai-Ichi Kangyo Bank</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$64,972,109.53</w:t>
            </w:r>
          </w:p>
        </w:tc>
        <w:tc>
          <w:tcPr>
            <w:tcW w:w="17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$46,779,918.86</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$56,889,579.10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$168,641,607.49</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The Mitsubishi Bank, Limited</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$64,972,109.53</w:t>
            </w:r>
          </w:p>
        </w:tc>
        <w:tc>
          <w:tcPr>
            <w:tcW w:w="17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$46,779,918.86</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$56,889,579.10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$168,641,607.49</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The Mitsubishi Trust &amp;</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$64,972,109.53</w:t>
            </w:r>
          </w:p>
        </w:tc>
        <w:tc>
          <w:tcPr>
            <w:tcW w:w="17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$46,779,918.86</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$56,889,579.10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$168,641,607.49</w:t>
            </w:r>
          </w:p>
        </w:tc>
      </w:tr>
      <w:tr>
        <w:trPr>
          <w:trHeight w:val="170"/>
        </w:trPr>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Banking Corporation</w:t>
            </w:r>
          </w:p>
        </w:tc>
        <w:tc>
          <w:tcPr>
            <w:tcW w:w="18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Royal Bank of Canada</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$64,972,109.53</w:t>
            </w:r>
          </w:p>
        </w:tc>
        <w:tc>
          <w:tcPr>
            <w:tcW w:w="17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$46,779,918.86</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$56,889,579.10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$168,641,607.49</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The Sanwa Bank, Ltd.</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$64,972,109.53</w:t>
            </w:r>
          </w:p>
        </w:tc>
        <w:tc>
          <w:tcPr>
            <w:tcW w:w="17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$46,779,918.86</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$56,889,579.10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$168,641,607.49</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Sumitomo Bank, Limited,</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$64,972,109.53</w:t>
            </w:r>
          </w:p>
        </w:tc>
        <w:tc>
          <w:tcPr>
            <w:tcW w:w="17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$46,779,918.86</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$56,889,579.10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$168,641,607.49</w:t>
            </w:r>
          </w:p>
        </w:tc>
      </w:tr>
      <w:tr>
        <w:trPr>
          <w:trHeight w:val="170"/>
        </w:trPr>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New York Branch</w:t>
            </w:r>
          </w:p>
        </w:tc>
        <w:tc>
          <w:tcPr>
            <w:tcW w:w="18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Union Bank of Switzerland</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$64,972,109.53</w:t>
            </w:r>
          </w:p>
        </w:tc>
        <w:tc>
          <w:tcPr>
            <w:tcW w:w="17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$46,779,918.86</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$56,889,579.10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$168,641,607.49</w:t>
            </w:r>
          </w:p>
        </w:tc>
      </w:tr>
      <w:tr>
        <w:trPr>
          <w:trHeight w:val="339"/>
        </w:trPr>
        <w:tc>
          <w:tcPr>
            <w:tcW w:w="3120" w:type="dxa"/>
            <w:vAlign w:val="bottom"/>
          </w:tcPr>
          <w:p>
            <w:pPr>
              <w:spacing w:after="0"/>
              <w:rPr>
                <w:sz w:val="20"/>
                <w:szCs w:val="20"/>
                <w:color w:val="auto"/>
              </w:rPr>
            </w:pPr>
            <w:r>
              <w:rPr>
                <w:rFonts w:ascii="Courier New" w:cs="Courier New" w:eastAsia="Courier New" w:hAnsi="Courier New"/>
                <w:sz w:val="15"/>
                <w:szCs w:val="15"/>
                <w:color w:val="auto"/>
              </w:rPr>
              <w:t>Chemical Bank</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$36,764,705.88</w:t>
            </w:r>
          </w:p>
        </w:tc>
        <w:tc>
          <w:tcPr>
            <w:tcW w:w="17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$26,470,588.24</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$32,191,176.47</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$95,426,470.59</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Deutsche Bank AG</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$36,764,705.88</w:t>
            </w:r>
          </w:p>
        </w:tc>
        <w:tc>
          <w:tcPr>
            <w:tcW w:w="17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$26,470,588.24</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$32,191,176.47</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$95,426,470.59</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The Sakura Bank, Limited</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$27,573,529.41</w:t>
            </w:r>
          </w:p>
        </w:tc>
        <w:tc>
          <w:tcPr>
            <w:tcW w:w="17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$19,852,941.18</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$24,143,382.35</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$71,569,852.94</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Compagnie Financiere de CIC</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$18,382,352.94</w:t>
            </w:r>
          </w:p>
        </w:tc>
        <w:tc>
          <w:tcPr>
            <w:tcW w:w="17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$13,235,294.12</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$16,095,588.24</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$47,713,235.30</w:t>
            </w:r>
          </w:p>
        </w:tc>
      </w:tr>
      <w:tr>
        <w:trPr>
          <w:trHeight w:val="170"/>
        </w:trPr>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et de L'Union Europeenne,</w:t>
            </w:r>
          </w:p>
        </w:tc>
        <w:tc>
          <w:tcPr>
            <w:tcW w:w="18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0"/>
        </w:trPr>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New York Branch</w:t>
            </w:r>
          </w:p>
        </w:tc>
        <w:tc>
          <w:tcPr>
            <w:tcW w:w="18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PNC Bank N.A.</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$18,382,352.94</w:t>
            </w:r>
          </w:p>
        </w:tc>
        <w:tc>
          <w:tcPr>
            <w:tcW w:w="17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$13,235,294.12</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$16,095,588.24</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$47,713,235.30</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First Interstate Bank of</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$9,191,176.47</w:t>
            </w:r>
          </w:p>
        </w:tc>
        <w:tc>
          <w:tcPr>
            <w:tcW w:w="17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$6,617,647.06</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$8,047,794.12</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$23,856,617.65</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Washington, N.A.</w:t>
            </w:r>
          </w:p>
        </w:tc>
        <w:tc>
          <w:tcPr>
            <w:tcW w:w="18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Gulf International Bank</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$9,191,176.47</w:t>
            </w:r>
          </w:p>
        </w:tc>
        <w:tc>
          <w:tcPr>
            <w:tcW w:w="17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$6,617,647.06</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$8,047,794.12</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$23,856,617.65</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The Tokai Bank, Limited,</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$9,191,176.47</w:t>
            </w:r>
          </w:p>
        </w:tc>
        <w:tc>
          <w:tcPr>
            <w:tcW w:w="17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$6,617,647.06</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$8,047,794.12</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$23,856,617.65</w:t>
            </w:r>
          </w:p>
        </w:tc>
      </w:tr>
      <w:tr>
        <w:trPr>
          <w:trHeight w:val="170"/>
        </w:trPr>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New York Branch</w:t>
            </w:r>
          </w:p>
        </w:tc>
        <w:tc>
          <w:tcPr>
            <w:tcW w:w="18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The Yasuda Trust and Banking</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$9,191,176.47</w:t>
            </w:r>
          </w:p>
        </w:tc>
        <w:tc>
          <w:tcPr>
            <w:tcW w:w="17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$6,617,647.06</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$8,047,794.12</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$23,856,617.65</w:t>
            </w:r>
          </w:p>
        </w:tc>
      </w:tr>
      <w:tr>
        <w:trPr>
          <w:trHeight w:val="170"/>
        </w:trPr>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Co., Ltd., New York Branch</w:t>
            </w:r>
          </w:p>
        </w:tc>
        <w:tc>
          <w:tcPr>
            <w:tcW w:w="18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39"/>
        </w:trPr>
        <w:tc>
          <w:tcPr>
            <w:tcW w:w="3120" w:type="dxa"/>
            <w:vAlign w:val="bottom"/>
          </w:tcPr>
          <w:p>
            <w:pPr>
              <w:spacing w:after="0"/>
              <w:rPr>
                <w:sz w:val="24"/>
                <w:szCs w:val="24"/>
                <w:color w:val="auto"/>
              </w:rPr>
            </w:pP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$2,500,000,000.00</w:t>
            </w:r>
          </w:p>
        </w:tc>
        <w:tc>
          <w:tcPr>
            <w:tcW w:w="17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$1,800,000,000.00</w:t>
            </w: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$2,189,000,000.00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$6,489,000,000.00</w:t>
            </w:r>
          </w:p>
        </w:tc>
      </w:tr>
    </w:tbl>
    <w:p>
      <w:pPr>
        <w:sectPr>
          <w:pgSz w:w="11900" w:h="16838" w:orient="portrait"/>
          <w:cols w:equalWidth="0" w:num="1">
            <w:col w:w="10219"/>
          </w:cols>
          <w:pgMar w:left="240" w:top="791" w:right="1440" w:bottom="1440" w:gutter="0" w:footer="0" w:header="0"/>
        </w:sectPr>
      </w:pPr>
    </w:p>
    <w:bookmarkStart w:id="133" w:name="page134"/>
    <w:bookmarkEnd w:id="1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388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SCHEDULE II - SUBSIDIARY FACILITY</w:t>
            </w:r>
          </w:p>
        </w:tc>
        <w:tc>
          <w:tcPr>
            <w:tcW w:w="1360" w:type="dxa"/>
            <w:vAlign w:val="bottom"/>
          </w:tcPr>
          <w:p>
            <w:pPr>
              <w:spacing w:after="0"/>
              <w:rPr>
                <w:sz w:val="14"/>
                <w:szCs w:val="14"/>
                <w:color w:val="auto"/>
              </w:rPr>
            </w:pPr>
          </w:p>
        </w:tc>
      </w:tr>
      <w:tr>
        <w:trPr>
          <w:trHeight w:val="339"/>
        </w:trPr>
        <w:tc>
          <w:tcPr>
            <w:tcW w:w="3820" w:type="dxa"/>
            <w:vAlign w:val="bottom"/>
          </w:tcPr>
          <w:p>
            <w:pPr>
              <w:spacing w:after="0"/>
              <w:rPr>
                <w:sz w:val="24"/>
                <w:szCs w:val="24"/>
                <w:color w:val="auto"/>
              </w:rPr>
            </w:pPr>
          </w:p>
        </w:tc>
        <w:tc>
          <w:tcPr>
            <w:tcW w:w="23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Viacom</w:t>
            </w:r>
          </w:p>
        </w:tc>
        <w:tc>
          <w:tcPr>
            <w:tcW w:w="15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CableVision of</w:t>
            </w:r>
          </w:p>
        </w:tc>
        <w:tc>
          <w:tcPr>
            <w:tcW w:w="1360" w:type="dxa"/>
            <w:vAlign w:val="bottom"/>
          </w:tcPr>
          <w:p>
            <w:pPr>
              <w:spacing w:after="0"/>
              <w:rPr>
                <w:sz w:val="24"/>
                <w:szCs w:val="24"/>
                <w:color w:val="auto"/>
              </w:rPr>
            </w:pPr>
          </w:p>
        </w:tc>
      </w:tr>
      <w:tr>
        <w:trPr>
          <w:trHeight w:val="170"/>
        </w:trPr>
        <w:tc>
          <w:tcPr>
            <w:tcW w:w="3820" w:type="dxa"/>
            <w:vAlign w:val="bottom"/>
          </w:tcPr>
          <w:p>
            <w:pPr>
              <w:spacing w:after="0"/>
              <w:rPr>
                <w:sz w:val="14"/>
                <w:szCs w:val="14"/>
                <w:color w:val="auto"/>
              </w:rPr>
            </w:pP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International</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Dayton, Inc.</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WNYT Inc.</w:t>
            </w:r>
          </w:p>
        </w:tc>
      </w:tr>
      <w:tr>
        <w:trPr>
          <w:trHeight w:val="170"/>
        </w:trPr>
        <w:tc>
          <w:tcPr>
            <w:tcW w:w="3820" w:type="dxa"/>
            <w:vAlign w:val="bottom"/>
          </w:tcPr>
          <w:p>
            <w:pPr>
              <w:spacing w:after="0"/>
              <w:rPr>
                <w:sz w:val="14"/>
                <w:szCs w:val="14"/>
                <w:color w:val="auto"/>
              </w:rPr>
            </w:pP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The Bank of New York</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$4,411,764.71</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$2,514,705.87</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$1,588,235.29</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Citibank, N.A.</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$4,411,764.74</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$2,514,705.87</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$1,588,235.28</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Morgan Guaranty Trust</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$4,411,764.71</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$2,514,705.87</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$1,588,235.29</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Company of New York</w:t>
            </w:r>
          </w:p>
        </w:tc>
        <w:tc>
          <w:tcPr>
            <w:tcW w:w="2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Bank of America NT&amp;SA</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$4,411,764.71</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$2,514,705.87</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$1,588,235.29</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Bank of Montreal</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$3,638,438.13</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$2,073,909.74</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$1,309,837.73</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The Bank of Nova Scotia</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$3,638,438.13</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$2,073,909.74</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$1,309,837.73</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The Bank of Tokyo Trust Company</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$2,728,828.60</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$1,555,432.30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$982,378.30</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Barclays Bank PLC</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$3,638,438.13</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$2,073,909.74</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$1,309,837.73</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Canadian Imperial Bank</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$3,638,438.13</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$2,073,909.74</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$1,309,837.73</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of Commerce</w:t>
            </w:r>
          </w:p>
        </w:tc>
        <w:tc>
          <w:tcPr>
            <w:tcW w:w="2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The Chase Manhattan Bank N.A.</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$3,638,438.13</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$2,073,909.74</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$1,309,837.73</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Credit Lyonnais Cayman</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$3,638,438.13</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$2,073,909.74</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$1,309,837.73</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Island Branch</w:t>
            </w:r>
          </w:p>
        </w:tc>
        <w:tc>
          <w:tcPr>
            <w:tcW w:w="2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The First National Bank of Boston</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$3,638,438.13</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$2,073,909.74</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81,309,837.73</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The Fuji Bank, Limited</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$3,638,438.13</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$2,073,909.74</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$1,309,837.73</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The Industrial Bank of</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$3,638,438.13</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$2,073,909.74</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$1,309,837.73</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Japan, Ltd.</w:t>
            </w:r>
          </w:p>
        </w:tc>
        <w:tc>
          <w:tcPr>
            <w:tcW w:w="2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LTCB Trust Company</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$3,638,438.13</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$2,073,909.74</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$1,309,837.73</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Mellon Bank, N.A.</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$3,638,438.13</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$2,073,909.74</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$1,309,837.73</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NationsBank of Texas N.A.</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$3,638,438.13</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$2,073,909.74</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$1,309,837.73</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Societe Generale</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$3,638,438.13</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$2,073,909.74</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$1,309,837.73</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Toronto-Dominion Bank</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$3,638,438.13</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$2,073,909.74</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$1,309,837.73</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Union Bank</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$909,609.53</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$518,477.43</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$327,459.43</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Credit Suisse</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$2,598,884.38</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$1,481,364.10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$935,598.38</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The Dai-Ichi Kangyo Bank</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$2,598,884.38</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$1,481,364.10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$935,598.38</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The Mitsubishi Bank, Limited</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$2,598,884.38</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$1,481,364.10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$935,598.38</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The Mitsubishi Trust &amp;</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$2,598,884.38</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$1,481,364.10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$935,598.38</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Banking Corporation</w:t>
            </w:r>
          </w:p>
        </w:tc>
        <w:tc>
          <w:tcPr>
            <w:tcW w:w="2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Royal Bank of Canada</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$2,598,884.38</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$1,481,364.10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$935,598.38</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The Sanwa Bank, Ltd.</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$2,598,884.38</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$1,481,364.10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$935,598.38</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Sumitomo Bank, Limited,</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$2,598,884.38</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$1,481,364.10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$935,598.38</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New York Branch</w:t>
            </w:r>
          </w:p>
        </w:tc>
        <w:tc>
          <w:tcPr>
            <w:tcW w:w="2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Union Bank of Switzerland</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$2,598,884.38</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$1,481,364.10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$935,598.38</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Chemical Bank</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$1,470,588.24</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$838,235.29</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$529,411.76</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Deutsche Bank AG</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$1,470,588.24</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$838,235.29</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$529,411.76</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The Sakura Bank, Limited</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$1,102,941.18</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$628,676.47</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$397,058.82</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Compagnie Financiere de CIC et</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$735,294.12</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$419,117.65</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$264,705.88</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de L'Union Europeenne,</w:t>
            </w:r>
          </w:p>
        </w:tc>
        <w:tc>
          <w:tcPr>
            <w:tcW w:w="2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New York Branch</w:t>
            </w:r>
          </w:p>
        </w:tc>
        <w:tc>
          <w:tcPr>
            <w:tcW w:w="2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PNC Bank N.A.</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$735,294.12</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$419,117.65</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$264,705.88</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First Interstate Bank of Washington, N.A.</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$367,647.06</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$209,558.82</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$132,352.94</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Gulf International Bank</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$367,647.06</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$209,558.82</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$132,352.94</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The Tokai Bank, Limited,</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$367,647.06</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$209,558.82</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$132,352.94</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New York Branch</w:t>
            </w:r>
          </w:p>
        </w:tc>
        <w:tc>
          <w:tcPr>
            <w:tcW w:w="2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The Yasuda Trust and Banking</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$367,647.06</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$209,558.82</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$132,352.94</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Co., Ltd., New York Branch</w:t>
            </w:r>
          </w:p>
        </w:tc>
        <w:tc>
          <w:tcPr>
            <w:tcW w:w="2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39"/>
        </w:trPr>
        <w:tc>
          <w:tcPr>
            <w:tcW w:w="3820" w:type="dxa"/>
            <w:vAlign w:val="bottom"/>
          </w:tcPr>
          <w:p>
            <w:pPr>
              <w:spacing w:after="0"/>
              <w:rPr>
                <w:sz w:val="24"/>
                <w:szCs w:val="24"/>
                <w:color w:val="auto"/>
              </w:rPr>
            </w:pP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$100,000,000.00</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$57,000,000.00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$36,000,000.00</w:t>
            </w:r>
          </w:p>
        </w:tc>
      </w:tr>
    </w:tbl>
    <w:p>
      <w:pPr>
        <w:sectPr>
          <w:pgSz w:w="11900" w:h="16838" w:orient="portrait"/>
          <w:cols w:equalWidth="0" w:num="1">
            <w:col w:w="10219"/>
          </w:cols>
          <w:pgMar w:left="240" w:top="791" w:right="1440" w:bottom="1440" w:gutter="0" w:footer="0" w:header="0"/>
        </w:sectPr>
      </w:pPr>
    </w:p>
    <w:bookmarkStart w:id="134" w:name="page135"/>
    <w:bookmarkEnd w:id="1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20" w:type="dxa"/>
            <w:vAlign w:val="bottom"/>
          </w:tcPr>
          <w:p>
            <w:pPr>
              <w:spacing w:after="0"/>
              <w:rPr>
                <w:sz w:val="14"/>
                <w:szCs w:val="14"/>
                <w:color w:val="auto"/>
              </w:rPr>
            </w:pPr>
          </w:p>
        </w:tc>
        <w:tc>
          <w:tcPr>
            <w:tcW w:w="25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WMZQ Inc.</w:t>
            </w:r>
          </w:p>
        </w:tc>
        <w:tc>
          <w:tcPr>
            <w:tcW w:w="17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WVIT Inc.</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46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Commitment</w:t>
            </w:r>
          </w:p>
        </w:tc>
      </w:tr>
      <w:tr>
        <w:trPr>
          <w:trHeight w:val="170"/>
        </w:trPr>
        <w:tc>
          <w:tcPr>
            <w:tcW w:w="4620" w:type="dxa"/>
            <w:vAlign w:val="bottom"/>
          </w:tcPr>
          <w:p>
            <w:pPr>
              <w:spacing w:after="0"/>
              <w:rPr>
                <w:sz w:val="14"/>
                <w:szCs w:val="14"/>
                <w:color w:val="auto"/>
              </w:rPr>
            </w:pP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4620" w:type="dxa"/>
            <w:vAlign w:val="bottom"/>
          </w:tcPr>
          <w:p>
            <w:pPr>
              <w:spacing w:after="0"/>
              <w:rPr>
                <w:sz w:val="20"/>
                <w:szCs w:val="20"/>
                <w:color w:val="auto"/>
              </w:rPr>
            </w:pPr>
            <w:r>
              <w:rPr>
                <w:rFonts w:ascii="Courier New" w:cs="Courier New" w:eastAsia="Courier New" w:hAnsi="Courier New"/>
                <w:sz w:val="15"/>
                <w:szCs w:val="15"/>
                <w:color w:val="auto"/>
              </w:rPr>
              <w:t>The Bank of New York</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$2,250,000.00</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$2,955,882.35</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$13,720,588.22</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Citibank, N.A.</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$2,250,000.00</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$2,955,882.33</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$13,720,588.22</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Morgan Guaranty Trust</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$2,250,000.00</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$2,955,882.35</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$13,720,588.22</w:t>
            </w:r>
          </w:p>
        </w:tc>
      </w:tr>
      <w:tr>
        <w:trPr>
          <w:trHeight w:val="170"/>
        </w:trPr>
        <w:tc>
          <w:tcPr>
            <w:tcW w:w="4620" w:type="dxa"/>
            <w:vAlign w:val="bottom"/>
          </w:tcPr>
          <w:p>
            <w:pPr>
              <w:ind w:left="160"/>
              <w:spacing w:after="0"/>
              <w:rPr>
                <w:sz w:val="20"/>
                <w:szCs w:val="20"/>
                <w:color w:val="auto"/>
              </w:rPr>
            </w:pPr>
            <w:r>
              <w:rPr>
                <w:rFonts w:ascii="Courier New" w:cs="Courier New" w:eastAsia="Courier New" w:hAnsi="Courier New"/>
                <w:sz w:val="15"/>
                <w:szCs w:val="15"/>
                <w:color w:val="auto"/>
              </w:rPr>
              <w:t>Company of New York</w:t>
            </w:r>
          </w:p>
        </w:tc>
        <w:tc>
          <w:tcPr>
            <w:tcW w:w="2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Bank of America NT&amp;SA</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$2,250,000.00</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$2,955,882.35</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$13,720,588.22</w:t>
            </w:r>
          </w:p>
        </w:tc>
      </w:tr>
      <w:tr>
        <w:trPr>
          <w:trHeight w:val="339"/>
        </w:trPr>
        <w:tc>
          <w:tcPr>
            <w:tcW w:w="4620" w:type="dxa"/>
            <w:vAlign w:val="bottom"/>
          </w:tcPr>
          <w:p>
            <w:pPr>
              <w:spacing w:after="0"/>
              <w:rPr>
                <w:sz w:val="20"/>
                <w:szCs w:val="20"/>
                <w:color w:val="auto"/>
              </w:rPr>
            </w:pPr>
            <w:r>
              <w:rPr>
                <w:rFonts w:ascii="Courier New" w:cs="Courier New" w:eastAsia="Courier New" w:hAnsi="Courier New"/>
                <w:sz w:val="15"/>
                <w:szCs w:val="15"/>
                <w:color w:val="auto"/>
              </w:rPr>
              <w:t>Bank of Montreal</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$1,855,603.45</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$2,437,753.55</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$11,315,542.60</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The Bank of Nova Scotia</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$1,855,603.45</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$2,437,753.55</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$11,315,542.60</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The Bank of Tokyo Trust Company</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$1,391,702.59</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$1,828,315.16</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$8,486,656.95</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Barclays Bank PLC</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$1,855,603.45</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$2,437,753.55</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$11,315,542.60</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Canadian Imperial Bank</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$1,855,603.45</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$2,437,753.55</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$11,315,542.60</w:t>
            </w:r>
          </w:p>
        </w:tc>
      </w:tr>
      <w:tr>
        <w:trPr>
          <w:trHeight w:val="170"/>
        </w:trPr>
        <w:tc>
          <w:tcPr>
            <w:tcW w:w="4620" w:type="dxa"/>
            <w:vAlign w:val="bottom"/>
          </w:tcPr>
          <w:p>
            <w:pPr>
              <w:ind w:left="160"/>
              <w:spacing w:after="0"/>
              <w:rPr>
                <w:sz w:val="20"/>
                <w:szCs w:val="20"/>
                <w:color w:val="auto"/>
              </w:rPr>
            </w:pPr>
            <w:r>
              <w:rPr>
                <w:rFonts w:ascii="Courier New" w:cs="Courier New" w:eastAsia="Courier New" w:hAnsi="Courier New"/>
                <w:sz w:val="15"/>
                <w:szCs w:val="15"/>
                <w:color w:val="auto"/>
              </w:rPr>
              <w:t>of Commerce</w:t>
            </w:r>
          </w:p>
        </w:tc>
        <w:tc>
          <w:tcPr>
            <w:tcW w:w="2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The Chase Manhattan Bank N.A.</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$1,855,603.45</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$2,437,753.55</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$11,315,542.60</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Credit Lyonnais Cayman</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$1,855,603.45</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$2,437,753.55</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$11,315,542.60</w:t>
            </w:r>
          </w:p>
        </w:tc>
      </w:tr>
      <w:tr>
        <w:trPr>
          <w:trHeight w:val="170"/>
        </w:trPr>
        <w:tc>
          <w:tcPr>
            <w:tcW w:w="4620" w:type="dxa"/>
            <w:vAlign w:val="bottom"/>
          </w:tcPr>
          <w:p>
            <w:pPr>
              <w:ind w:left="160"/>
              <w:spacing w:after="0"/>
              <w:rPr>
                <w:sz w:val="20"/>
                <w:szCs w:val="20"/>
                <w:color w:val="auto"/>
              </w:rPr>
            </w:pPr>
            <w:r>
              <w:rPr>
                <w:rFonts w:ascii="Courier New" w:cs="Courier New" w:eastAsia="Courier New" w:hAnsi="Courier New"/>
                <w:sz w:val="15"/>
                <w:szCs w:val="15"/>
                <w:color w:val="auto"/>
              </w:rPr>
              <w:t>Island Branch</w:t>
            </w:r>
          </w:p>
        </w:tc>
        <w:tc>
          <w:tcPr>
            <w:tcW w:w="2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The First National Bank of Boston</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$1,855,603.45</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$2,437,753.55</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$11,315,542.60</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The Fuji Bank, Limited</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$1,855,603.45</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$2,437,753.55</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$11,315,542.60</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The Industrial Bank of</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$1,855,603.45</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$2,437,753.55</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$11,315,542.60</w:t>
            </w:r>
          </w:p>
        </w:tc>
      </w:tr>
      <w:tr>
        <w:trPr>
          <w:trHeight w:val="170"/>
        </w:trPr>
        <w:tc>
          <w:tcPr>
            <w:tcW w:w="4620" w:type="dxa"/>
            <w:vAlign w:val="bottom"/>
          </w:tcPr>
          <w:p>
            <w:pPr>
              <w:ind w:left="160"/>
              <w:spacing w:after="0"/>
              <w:rPr>
                <w:sz w:val="20"/>
                <w:szCs w:val="20"/>
                <w:color w:val="auto"/>
              </w:rPr>
            </w:pPr>
            <w:r>
              <w:rPr>
                <w:rFonts w:ascii="Courier New" w:cs="Courier New" w:eastAsia="Courier New" w:hAnsi="Courier New"/>
                <w:sz w:val="15"/>
                <w:szCs w:val="15"/>
                <w:color w:val="auto"/>
              </w:rPr>
              <w:t>Japan, LTD.</w:t>
            </w:r>
          </w:p>
        </w:tc>
        <w:tc>
          <w:tcPr>
            <w:tcW w:w="2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LTCB Trust Company</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$1,855,603.45</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$2,437,753.55</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$11,315,542.60</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Mellon Bank, N.A.</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$1,855,603.45</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$2,437,753.55</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$11,315,542.60</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NationsBank of Texas N.A.</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$1,855,603.45</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$2,437,753.55</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$11,315,542.60</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Societe Generale</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$1,855,603.45</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$2,437,753.55</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$11,315,542.60</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Toronto-Dominion Bank</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$1,855,603.45</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$2,437,753.55</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$11,315,542.60</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Union Bank</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$463,900.87</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$609,438.39</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$2,828,885.65</w:t>
            </w:r>
          </w:p>
        </w:tc>
      </w:tr>
      <w:tr>
        <w:trPr>
          <w:trHeight w:val="339"/>
        </w:trPr>
        <w:tc>
          <w:tcPr>
            <w:tcW w:w="4620" w:type="dxa"/>
            <w:vAlign w:val="bottom"/>
          </w:tcPr>
          <w:p>
            <w:pPr>
              <w:spacing w:after="0"/>
              <w:rPr>
                <w:sz w:val="20"/>
                <w:szCs w:val="20"/>
                <w:color w:val="auto"/>
              </w:rPr>
            </w:pPr>
            <w:r>
              <w:rPr>
                <w:rFonts w:ascii="Courier New" w:cs="Courier New" w:eastAsia="Courier New" w:hAnsi="Courier New"/>
                <w:sz w:val="15"/>
                <w:szCs w:val="15"/>
                <w:color w:val="auto"/>
              </w:rPr>
              <w:t>Credit Suisse</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$1,325,431.03</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$1,741,252.54</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$8,082,530.43</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The Dai-Ichi Kangyo Bank</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$1,325,431.03</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$1,741,252.54</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$8,082,530.43</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The Mitsubishi Bank, Limited</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$1,325,431.03</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$1,741,252.54</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$8,082,530.43</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The Mitsubishi Trust &amp;</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$1,325,431.03</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$1,741,252.54</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$8,082,530.43</w:t>
            </w:r>
          </w:p>
        </w:tc>
      </w:tr>
      <w:tr>
        <w:trPr>
          <w:trHeight w:val="170"/>
        </w:trPr>
        <w:tc>
          <w:tcPr>
            <w:tcW w:w="4620" w:type="dxa"/>
            <w:vAlign w:val="bottom"/>
          </w:tcPr>
          <w:p>
            <w:pPr>
              <w:ind w:left="160"/>
              <w:spacing w:after="0"/>
              <w:rPr>
                <w:sz w:val="20"/>
                <w:szCs w:val="20"/>
                <w:color w:val="auto"/>
              </w:rPr>
            </w:pPr>
            <w:r>
              <w:rPr>
                <w:rFonts w:ascii="Courier New" w:cs="Courier New" w:eastAsia="Courier New" w:hAnsi="Courier New"/>
                <w:sz w:val="15"/>
                <w:szCs w:val="15"/>
                <w:color w:val="auto"/>
              </w:rPr>
              <w:t>Banking Corporation</w:t>
            </w:r>
          </w:p>
        </w:tc>
        <w:tc>
          <w:tcPr>
            <w:tcW w:w="2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Royal Bank of Canada</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$1,325,431.03</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$1,741,252.54</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$8,082,530.43</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The Sanwa Bank, Ltd.</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$1,325,431.03</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$1,741,252.54</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$8,082,530.43</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Sumitomo Bank, Limited,</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$1,325,431.03</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$1,741,252.54</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$8,082,530.43</w:t>
            </w:r>
          </w:p>
        </w:tc>
      </w:tr>
      <w:tr>
        <w:trPr>
          <w:trHeight w:val="170"/>
        </w:trPr>
        <w:tc>
          <w:tcPr>
            <w:tcW w:w="4620" w:type="dxa"/>
            <w:vAlign w:val="bottom"/>
          </w:tcPr>
          <w:p>
            <w:pPr>
              <w:ind w:left="160"/>
              <w:spacing w:after="0"/>
              <w:rPr>
                <w:sz w:val="20"/>
                <w:szCs w:val="20"/>
                <w:color w:val="auto"/>
              </w:rPr>
            </w:pPr>
            <w:r>
              <w:rPr>
                <w:rFonts w:ascii="Courier New" w:cs="Courier New" w:eastAsia="Courier New" w:hAnsi="Courier New"/>
                <w:sz w:val="15"/>
                <w:szCs w:val="15"/>
                <w:color w:val="auto"/>
              </w:rPr>
              <w:t>New York Branch</w:t>
            </w:r>
          </w:p>
        </w:tc>
        <w:tc>
          <w:tcPr>
            <w:tcW w:w="2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Union Bank of Switzerland</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$1,325,431.03</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$1,741,252.54</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$8,082,530.43</w:t>
            </w:r>
          </w:p>
        </w:tc>
      </w:tr>
      <w:tr>
        <w:trPr>
          <w:trHeight w:val="339"/>
        </w:trPr>
        <w:tc>
          <w:tcPr>
            <w:tcW w:w="4620" w:type="dxa"/>
            <w:vAlign w:val="bottom"/>
          </w:tcPr>
          <w:p>
            <w:pPr>
              <w:spacing w:after="0"/>
              <w:rPr>
                <w:sz w:val="20"/>
                <w:szCs w:val="20"/>
                <w:color w:val="auto"/>
              </w:rPr>
            </w:pPr>
            <w:r>
              <w:rPr>
                <w:rFonts w:ascii="Courier New" w:cs="Courier New" w:eastAsia="Courier New" w:hAnsi="Courier New"/>
                <w:sz w:val="15"/>
                <w:szCs w:val="15"/>
                <w:color w:val="auto"/>
              </w:rPr>
              <w:t>Chemical Bank</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$750,000.00</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$985,294.12</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$4,573,529.40</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Deutsche Bank AG</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$750,000.00</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$985,294.12</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$4,573,529.40</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The Sakura Bank Limited</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$562,500.00</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$738,970.59</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$3,430,147.06</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Compagnie Financiere de</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$375,000.00</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$492,647.06</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$2,286,764.71</w:t>
            </w:r>
          </w:p>
        </w:tc>
      </w:tr>
      <w:tr>
        <w:trPr>
          <w:trHeight w:val="170"/>
        </w:trPr>
        <w:tc>
          <w:tcPr>
            <w:tcW w:w="4620" w:type="dxa"/>
            <w:vAlign w:val="bottom"/>
          </w:tcPr>
          <w:p>
            <w:pPr>
              <w:ind w:left="160"/>
              <w:spacing w:after="0"/>
              <w:rPr>
                <w:sz w:val="20"/>
                <w:szCs w:val="20"/>
                <w:color w:val="auto"/>
              </w:rPr>
            </w:pPr>
            <w:r>
              <w:rPr>
                <w:rFonts w:ascii="Courier New" w:cs="Courier New" w:eastAsia="Courier New" w:hAnsi="Courier New"/>
                <w:sz w:val="15"/>
                <w:szCs w:val="15"/>
                <w:color w:val="auto"/>
              </w:rPr>
              <w:t>CIC et de L'Union Europeenne,</w:t>
            </w:r>
          </w:p>
        </w:tc>
        <w:tc>
          <w:tcPr>
            <w:tcW w:w="2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4620" w:type="dxa"/>
            <w:vAlign w:val="bottom"/>
          </w:tcPr>
          <w:p>
            <w:pPr>
              <w:ind w:left="160"/>
              <w:spacing w:after="0"/>
              <w:rPr>
                <w:sz w:val="20"/>
                <w:szCs w:val="20"/>
                <w:color w:val="auto"/>
              </w:rPr>
            </w:pPr>
            <w:r>
              <w:rPr>
                <w:rFonts w:ascii="Courier New" w:cs="Courier New" w:eastAsia="Courier New" w:hAnsi="Courier New"/>
                <w:sz w:val="15"/>
                <w:szCs w:val="15"/>
                <w:color w:val="auto"/>
              </w:rPr>
              <w:t>New York Branch</w:t>
            </w:r>
          </w:p>
        </w:tc>
        <w:tc>
          <w:tcPr>
            <w:tcW w:w="2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PNC Bank N.A.</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$375,000.00</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$492,647.06</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$2,286,764.71</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First Interstate Bank of Washington, N.A.</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$187,500.00</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$246,323.53</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$1,143,382.35</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Gulf International Bank</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$187,500.00</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$246,323.53</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$1,143,382.35</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The Tokai Bank, Limited,</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$187,500.00</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$246,323.53</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$1,143,382.35</w:t>
            </w:r>
          </w:p>
        </w:tc>
      </w:tr>
      <w:tr>
        <w:trPr>
          <w:trHeight w:val="170"/>
        </w:trPr>
        <w:tc>
          <w:tcPr>
            <w:tcW w:w="4620" w:type="dxa"/>
            <w:vAlign w:val="bottom"/>
          </w:tcPr>
          <w:p>
            <w:pPr>
              <w:ind w:left="160"/>
              <w:spacing w:after="0"/>
              <w:rPr>
                <w:sz w:val="20"/>
                <w:szCs w:val="20"/>
                <w:color w:val="auto"/>
              </w:rPr>
            </w:pPr>
            <w:r>
              <w:rPr>
                <w:rFonts w:ascii="Courier New" w:cs="Courier New" w:eastAsia="Courier New" w:hAnsi="Courier New"/>
                <w:sz w:val="15"/>
                <w:szCs w:val="15"/>
                <w:color w:val="auto"/>
              </w:rPr>
              <w:t>New York Branch</w:t>
            </w:r>
          </w:p>
        </w:tc>
        <w:tc>
          <w:tcPr>
            <w:tcW w:w="2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The Yasuda Trust and Banking</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$187,500.00</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$246,323.53</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$1,143,382.35</w:t>
            </w:r>
          </w:p>
        </w:tc>
      </w:tr>
      <w:tr>
        <w:trPr>
          <w:trHeight w:val="170"/>
        </w:trPr>
        <w:tc>
          <w:tcPr>
            <w:tcW w:w="4620" w:type="dxa"/>
            <w:vAlign w:val="bottom"/>
          </w:tcPr>
          <w:p>
            <w:pPr>
              <w:ind w:left="160"/>
              <w:spacing w:after="0"/>
              <w:rPr>
                <w:sz w:val="20"/>
                <w:szCs w:val="20"/>
                <w:color w:val="auto"/>
              </w:rPr>
            </w:pPr>
            <w:r>
              <w:rPr>
                <w:rFonts w:ascii="Courier New" w:cs="Courier New" w:eastAsia="Courier New" w:hAnsi="Courier New"/>
                <w:sz w:val="15"/>
                <w:szCs w:val="15"/>
                <w:color w:val="auto"/>
              </w:rPr>
              <w:t>Co., Ltd., New York Branch</w:t>
            </w:r>
          </w:p>
        </w:tc>
        <w:tc>
          <w:tcPr>
            <w:tcW w:w="2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9"/>
        </w:trPr>
        <w:tc>
          <w:tcPr>
            <w:tcW w:w="4620" w:type="dxa"/>
            <w:vAlign w:val="bottom"/>
          </w:tcPr>
          <w:p>
            <w:pPr>
              <w:spacing w:after="0"/>
              <w:rPr>
                <w:sz w:val="24"/>
                <w:szCs w:val="24"/>
                <w:color w:val="auto"/>
              </w:rPr>
            </w:pP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$51,000,000.00</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$67,000,000.00</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$311,000,000.00</w:t>
            </w:r>
          </w:p>
        </w:tc>
      </w:tr>
    </w:tbl>
    <w:p>
      <w:pPr>
        <w:sectPr>
          <w:pgSz w:w="11900" w:h="16838" w:orient="portrait"/>
          <w:cols w:equalWidth="0" w:num="1">
            <w:col w:w="10480"/>
          </w:cols>
          <w:pgMar w:left="240" w:top="961" w:right="1179" w:bottom="1440" w:gutter="0" w:footer="0" w:header="0"/>
        </w:sectPr>
      </w:pPr>
    </w:p>
    <w:bookmarkStart w:id="135" w:name="page136"/>
    <w:bookmarkEnd w:id="135"/>
    <w:p>
      <w:pPr>
        <w:ind w:left="2900"/>
        <w:spacing w:after="0"/>
        <w:rPr>
          <w:sz w:val="20"/>
          <w:szCs w:val="20"/>
          <w:color w:val="auto"/>
        </w:rPr>
      </w:pPr>
      <w:r>
        <w:rPr>
          <w:rFonts w:ascii="Courier New" w:cs="Courier New" w:eastAsia="Courier New" w:hAnsi="Courier New"/>
          <w:sz w:val="15"/>
          <w:szCs w:val="15"/>
          <w:color w:val="auto"/>
        </w:rPr>
        <w:t>AMENDMENT NO. 2</w:t>
      </w:r>
    </w:p>
    <w:p>
      <w:pPr>
        <w:spacing w:after="0" w:line="175" w:lineRule="exact"/>
        <w:rPr>
          <w:sz w:val="20"/>
          <w:szCs w:val="20"/>
          <w:color w:val="auto"/>
        </w:rPr>
      </w:pPr>
    </w:p>
    <w:p>
      <w:pPr>
        <w:ind w:right="3179" w:firstLine="970"/>
        <w:spacing w:after="0" w:line="238" w:lineRule="auto"/>
        <w:rPr>
          <w:sz w:val="20"/>
          <w:szCs w:val="20"/>
          <w:color w:val="auto"/>
        </w:rPr>
      </w:pPr>
      <w:r>
        <w:rPr>
          <w:rFonts w:ascii="Courier New" w:cs="Courier New" w:eastAsia="Courier New" w:hAnsi="Courier New"/>
          <w:sz w:val="15"/>
          <w:szCs w:val="15"/>
          <w:color w:val="auto"/>
        </w:rPr>
        <w:t>AMENDMENT NO. 2, dated as of September 29, 1994 ("Amendment No. 2"), to the $6.489 Billion Credit Agreement, dated as of July 1, 1994, as amended as of August 5, 1994 by Amendment No. 1, (the "Credit Agreement") among VIACOM INC., a Delaware corporation ("Viacom"), each of the several Banks parties thereto, THE BANK OF NEW YORK, as a Managing Agent and as the Documentation Agent, CITIBANK, N.A., as a Managing Agent and as the Administrative Agent, MORGAN GUARANTY TRUST COMPANY OF NEW YORK, as a Managing Agent, JP MORGAN SECURITIES INC., as the Syndication Agent, BANK OF AMERICA NT&amp;SA, as a Managing Agent, the Banks identified as Agents on the signature pages thereof, as Agents, and the Banks identified as Co-Agents on the signature pages thereof, as Co-Agents.</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W I T N E S S E T H:</w:t>
      </w:r>
    </w:p>
    <w:p>
      <w:pPr>
        <w:spacing w:after="0" w:line="175" w:lineRule="exact"/>
        <w:rPr>
          <w:sz w:val="20"/>
          <w:szCs w:val="20"/>
          <w:color w:val="auto"/>
        </w:rPr>
      </w:pPr>
    </w:p>
    <w:p>
      <w:pPr>
        <w:ind w:right="3259" w:firstLine="970"/>
        <w:spacing w:after="0" w:line="257" w:lineRule="auto"/>
        <w:rPr>
          <w:sz w:val="20"/>
          <w:szCs w:val="20"/>
          <w:color w:val="auto"/>
        </w:rPr>
      </w:pPr>
      <w:r>
        <w:rPr>
          <w:rFonts w:ascii="Courier New" w:cs="Courier New" w:eastAsia="Courier New" w:hAnsi="Courier New"/>
          <w:sz w:val="14"/>
          <w:szCs w:val="14"/>
          <w:color w:val="auto"/>
        </w:rPr>
        <w:t>WHEREAS, Viacom, each of the several Banks identified on the signature pages thereof, THE BANK OF NEW YORK, as a Managing Agent and as the Documentation Agent, CITIBANK, N.A., as a Managing Agent and as the Administrative Agent, MORGAN GUARANTY TRUST COMPANY OF NEW YORK, as a Managing Agent, JP MORGAN SECURITIES INC., as the Syndication Agent, BANK OF AMERICA NT&amp;SA, as a Managing Agent and the Banks identified as Agents on the signature pages thereof as Agents are entering into a $1.8 Billion Credit Agreement dated as of September 29, 1994 (the "$1.8 Billion Credit Agreement") in order to provide senior debt for, among other things, the refinancing by Viacom of certain existing indebtedness of Blockbuster Entertainment Corporation, a Delaware Corporation and for general corporate purposes; and</w:t>
      </w:r>
    </w:p>
    <w:p>
      <w:pPr>
        <w:spacing w:after="0" w:line="166" w:lineRule="exact"/>
        <w:rPr>
          <w:sz w:val="20"/>
          <w:szCs w:val="20"/>
          <w:color w:val="auto"/>
        </w:rPr>
      </w:pPr>
    </w:p>
    <w:p>
      <w:pPr>
        <w:ind w:right="3619" w:firstLine="970"/>
        <w:spacing w:after="0" w:line="265" w:lineRule="auto"/>
        <w:rPr>
          <w:sz w:val="20"/>
          <w:szCs w:val="20"/>
          <w:color w:val="auto"/>
        </w:rPr>
      </w:pPr>
      <w:r>
        <w:rPr>
          <w:rFonts w:ascii="Courier New" w:cs="Courier New" w:eastAsia="Courier New" w:hAnsi="Courier New"/>
          <w:sz w:val="14"/>
          <w:szCs w:val="14"/>
          <w:color w:val="auto"/>
        </w:rPr>
        <w:t>WHEREAS, the parties who have heretofore entered into the Credit Agreement now desire to amend certain provisions of such Agreement.</w:t>
      </w:r>
    </w:p>
    <w:p>
      <w:pPr>
        <w:spacing w:after="0" w:line="153"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NOW, THEREFORE, the parties hereto agree as follows:</w:t>
      </w:r>
    </w:p>
    <w:p>
      <w:pPr>
        <w:sectPr>
          <w:pgSz w:w="11900" w:h="16838" w:orient="portrait"/>
          <w:cols w:equalWidth="0" w:num="1">
            <w:col w:w="10219"/>
          </w:cols>
          <w:pgMar w:left="240" w:top="622" w:right="1440" w:bottom="1440" w:gutter="0" w:footer="0" w:header="0"/>
        </w:sectPr>
      </w:pPr>
    </w:p>
    <w:bookmarkStart w:id="136" w:name="page137"/>
    <w:bookmarkEnd w:id="136"/>
    <w:p>
      <w:pPr>
        <w:ind w:right="3259" w:firstLine="970"/>
        <w:spacing w:after="0" w:line="235" w:lineRule="auto"/>
        <w:rPr>
          <w:sz w:val="20"/>
          <w:szCs w:val="20"/>
          <w:color w:val="auto"/>
        </w:rPr>
      </w:pPr>
      <w:r>
        <w:rPr>
          <w:rFonts w:ascii="Courier New" w:cs="Courier New" w:eastAsia="Courier New" w:hAnsi="Courier New"/>
          <w:sz w:val="15"/>
          <w:szCs w:val="15"/>
          <w:color w:val="auto"/>
        </w:rPr>
        <w:t>SECTION 1. Amendments. (a) The definition of EBIDT in Section 1.1 of the Credit Agreement is hereby amended by:</w:t>
      </w:r>
    </w:p>
    <w:p>
      <w:pPr>
        <w:spacing w:after="0" w:line="176" w:lineRule="exact"/>
        <w:rPr>
          <w:sz w:val="20"/>
          <w:szCs w:val="20"/>
          <w:color w:val="auto"/>
        </w:rPr>
      </w:pPr>
    </w:p>
    <w:p>
      <w:pPr>
        <w:ind w:left="1320" w:hanging="360"/>
        <w:spacing w:after="0"/>
        <w:tabs>
          <w:tab w:leader="none" w:pos="13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adding the following clause after the word `Merger' at the end of</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clause (a)(iv):</w:t>
      </w:r>
    </w:p>
    <w:p>
      <w:pPr>
        <w:spacing w:after="0" w:line="174" w:lineRule="exact"/>
        <w:rPr>
          <w:sz w:val="20"/>
          <w:szCs w:val="20"/>
          <w:color w:val="auto"/>
        </w:rPr>
      </w:pPr>
    </w:p>
    <w:p>
      <w:pPr>
        <w:ind w:left="960" w:right="3259"/>
        <w:spacing w:after="0" w:line="235" w:lineRule="auto"/>
        <w:rPr>
          <w:sz w:val="20"/>
          <w:szCs w:val="20"/>
          <w:color w:val="auto"/>
        </w:rPr>
      </w:pPr>
      <w:r>
        <w:rPr>
          <w:rFonts w:ascii="Courier New" w:cs="Courier New" w:eastAsia="Courier New" w:hAnsi="Courier New"/>
          <w:sz w:val="15"/>
          <w:szCs w:val="15"/>
          <w:color w:val="auto"/>
        </w:rPr>
        <w:t>"or the "Merger" (as defined in the $1.8 Billion Credit Agreement)", and</w:t>
      </w:r>
    </w:p>
    <w:p>
      <w:pPr>
        <w:spacing w:after="0" w:line="176" w:lineRule="exact"/>
        <w:rPr>
          <w:sz w:val="20"/>
          <w:szCs w:val="20"/>
          <w:color w:val="auto"/>
        </w:rPr>
      </w:pPr>
    </w:p>
    <w:p>
      <w:pPr>
        <w:ind w:right="3359" w:firstLine="960"/>
        <w:spacing w:after="0" w:line="235" w:lineRule="auto"/>
        <w:tabs>
          <w:tab w:leader="none" w:pos="141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adding the following clause after the word "definition" at the end of clause (b):</w:t>
      </w:r>
    </w:p>
    <w:p>
      <w:pPr>
        <w:spacing w:after="0" w:line="170"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"less (c) Net Video Tape Purchases".</w:t>
      </w:r>
    </w:p>
    <w:p>
      <w:pPr>
        <w:spacing w:after="0" w:line="175" w:lineRule="exact"/>
        <w:rPr>
          <w:sz w:val="20"/>
          <w:szCs w:val="20"/>
          <w:color w:val="auto"/>
        </w:rPr>
      </w:pPr>
    </w:p>
    <w:p>
      <w:pPr>
        <w:ind w:right="3179" w:firstLine="960"/>
        <w:spacing w:after="0" w:line="237" w:lineRule="auto"/>
        <w:tabs>
          <w:tab w:leader="none" w:pos="1322"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definition of "Indebtedness" is hereby amended to (i) replace Schedule 1.1 referred to therein with Schedule 1.1(a) to this Amendment No. 2, and (ii) to delete the words "the date hereof" appearing after the phrase "in existence at" in clause (b) of the proviso to clause (vi) thereof, and to replace such words with "September 29, 1994".</w:t>
      </w:r>
    </w:p>
    <w:p>
      <w:pPr>
        <w:spacing w:after="0" w:line="178" w:lineRule="exact"/>
        <w:rPr>
          <w:rFonts w:ascii="Courier New" w:cs="Courier New" w:eastAsia="Courier New" w:hAnsi="Courier New"/>
          <w:sz w:val="15"/>
          <w:szCs w:val="15"/>
          <w:color w:val="auto"/>
        </w:rPr>
      </w:pPr>
    </w:p>
    <w:p>
      <w:pPr>
        <w:ind w:right="3359" w:firstLine="960"/>
        <w:spacing w:after="0" w:line="235" w:lineRule="auto"/>
        <w:tabs>
          <w:tab w:leader="none" w:pos="1322"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1.1 of the Credit Agreement is hereby amended to insert the following definitions:</w:t>
      </w:r>
    </w:p>
    <w:p>
      <w:pPr>
        <w:spacing w:after="0" w:line="176" w:lineRule="exact"/>
        <w:rPr>
          <w:sz w:val="20"/>
          <w:szCs w:val="20"/>
          <w:color w:val="auto"/>
        </w:rPr>
      </w:pPr>
    </w:p>
    <w:p>
      <w:pPr>
        <w:ind w:left="960" w:right="3879"/>
        <w:spacing w:after="0" w:line="235" w:lineRule="auto"/>
        <w:rPr>
          <w:sz w:val="20"/>
          <w:szCs w:val="20"/>
          <w:color w:val="auto"/>
        </w:rPr>
      </w:pPr>
      <w:r>
        <w:rPr>
          <w:rFonts w:ascii="Courier New" w:cs="Courier New" w:eastAsia="Courier New" w:hAnsi="Courier New"/>
          <w:sz w:val="15"/>
          <w:szCs w:val="15"/>
          <w:color w:val="auto"/>
        </w:rPr>
        <w:t>"`Blockbuster' means Blockbuster Entertainment Corporation, a Delaware corporation."</w:t>
      </w:r>
    </w:p>
    <w:p>
      <w:pPr>
        <w:spacing w:after="0" w:line="176" w:lineRule="exact"/>
        <w:rPr>
          <w:sz w:val="20"/>
          <w:szCs w:val="20"/>
          <w:color w:val="auto"/>
        </w:rPr>
      </w:pPr>
    </w:p>
    <w:p>
      <w:pPr>
        <w:ind w:left="960" w:right="3179"/>
        <w:spacing w:after="0" w:line="238" w:lineRule="auto"/>
        <w:rPr>
          <w:sz w:val="20"/>
          <w:szCs w:val="20"/>
          <w:color w:val="auto"/>
        </w:rPr>
      </w:pPr>
      <w:r>
        <w:rPr>
          <w:rFonts w:ascii="Courier New" w:cs="Courier New" w:eastAsia="Courier New" w:hAnsi="Courier New"/>
          <w:sz w:val="15"/>
          <w:szCs w:val="15"/>
          <w:color w:val="auto"/>
        </w:rPr>
        <w:t>"'$1.8 Billion Credit Agreement' means the Credit Agreement, dated as of September 29, 1994 among the Borrower, each of the several banks identified on the signature pages thereof, THE BANK OF NEW YORK, as a Managing Agent and as Documentation Agent, CITIBANK, N.A., as a Managing Agent and as the Documentation Agent, MORGAN GUARANTY TRUST COMPANY OF NEW YORK, as a Managing Agent, JP MORGAN SECURITIES INC., as the Syndication Agent, BANK OF AMERICA NT&amp;SA, as a Managing Agent and the banks identified as Agents on the signature pages thereof as Agents."</w:t>
      </w:r>
    </w:p>
    <w:p>
      <w:pPr>
        <w:spacing w:after="0" w:line="179" w:lineRule="exact"/>
        <w:rPr>
          <w:sz w:val="20"/>
          <w:szCs w:val="20"/>
          <w:color w:val="auto"/>
        </w:rPr>
      </w:pPr>
    </w:p>
    <w:p>
      <w:pPr>
        <w:ind w:left="960" w:right="3439"/>
        <w:spacing w:after="0" w:line="260" w:lineRule="auto"/>
        <w:rPr>
          <w:sz w:val="20"/>
          <w:szCs w:val="20"/>
          <w:color w:val="auto"/>
        </w:rPr>
      </w:pPr>
      <w:r>
        <w:rPr>
          <w:rFonts w:ascii="Courier New" w:cs="Courier New" w:eastAsia="Courier New" w:hAnsi="Courier New"/>
          <w:sz w:val="14"/>
          <w:szCs w:val="14"/>
          <w:color w:val="auto"/>
        </w:rPr>
        <w:t>"`Net Video Tape Purchases' means the aggregate purchases of videocassettes less (i) purchases to stock new or remodeled stores and (ii) videocassette sales of previously viewed videocassettes."</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7" w:right="1440" w:bottom="1440" w:gutter="0" w:footer="0" w:header="0"/>
        </w:sectPr>
      </w:pPr>
    </w:p>
    <w:bookmarkStart w:id="137" w:name="page138"/>
    <w:bookmarkEnd w:id="137"/>
    <w:p>
      <w:pPr>
        <w:ind w:right="3359"/>
        <w:spacing w:after="0" w:line="235" w:lineRule="auto"/>
        <w:rPr>
          <w:sz w:val="20"/>
          <w:szCs w:val="20"/>
          <w:color w:val="auto"/>
        </w:rPr>
      </w:pPr>
      <w:r>
        <w:rPr>
          <w:rFonts w:ascii="Courier New" w:cs="Courier New" w:eastAsia="Courier New" w:hAnsi="Courier New"/>
          <w:sz w:val="15"/>
          <w:szCs w:val="15"/>
          <w:color w:val="auto"/>
        </w:rPr>
        <w:t>"'6.625% Blockbuster Senior Notes' means Blockbuster's $150,000,000 senior notes due February 15, 1998."</w:t>
      </w:r>
    </w:p>
    <w:p>
      <w:pPr>
        <w:spacing w:after="0" w:line="176" w:lineRule="exact"/>
        <w:rPr>
          <w:sz w:val="20"/>
          <w:szCs w:val="20"/>
          <w:color w:val="auto"/>
        </w:rPr>
      </w:pPr>
    </w:p>
    <w:p>
      <w:pPr>
        <w:jc w:val="both"/>
        <w:ind w:left="-960" w:right="3259" w:firstLine="960"/>
        <w:spacing w:after="0" w:line="237" w:lineRule="auto"/>
        <w:tabs>
          <w:tab w:leader="none" w:pos="362"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2.3(b) of the Credit Agreement is hereby amended by: (i) deleting "and" at the end of Section 2.3(b)(x); (ii) deleting "." at the end of Section 2.3(b)(y), and (iii) adding the following:</w:t>
      </w:r>
    </w:p>
    <w:p>
      <w:pPr>
        <w:spacing w:after="0" w:line="17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 and (z) no such reduction shall be required in respect of funds borrowed under the $1.8 Billion Credit Agreement."</w:t>
      </w:r>
    </w:p>
    <w:p>
      <w:pPr>
        <w:spacing w:after="0" w:line="176" w:lineRule="exact"/>
        <w:rPr>
          <w:sz w:val="20"/>
          <w:szCs w:val="20"/>
          <w:color w:val="auto"/>
        </w:rPr>
      </w:pPr>
    </w:p>
    <w:p>
      <w:pPr>
        <w:ind w:left="-960" w:right="3179" w:firstLine="960"/>
        <w:spacing w:after="0" w:line="235" w:lineRule="auto"/>
        <w:tabs>
          <w:tab w:leader="none" w:pos="362"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7.4 of the Credit Agreement is hereby amended by deleting it in its entirety and replacing it with the following:</w:t>
      </w:r>
    </w:p>
    <w:p>
      <w:pPr>
        <w:spacing w:after="0" w:line="176" w:lineRule="exact"/>
        <w:rPr>
          <w:sz w:val="20"/>
          <w:szCs w:val="20"/>
          <w:color w:val="auto"/>
        </w:rPr>
      </w:pPr>
    </w:p>
    <w:p>
      <w:pPr>
        <w:ind w:right="3179" w:firstLine="881"/>
        <w:spacing w:after="0" w:line="238" w:lineRule="auto"/>
        <w:rPr>
          <w:sz w:val="20"/>
          <w:szCs w:val="20"/>
          <w:color w:val="auto"/>
        </w:rPr>
      </w:pPr>
      <w:r>
        <w:rPr>
          <w:rFonts w:ascii="Courier New" w:cs="Courier New" w:eastAsia="Courier New" w:hAnsi="Courier New"/>
          <w:sz w:val="15"/>
          <w:szCs w:val="15"/>
          <w:color w:val="auto"/>
        </w:rPr>
        <w:t>"7.4. Financial Information. (a) The reports of the Borrower on Form 10-K for the Fiscal year ended December 31, 1993 as amended by Amendment No. 1 on Form 10-K/A dated May 2, 1994 and on Form 10-Q for the Fiscal Quarter ended June 30, 1994 are respectively complete and correct in all material respects as of such respective dates, and the financial statements therein have been prepared in accordance with GAAP and fairly present the financial condition and results of operations of the Borrower and its consolidated Subsidiaries as of such respective dates (subject, in the case of such reports on Form 10-Q, to changes resulting from normal year-end adjustments).</w:t>
      </w:r>
    </w:p>
    <w:p>
      <w:pPr>
        <w:spacing w:after="0" w:line="181" w:lineRule="exact"/>
        <w:rPr>
          <w:sz w:val="20"/>
          <w:szCs w:val="20"/>
          <w:color w:val="auto"/>
        </w:rPr>
      </w:pPr>
    </w:p>
    <w:p>
      <w:pPr>
        <w:ind w:right="3799" w:firstLine="970"/>
        <w:spacing w:after="0" w:line="235" w:lineRule="auto"/>
        <w:tabs>
          <w:tab w:leader="none" w:pos="1322" w:val="left"/>
        </w:tabs>
        <w:numPr>
          <w:ilvl w:val="2"/>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June 30, 1994, there has been no Material Adverse Change or Material Credit Agreement Change.</w:t>
      </w:r>
    </w:p>
    <w:p>
      <w:pPr>
        <w:spacing w:after="0" w:line="175" w:lineRule="exact"/>
        <w:rPr>
          <w:rFonts w:ascii="Courier New" w:cs="Courier New" w:eastAsia="Courier New" w:hAnsi="Courier New"/>
          <w:sz w:val="15"/>
          <w:szCs w:val="15"/>
          <w:color w:val="auto"/>
        </w:rPr>
      </w:pPr>
    </w:p>
    <w:p>
      <w:pPr>
        <w:ind w:right="3259" w:firstLine="881"/>
        <w:spacing w:after="0" w:line="238" w:lineRule="auto"/>
        <w:tabs>
          <w:tab w:leader="none" w:pos="1234"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Borrower or any Subsidiary of the Borrower had at June 30, 1994 any obligation, contingent liability, or liability for taxes or long-term leases material to the Borrower and its Subsidiaries taken as a whole which is not reflected in the balance sheets referred to in subsection (a) above or in the notes thereto."</w:t>
      </w:r>
    </w:p>
    <w:p>
      <w:pPr>
        <w:spacing w:after="0" w:line="175" w:lineRule="exact"/>
        <w:rPr>
          <w:rFonts w:ascii="Courier New" w:cs="Courier New" w:eastAsia="Courier New" w:hAnsi="Courier New"/>
          <w:sz w:val="15"/>
          <w:szCs w:val="15"/>
          <w:color w:val="auto"/>
        </w:rPr>
      </w:pPr>
    </w:p>
    <w:p>
      <w:pPr>
        <w:ind w:left="-960" w:right="3359" w:firstLine="960"/>
        <w:spacing w:after="0" w:line="237" w:lineRule="auto"/>
        <w:tabs>
          <w:tab w:leader="none" w:pos="362"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7.15 of the Credit Agreement is hereby amended by inserting the words "and Blockbuster and its Subsidiaries" after the reference therein to "the Borrower and its Subsidiaries."</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259"/>
          </w:cols>
          <w:pgMar w:left="1200" w:top="627" w:right="1440" w:bottom="1440" w:gutter="0" w:footer="0" w:header="0"/>
        </w:sectPr>
      </w:pPr>
    </w:p>
    <w:bookmarkStart w:id="138" w:name="page139"/>
    <w:bookmarkEnd w:id="138"/>
    <w:p>
      <w:pPr>
        <w:ind w:right="3879" w:firstLine="960"/>
        <w:spacing w:after="0" w:line="235" w:lineRule="auto"/>
        <w:tabs>
          <w:tab w:leader="none" w:pos="1322"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 VIII of the Credit Agreement is hereby amended by deleting it in its entirety and replacing it with the following:</w:t>
      </w:r>
    </w:p>
    <w:p>
      <w:pPr>
        <w:spacing w:after="0" w:line="170"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"ARTICLE VIII</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Financial Covenants</w:t>
      </w:r>
    </w:p>
    <w:p>
      <w:pPr>
        <w:spacing w:after="0" w:line="175" w:lineRule="exact"/>
        <w:rPr>
          <w:sz w:val="20"/>
          <w:szCs w:val="20"/>
          <w:color w:val="auto"/>
        </w:rPr>
      </w:pPr>
    </w:p>
    <w:p>
      <w:pPr>
        <w:ind w:right="3179" w:firstLine="970"/>
        <w:spacing w:after="0" w:line="237" w:lineRule="auto"/>
        <w:rPr>
          <w:sz w:val="20"/>
          <w:szCs w:val="20"/>
          <w:color w:val="auto"/>
        </w:rPr>
      </w:pPr>
      <w:r>
        <w:rPr>
          <w:rFonts w:ascii="Courier New" w:cs="Courier New" w:eastAsia="Courier New" w:hAnsi="Courier New"/>
          <w:sz w:val="15"/>
          <w:szCs w:val="15"/>
          <w:color w:val="auto"/>
        </w:rPr>
        <w:t>As long as any of the Loans shall remain unpaid or any Bank shall have any Commitment hereunder, unless otherwise agreed by the written consent of the Majority Banks:</w:t>
      </w:r>
    </w:p>
    <w:p>
      <w:pPr>
        <w:spacing w:after="0" w:line="175" w:lineRule="exact"/>
        <w:rPr>
          <w:sz w:val="20"/>
          <w:szCs w:val="20"/>
          <w:color w:val="auto"/>
        </w:rPr>
      </w:pPr>
    </w:p>
    <w:p>
      <w:pPr>
        <w:jc w:val="both"/>
        <w:ind w:right="3619" w:firstLine="970"/>
        <w:spacing w:after="0" w:line="237" w:lineRule="auto"/>
        <w:rPr>
          <w:sz w:val="20"/>
          <w:szCs w:val="20"/>
          <w:color w:val="auto"/>
        </w:rPr>
      </w:pPr>
      <w:r>
        <w:rPr>
          <w:rFonts w:ascii="Courier New" w:cs="Courier New" w:eastAsia="Courier New" w:hAnsi="Courier New"/>
          <w:sz w:val="15"/>
          <w:szCs w:val="15"/>
          <w:color w:val="auto"/>
        </w:rPr>
        <w:t>8.1 Total Leverage RatioTotal Leverage Ratio. The Total Leverage Ratio shall not exceed, as of the last day of any Fiscal Quarter described below, the amount specified with respect to such period:</w:t>
      </w:r>
    </w:p>
    <w:p>
      <w:pPr>
        <w:spacing w:after="0" w:line="169"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128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2120" w:type="dxa"/>
            <w:vAlign w:val="bottom"/>
          </w:tcPr>
          <w:p>
            <w:pPr>
              <w:spacing w:after="0"/>
              <w:rPr>
                <w:sz w:val="14"/>
                <w:szCs w:val="14"/>
                <w:color w:val="auto"/>
              </w:rPr>
            </w:pPr>
          </w:p>
        </w:tc>
        <w:tc>
          <w:tcPr>
            <w:tcW w:w="1900" w:type="dxa"/>
            <w:vAlign w:val="bottom"/>
          </w:tcPr>
          <w:p>
            <w:pPr>
              <w:ind w:left="1460"/>
              <w:spacing w:after="0"/>
              <w:rPr>
                <w:sz w:val="20"/>
                <w:szCs w:val="20"/>
                <w:color w:val="auto"/>
              </w:rPr>
            </w:pPr>
            <w:r>
              <w:rPr>
                <w:rFonts w:ascii="Courier New" w:cs="Courier New" w:eastAsia="Courier New" w:hAnsi="Courier New"/>
                <w:sz w:val="15"/>
                <w:szCs w:val="15"/>
                <w:color w:val="auto"/>
                <w:w w:val="93"/>
              </w:rPr>
              <w:t>Ratio</w:t>
            </w:r>
          </w:p>
        </w:tc>
      </w:tr>
      <w:tr>
        <w:trPr>
          <w:trHeight w:val="170"/>
        </w:trPr>
        <w:tc>
          <w:tcPr>
            <w:tcW w:w="12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spacing w:after="0"/>
              <w:rPr>
                <w:sz w:val="14"/>
                <w:szCs w:val="14"/>
                <w:color w:val="auto"/>
              </w:rPr>
            </w:pPr>
          </w:p>
        </w:tc>
        <w:tc>
          <w:tcPr>
            <w:tcW w:w="1900" w:type="dxa"/>
            <w:vAlign w:val="bottom"/>
          </w:tcPr>
          <w:p>
            <w:pPr>
              <w:ind w:left="1460"/>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3400" w:type="dxa"/>
            <w:vAlign w:val="bottom"/>
            <w:gridSpan w:val="2"/>
          </w:tcPr>
          <w:p>
            <w:pPr>
              <w:spacing w:after="0"/>
              <w:rPr>
                <w:sz w:val="20"/>
                <w:szCs w:val="20"/>
                <w:color w:val="auto"/>
              </w:rPr>
            </w:pPr>
            <w:r>
              <w:rPr>
                <w:rFonts w:ascii="Courier New" w:cs="Courier New" w:eastAsia="Courier New" w:hAnsi="Courier New"/>
                <w:sz w:val="15"/>
                <w:szCs w:val="15"/>
                <w:color w:val="auto"/>
              </w:rPr>
              <w:t>September 30, 1994</w:t>
            </w:r>
          </w:p>
        </w:tc>
        <w:tc>
          <w:tcPr>
            <w:tcW w:w="1900" w:type="dxa"/>
            <w:vAlign w:val="bottom"/>
          </w:tcPr>
          <w:p>
            <w:pPr>
              <w:ind w:left="1460"/>
              <w:spacing w:after="0"/>
              <w:rPr>
                <w:sz w:val="20"/>
                <w:szCs w:val="20"/>
                <w:color w:val="auto"/>
              </w:rPr>
            </w:pPr>
            <w:r>
              <w:rPr>
                <w:rFonts w:ascii="Courier New" w:cs="Courier New" w:eastAsia="Courier New" w:hAnsi="Courier New"/>
                <w:sz w:val="15"/>
                <w:szCs w:val="15"/>
                <w:color w:val="auto"/>
                <w:w w:val="93"/>
              </w:rPr>
              <w:t>7.15x</w:t>
            </w:r>
          </w:p>
        </w:tc>
      </w:tr>
      <w:tr>
        <w:trPr>
          <w:trHeight w:val="170"/>
        </w:trPr>
        <w:tc>
          <w:tcPr>
            <w:tcW w:w="3400" w:type="dxa"/>
            <w:vAlign w:val="bottom"/>
            <w:gridSpan w:val="2"/>
          </w:tcPr>
          <w:p>
            <w:pPr>
              <w:spacing w:after="0"/>
              <w:rPr>
                <w:sz w:val="20"/>
                <w:szCs w:val="20"/>
                <w:color w:val="auto"/>
              </w:rPr>
            </w:pPr>
            <w:r>
              <w:rPr>
                <w:rFonts w:ascii="Courier New" w:cs="Courier New" w:eastAsia="Courier New" w:hAnsi="Courier New"/>
                <w:sz w:val="15"/>
                <w:szCs w:val="15"/>
                <w:color w:val="auto"/>
              </w:rPr>
              <w:t>December 31, 1994</w:t>
            </w:r>
          </w:p>
        </w:tc>
        <w:tc>
          <w:tcPr>
            <w:tcW w:w="1900" w:type="dxa"/>
            <w:vAlign w:val="bottom"/>
          </w:tcPr>
          <w:p>
            <w:pPr>
              <w:ind w:left="1460"/>
              <w:spacing w:after="0"/>
              <w:rPr>
                <w:sz w:val="20"/>
                <w:szCs w:val="20"/>
                <w:color w:val="auto"/>
              </w:rPr>
            </w:pPr>
            <w:r>
              <w:rPr>
                <w:rFonts w:ascii="Courier New" w:cs="Courier New" w:eastAsia="Courier New" w:hAnsi="Courier New"/>
                <w:sz w:val="15"/>
                <w:szCs w:val="15"/>
                <w:color w:val="auto"/>
                <w:w w:val="93"/>
              </w:rPr>
              <w:t>6.50x</w:t>
            </w:r>
          </w:p>
        </w:tc>
      </w:tr>
      <w:tr>
        <w:trPr>
          <w:trHeight w:val="170"/>
        </w:trPr>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March 31, 1995</w:t>
            </w:r>
          </w:p>
        </w:tc>
        <w:tc>
          <w:tcPr>
            <w:tcW w:w="2120" w:type="dxa"/>
            <w:vAlign w:val="bottom"/>
          </w:tcPr>
          <w:p>
            <w:pPr>
              <w:ind w:left="40"/>
              <w:spacing w:after="0"/>
              <w:rPr>
                <w:sz w:val="20"/>
                <w:szCs w:val="20"/>
                <w:color w:val="auto"/>
              </w:rPr>
            </w:pPr>
            <w:r>
              <w:rPr>
                <w:rFonts w:ascii="Courier New" w:cs="Courier New" w:eastAsia="Courier New" w:hAnsi="Courier New"/>
                <w:sz w:val="15"/>
                <w:szCs w:val="15"/>
                <w:color w:val="auto"/>
              </w:rPr>
              <w:t>through</w:t>
            </w:r>
          </w:p>
        </w:tc>
        <w:tc>
          <w:tcPr>
            <w:tcW w:w="1900" w:type="dxa"/>
            <w:vAlign w:val="bottom"/>
          </w:tcPr>
          <w:p>
            <w:pPr>
              <w:ind w:left="1460"/>
              <w:spacing w:after="0"/>
              <w:rPr>
                <w:sz w:val="20"/>
                <w:szCs w:val="20"/>
                <w:color w:val="auto"/>
              </w:rPr>
            </w:pPr>
            <w:r>
              <w:rPr>
                <w:rFonts w:ascii="Courier New" w:cs="Courier New" w:eastAsia="Courier New" w:hAnsi="Courier New"/>
                <w:sz w:val="15"/>
                <w:szCs w:val="15"/>
                <w:color w:val="auto"/>
                <w:w w:val="93"/>
              </w:rPr>
              <w:t>6.25x</w:t>
            </w:r>
          </w:p>
        </w:tc>
      </w:tr>
      <w:tr>
        <w:trPr>
          <w:trHeight w:val="170"/>
        </w:trPr>
        <w:tc>
          <w:tcPr>
            <w:tcW w:w="34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September 30, 1995</w:t>
            </w:r>
          </w:p>
        </w:tc>
        <w:tc>
          <w:tcPr>
            <w:tcW w:w="1900" w:type="dxa"/>
            <w:vAlign w:val="bottom"/>
          </w:tcPr>
          <w:p>
            <w:pPr>
              <w:spacing w:after="0"/>
              <w:rPr>
                <w:sz w:val="14"/>
                <w:szCs w:val="14"/>
                <w:color w:val="auto"/>
              </w:rPr>
            </w:pPr>
          </w:p>
        </w:tc>
      </w:tr>
      <w:tr>
        <w:trPr>
          <w:trHeight w:val="170"/>
        </w:trPr>
        <w:tc>
          <w:tcPr>
            <w:tcW w:w="3400" w:type="dxa"/>
            <w:vAlign w:val="bottom"/>
            <w:gridSpan w:val="2"/>
          </w:tcPr>
          <w:p>
            <w:pPr>
              <w:spacing w:after="0"/>
              <w:rPr>
                <w:sz w:val="20"/>
                <w:szCs w:val="20"/>
                <w:color w:val="auto"/>
              </w:rPr>
            </w:pPr>
            <w:r>
              <w:rPr>
                <w:rFonts w:ascii="Courier New" w:cs="Courier New" w:eastAsia="Courier New" w:hAnsi="Courier New"/>
                <w:sz w:val="15"/>
                <w:szCs w:val="15"/>
                <w:color w:val="auto"/>
              </w:rPr>
              <w:t>December 31, 1995</w:t>
            </w:r>
          </w:p>
        </w:tc>
        <w:tc>
          <w:tcPr>
            <w:tcW w:w="1900" w:type="dxa"/>
            <w:vAlign w:val="bottom"/>
          </w:tcPr>
          <w:p>
            <w:pPr>
              <w:ind w:left="1460"/>
              <w:spacing w:after="0"/>
              <w:rPr>
                <w:sz w:val="20"/>
                <w:szCs w:val="20"/>
                <w:color w:val="auto"/>
              </w:rPr>
            </w:pPr>
            <w:r>
              <w:rPr>
                <w:rFonts w:ascii="Courier New" w:cs="Courier New" w:eastAsia="Courier New" w:hAnsi="Courier New"/>
                <w:sz w:val="15"/>
                <w:szCs w:val="15"/>
                <w:color w:val="auto"/>
                <w:w w:val="93"/>
              </w:rPr>
              <w:t>5.75x</w:t>
            </w:r>
          </w:p>
        </w:tc>
      </w:tr>
      <w:tr>
        <w:trPr>
          <w:trHeight w:val="170"/>
        </w:trPr>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March 31, 1996</w:t>
            </w:r>
          </w:p>
        </w:tc>
        <w:tc>
          <w:tcPr>
            <w:tcW w:w="2120" w:type="dxa"/>
            <w:vAlign w:val="bottom"/>
          </w:tcPr>
          <w:p>
            <w:pPr>
              <w:ind w:left="40"/>
              <w:spacing w:after="0"/>
              <w:rPr>
                <w:sz w:val="20"/>
                <w:szCs w:val="20"/>
                <w:color w:val="auto"/>
              </w:rPr>
            </w:pPr>
            <w:r>
              <w:rPr>
                <w:rFonts w:ascii="Courier New" w:cs="Courier New" w:eastAsia="Courier New" w:hAnsi="Courier New"/>
                <w:sz w:val="15"/>
                <w:szCs w:val="15"/>
                <w:color w:val="auto"/>
              </w:rPr>
              <w:t>through</w:t>
            </w:r>
          </w:p>
        </w:tc>
        <w:tc>
          <w:tcPr>
            <w:tcW w:w="1900" w:type="dxa"/>
            <w:vAlign w:val="bottom"/>
          </w:tcPr>
          <w:p>
            <w:pPr>
              <w:ind w:left="1460"/>
              <w:spacing w:after="0"/>
              <w:rPr>
                <w:sz w:val="20"/>
                <w:szCs w:val="20"/>
                <w:color w:val="auto"/>
              </w:rPr>
            </w:pPr>
            <w:r>
              <w:rPr>
                <w:rFonts w:ascii="Courier New" w:cs="Courier New" w:eastAsia="Courier New" w:hAnsi="Courier New"/>
                <w:sz w:val="15"/>
                <w:szCs w:val="15"/>
                <w:color w:val="auto"/>
                <w:w w:val="93"/>
              </w:rPr>
              <w:t>5.25x</w:t>
            </w:r>
          </w:p>
        </w:tc>
      </w:tr>
      <w:tr>
        <w:trPr>
          <w:trHeight w:val="170"/>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w w:val="99"/>
              </w:rPr>
              <w:t>December 31,</w:t>
            </w:r>
          </w:p>
        </w:tc>
        <w:tc>
          <w:tcPr>
            <w:tcW w:w="2120" w:type="dxa"/>
            <w:vAlign w:val="bottom"/>
          </w:tcPr>
          <w:p>
            <w:pPr>
              <w:ind w:left="40"/>
              <w:spacing w:after="0"/>
              <w:rPr>
                <w:sz w:val="20"/>
                <w:szCs w:val="20"/>
                <w:color w:val="auto"/>
              </w:rPr>
            </w:pPr>
            <w:r>
              <w:rPr>
                <w:rFonts w:ascii="Courier New" w:cs="Courier New" w:eastAsia="Courier New" w:hAnsi="Courier New"/>
                <w:sz w:val="15"/>
                <w:szCs w:val="15"/>
                <w:color w:val="auto"/>
              </w:rPr>
              <w:t>1997</w:t>
            </w:r>
          </w:p>
        </w:tc>
        <w:tc>
          <w:tcPr>
            <w:tcW w:w="190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March 31, 1998</w:t>
            </w:r>
          </w:p>
        </w:tc>
        <w:tc>
          <w:tcPr>
            <w:tcW w:w="2120" w:type="dxa"/>
            <w:vAlign w:val="bottom"/>
          </w:tcPr>
          <w:p>
            <w:pPr>
              <w:ind w:left="40"/>
              <w:spacing w:after="0"/>
              <w:rPr>
                <w:sz w:val="20"/>
                <w:szCs w:val="20"/>
                <w:color w:val="auto"/>
              </w:rPr>
            </w:pPr>
            <w:r>
              <w:rPr>
                <w:rFonts w:ascii="Courier New" w:cs="Courier New" w:eastAsia="Courier New" w:hAnsi="Courier New"/>
                <w:sz w:val="15"/>
                <w:szCs w:val="15"/>
                <w:color w:val="auto"/>
              </w:rPr>
              <w:t>through</w:t>
            </w:r>
          </w:p>
        </w:tc>
        <w:tc>
          <w:tcPr>
            <w:tcW w:w="1900" w:type="dxa"/>
            <w:vAlign w:val="bottom"/>
          </w:tcPr>
          <w:p>
            <w:pPr>
              <w:ind w:left="1460"/>
              <w:spacing w:after="0"/>
              <w:rPr>
                <w:sz w:val="20"/>
                <w:szCs w:val="20"/>
                <w:color w:val="auto"/>
              </w:rPr>
            </w:pPr>
            <w:r>
              <w:rPr>
                <w:rFonts w:ascii="Courier New" w:cs="Courier New" w:eastAsia="Courier New" w:hAnsi="Courier New"/>
                <w:sz w:val="15"/>
                <w:szCs w:val="15"/>
                <w:color w:val="auto"/>
                <w:w w:val="93"/>
              </w:rPr>
              <w:t>4.50x</w:t>
            </w:r>
          </w:p>
        </w:tc>
      </w:tr>
      <w:tr>
        <w:trPr>
          <w:trHeight w:val="170"/>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w w:val="99"/>
              </w:rPr>
              <w:t>December 31,</w:t>
            </w:r>
          </w:p>
        </w:tc>
        <w:tc>
          <w:tcPr>
            <w:tcW w:w="212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190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March 31, 1999</w:t>
            </w:r>
          </w:p>
        </w:tc>
        <w:tc>
          <w:tcPr>
            <w:tcW w:w="212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1900" w:type="dxa"/>
            <w:vAlign w:val="bottom"/>
          </w:tcPr>
          <w:p>
            <w:pPr>
              <w:ind w:left="1460"/>
              <w:spacing w:after="0"/>
              <w:rPr>
                <w:sz w:val="20"/>
                <w:szCs w:val="20"/>
                <w:color w:val="auto"/>
              </w:rPr>
            </w:pPr>
            <w:r>
              <w:rPr>
                <w:rFonts w:ascii="Courier New" w:cs="Courier New" w:eastAsia="Courier New" w:hAnsi="Courier New"/>
                <w:sz w:val="15"/>
                <w:szCs w:val="15"/>
                <w:color w:val="auto"/>
                <w:w w:val="93"/>
              </w:rPr>
              <w:t>4.00x</w:t>
            </w:r>
          </w:p>
        </w:tc>
      </w:tr>
      <w:tr>
        <w:trPr>
          <w:trHeight w:val="170"/>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Thereafter</w:t>
            </w:r>
          </w:p>
        </w:tc>
        <w:tc>
          <w:tcPr>
            <w:tcW w:w="2120" w:type="dxa"/>
            <w:vAlign w:val="bottom"/>
          </w:tcPr>
          <w:p>
            <w:pPr>
              <w:spacing w:after="0"/>
              <w:rPr>
                <w:sz w:val="14"/>
                <w:szCs w:val="14"/>
                <w:color w:val="auto"/>
              </w:rPr>
            </w:pPr>
          </w:p>
        </w:tc>
        <w:tc>
          <w:tcPr>
            <w:tcW w:w="1900" w:type="dxa"/>
            <w:vAlign w:val="bottom"/>
          </w:tcPr>
          <w:p>
            <w:pPr>
              <w:spacing w:after="0"/>
              <w:rPr>
                <w:sz w:val="14"/>
                <w:szCs w:val="14"/>
                <w:color w:val="auto"/>
              </w:rPr>
            </w:pPr>
          </w:p>
        </w:tc>
      </w:tr>
    </w:tbl>
    <w:p>
      <w:pPr>
        <w:spacing w:after="0" w:line="175" w:lineRule="exact"/>
        <w:rPr>
          <w:sz w:val="20"/>
          <w:szCs w:val="20"/>
          <w:color w:val="auto"/>
        </w:rPr>
      </w:pPr>
    </w:p>
    <w:p>
      <w:pPr>
        <w:ind w:right="3179" w:firstLine="970"/>
        <w:spacing w:after="0" w:line="258" w:lineRule="auto"/>
        <w:rPr>
          <w:sz w:val="20"/>
          <w:szCs w:val="20"/>
          <w:color w:val="auto"/>
        </w:rPr>
      </w:pPr>
      <w:r>
        <w:rPr>
          <w:rFonts w:ascii="Courier New" w:cs="Courier New" w:eastAsia="Courier New" w:hAnsi="Courier New"/>
          <w:sz w:val="14"/>
          <w:szCs w:val="14"/>
          <w:color w:val="auto"/>
        </w:rPr>
        <w:t>8.2 Ratio of EBIDT to Trailing Total Cash Interest and Preferred DividendsRatio of EBIDT to Trailing Total Cash Interest and Preferred Dividends. The ratio of EBIDT to Total Cash Interest and Preferred Dividends shall not be less, as of the last day of any Fiscal Quarter occurring during any period set forth below, than the amount specified with respect to such period: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3000" w:type="dxa"/>
            <w:vAlign w:val="bottom"/>
          </w:tcPr>
          <w:p>
            <w:pPr>
              <w:spacing w:after="0"/>
              <w:rPr>
                <w:sz w:val="14"/>
                <w:szCs w:val="14"/>
                <w:color w:val="auto"/>
              </w:rPr>
            </w:pPr>
          </w:p>
        </w:tc>
        <w:tc>
          <w:tcPr>
            <w:tcW w:w="2260" w:type="dxa"/>
            <w:vAlign w:val="bottom"/>
          </w:tcPr>
          <w:p>
            <w:pPr>
              <w:ind w:left="760"/>
              <w:spacing w:after="0"/>
              <w:rPr>
                <w:sz w:val="20"/>
                <w:szCs w:val="20"/>
                <w:color w:val="auto"/>
              </w:rPr>
            </w:pPr>
            <w:r>
              <w:rPr>
                <w:rFonts w:ascii="Courier New" w:cs="Courier New" w:eastAsia="Courier New" w:hAnsi="Courier New"/>
                <w:sz w:val="15"/>
                <w:szCs w:val="15"/>
                <w:color w:val="auto"/>
              </w:rPr>
              <w:t>Ratio</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00" w:type="dxa"/>
            <w:vAlign w:val="bottom"/>
          </w:tcPr>
          <w:p>
            <w:pPr>
              <w:spacing w:after="0"/>
              <w:rPr>
                <w:sz w:val="14"/>
                <w:szCs w:val="14"/>
                <w:color w:val="auto"/>
              </w:rPr>
            </w:pPr>
          </w:p>
        </w:tc>
        <w:tc>
          <w:tcPr>
            <w:tcW w:w="2260" w:type="dxa"/>
            <w:vAlign w:val="bottom"/>
          </w:tcPr>
          <w:p>
            <w:pPr>
              <w:ind w:left="940"/>
              <w:spacing w:after="0"/>
              <w:rPr>
                <w:sz w:val="20"/>
                <w:szCs w:val="20"/>
                <w:color w:val="auto"/>
              </w:rPr>
            </w:pPr>
            <w:r>
              <w:rPr>
                <w:rFonts w:ascii="Courier New" w:cs="Courier New" w:eastAsia="Courier New" w:hAnsi="Courier New"/>
                <w:sz w:val="15"/>
                <w:szCs w:val="15"/>
                <w:color w:val="auto"/>
              </w:rPr>
              <w:t>-----</w:t>
            </w:r>
          </w:p>
        </w:tc>
      </w:tr>
      <w:tr>
        <w:trPr>
          <w:trHeight w:val="170"/>
        </w:trPr>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September 30, 1994</w:t>
            </w:r>
          </w:p>
        </w:tc>
        <w:tc>
          <w:tcPr>
            <w:tcW w:w="2260" w:type="dxa"/>
            <w:vAlign w:val="bottom"/>
          </w:tcPr>
          <w:p>
            <w:pPr>
              <w:ind w:left="760"/>
              <w:spacing w:after="0"/>
              <w:rPr>
                <w:sz w:val="20"/>
                <w:szCs w:val="20"/>
                <w:color w:val="auto"/>
              </w:rPr>
            </w:pPr>
            <w:r>
              <w:rPr>
                <w:rFonts w:ascii="Courier New" w:cs="Courier New" w:eastAsia="Courier New" w:hAnsi="Courier New"/>
                <w:sz w:val="15"/>
                <w:szCs w:val="15"/>
                <w:color w:val="auto"/>
              </w:rPr>
              <w:t>1.50x</w:t>
            </w:r>
          </w:p>
        </w:tc>
      </w:tr>
      <w:tr>
        <w:trPr>
          <w:trHeight w:val="170"/>
        </w:trPr>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December 31, 1994</w:t>
            </w:r>
          </w:p>
        </w:tc>
        <w:tc>
          <w:tcPr>
            <w:tcW w:w="2260" w:type="dxa"/>
            <w:vAlign w:val="bottom"/>
          </w:tcPr>
          <w:p>
            <w:pPr>
              <w:ind w:left="760"/>
              <w:spacing w:after="0"/>
              <w:rPr>
                <w:sz w:val="20"/>
                <w:szCs w:val="20"/>
                <w:color w:val="auto"/>
              </w:rPr>
            </w:pPr>
            <w:r>
              <w:rPr>
                <w:rFonts w:ascii="Courier New" w:cs="Courier New" w:eastAsia="Courier New" w:hAnsi="Courier New"/>
                <w:sz w:val="15"/>
                <w:szCs w:val="15"/>
                <w:color w:val="auto"/>
              </w:rPr>
              <w:t>1.75x</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March 31, 1995</w:t>
            </w:r>
          </w:p>
        </w:tc>
        <w:tc>
          <w:tcPr>
            <w:tcW w:w="3000" w:type="dxa"/>
            <w:vAlign w:val="bottom"/>
          </w:tcPr>
          <w:p>
            <w:pPr>
              <w:ind w:left="60"/>
              <w:spacing w:after="0"/>
              <w:rPr>
                <w:sz w:val="20"/>
                <w:szCs w:val="20"/>
                <w:color w:val="auto"/>
              </w:rPr>
            </w:pPr>
            <w:r>
              <w:rPr>
                <w:rFonts w:ascii="Courier New" w:cs="Courier New" w:eastAsia="Courier New" w:hAnsi="Courier New"/>
                <w:sz w:val="15"/>
                <w:szCs w:val="15"/>
                <w:color w:val="auto"/>
              </w:rPr>
              <w:t>through December 31, 1996</w:t>
            </w:r>
          </w:p>
        </w:tc>
        <w:tc>
          <w:tcPr>
            <w:tcW w:w="2260" w:type="dxa"/>
            <w:vAlign w:val="bottom"/>
          </w:tcPr>
          <w:p>
            <w:pPr>
              <w:ind w:left="760"/>
              <w:spacing w:after="0"/>
              <w:rPr>
                <w:sz w:val="20"/>
                <w:szCs w:val="20"/>
                <w:color w:val="auto"/>
              </w:rPr>
            </w:pPr>
            <w:r>
              <w:rPr>
                <w:rFonts w:ascii="Courier New" w:cs="Courier New" w:eastAsia="Courier New" w:hAnsi="Courier New"/>
                <w:sz w:val="15"/>
                <w:szCs w:val="15"/>
                <w:color w:val="auto"/>
              </w:rPr>
              <w:t>2.00x</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March 31, 1997</w:t>
            </w:r>
          </w:p>
        </w:tc>
        <w:tc>
          <w:tcPr>
            <w:tcW w:w="3000" w:type="dxa"/>
            <w:vAlign w:val="bottom"/>
          </w:tcPr>
          <w:p>
            <w:pPr>
              <w:ind w:left="60"/>
              <w:spacing w:after="0"/>
              <w:rPr>
                <w:sz w:val="20"/>
                <w:szCs w:val="20"/>
                <w:color w:val="auto"/>
              </w:rPr>
            </w:pPr>
            <w:r>
              <w:rPr>
                <w:rFonts w:ascii="Courier New" w:cs="Courier New" w:eastAsia="Courier New" w:hAnsi="Courier New"/>
                <w:sz w:val="15"/>
                <w:szCs w:val="15"/>
                <w:color w:val="auto"/>
              </w:rPr>
              <w:t>and thereafter</w:t>
            </w:r>
          </w:p>
        </w:tc>
        <w:tc>
          <w:tcPr>
            <w:tcW w:w="2260" w:type="dxa"/>
            <w:vAlign w:val="bottom"/>
          </w:tcPr>
          <w:p>
            <w:pPr>
              <w:ind w:left="760"/>
              <w:spacing w:after="0"/>
              <w:rPr>
                <w:sz w:val="20"/>
                <w:szCs w:val="20"/>
                <w:color w:val="auto"/>
              </w:rPr>
            </w:pPr>
            <w:r>
              <w:rPr>
                <w:rFonts w:ascii="Courier New" w:cs="Courier New" w:eastAsia="Courier New" w:hAnsi="Courier New"/>
                <w:sz w:val="15"/>
                <w:szCs w:val="15"/>
                <w:color w:val="auto"/>
              </w:rPr>
              <w:t>2.25x</w:t>
            </w:r>
          </w:p>
        </w:tc>
      </w:tr>
      <w:tr>
        <w:trPr>
          <w:trHeight w:val="339"/>
        </w:trPr>
        <w:tc>
          <w:tcPr>
            <w:tcW w:w="1260" w:type="dxa"/>
            <w:vAlign w:val="bottom"/>
          </w:tcPr>
          <w:p>
            <w:pPr>
              <w:ind w:left="960"/>
              <w:spacing w:after="0"/>
              <w:rPr>
                <w:sz w:val="20"/>
                <w:szCs w:val="20"/>
                <w:color w:val="auto"/>
              </w:rPr>
            </w:pPr>
            <w:r>
              <w:rPr>
                <w:rFonts w:ascii="Courier New" w:cs="Courier New" w:eastAsia="Courier New" w:hAnsi="Courier New"/>
                <w:sz w:val="15"/>
                <w:szCs w:val="15"/>
                <w:color w:val="auto"/>
              </w:rPr>
              <w:t>8.3</w:t>
            </w:r>
          </w:p>
        </w:tc>
        <w:tc>
          <w:tcPr>
            <w:tcW w:w="526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7"/>
              </w:rPr>
              <w:t>Minimum Net WorthMinimum Net Worth. On the last day of each</w:t>
            </w:r>
          </w:p>
        </w:tc>
      </w:tr>
    </w:tbl>
    <w:p>
      <w:pPr>
        <w:spacing w:after="0" w:line="5" w:lineRule="exact"/>
        <w:rPr>
          <w:sz w:val="20"/>
          <w:szCs w:val="20"/>
          <w:color w:val="auto"/>
        </w:rPr>
      </w:pPr>
    </w:p>
    <w:p>
      <w:pPr>
        <w:ind w:right="3179"/>
        <w:spacing w:after="0" w:line="259" w:lineRule="auto"/>
        <w:rPr>
          <w:sz w:val="20"/>
          <w:szCs w:val="20"/>
          <w:color w:val="auto"/>
        </w:rPr>
      </w:pPr>
      <w:r>
        <w:rPr>
          <w:rFonts w:ascii="Courier New" w:cs="Courier New" w:eastAsia="Courier New" w:hAnsi="Courier New"/>
          <w:sz w:val="14"/>
          <w:szCs w:val="14"/>
          <w:color w:val="auto"/>
        </w:rPr>
        <w:t>Fiscal Quarter, commencing September 30, 1994, the Net Worth of the Borrower and its Subsidiaries shall not be less than 75% of the Net Worth of the Borrower and its Subsidiaries on the date which is the first Fiscal Quarter end date after the Effective Date (as defined in the $1.8 Billion Credit Agreement)."</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7" w:right="1440" w:bottom="1440" w:gutter="0" w:footer="0" w:header="0"/>
        </w:sectPr>
      </w:pPr>
    </w:p>
    <w:bookmarkStart w:id="139" w:name="page140"/>
    <w:bookmarkEnd w:id="139"/>
    <w:p>
      <w:pPr>
        <w:ind w:right="3179" w:firstLine="960"/>
        <w:spacing w:after="0" w:line="237" w:lineRule="auto"/>
        <w:tabs>
          <w:tab w:leader="none" w:pos="1322"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Sections 9.8(a) and 9.8(b) of the Credit Agreement are hereby amended by deleting all references to "and consolidating" and adding the following clause after the words "Fiscal Year to the end of such Fiscal Quarter" in Section 9.8(a) and after the words "its Subsidiaries for such year" in Section 9.8(b):</w:t>
      </w:r>
    </w:p>
    <w:p>
      <w:pPr>
        <w:spacing w:after="0" w:line="178" w:lineRule="exact"/>
        <w:rPr>
          <w:sz w:val="20"/>
          <w:szCs w:val="20"/>
          <w:color w:val="auto"/>
        </w:rPr>
      </w:pPr>
    </w:p>
    <w:p>
      <w:pPr>
        <w:ind w:left="960" w:right="3179"/>
        <w:spacing w:after="0" w:line="235" w:lineRule="auto"/>
        <w:rPr>
          <w:sz w:val="20"/>
          <w:szCs w:val="20"/>
          <w:color w:val="auto"/>
        </w:rPr>
      </w:pPr>
      <w:r>
        <w:rPr>
          <w:rFonts w:ascii="Courier New" w:cs="Courier New" w:eastAsia="Courier New" w:hAnsi="Courier New"/>
          <w:sz w:val="15"/>
          <w:szCs w:val="15"/>
          <w:color w:val="auto"/>
        </w:rPr>
        <w:t>"(along with business segment information customarily prepared by the Borrower)"</w:t>
      </w:r>
    </w:p>
    <w:p>
      <w:pPr>
        <w:spacing w:after="0" w:line="176" w:lineRule="exact"/>
        <w:rPr>
          <w:sz w:val="20"/>
          <w:szCs w:val="20"/>
          <w:color w:val="auto"/>
        </w:rPr>
      </w:pPr>
    </w:p>
    <w:p>
      <w:pPr>
        <w:ind w:right="3439" w:firstLine="960"/>
        <w:spacing w:after="0" w:line="237" w:lineRule="auto"/>
        <w:tabs>
          <w:tab w:leader="none" w:pos="1322"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Sections 9.8(a) and 9.8(b) of the Credit Agreement are hereby amended by deleting "Five Million Dollars ($5,000,000)" and replacing it with "Fifty Million Dollars ($50,000,000)."</w:t>
      </w:r>
    </w:p>
    <w:p>
      <w:pPr>
        <w:spacing w:after="0" w:line="174" w:lineRule="exact"/>
        <w:rPr>
          <w:rFonts w:ascii="Courier New" w:cs="Courier New" w:eastAsia="Courier New" w:hAnsi="Courier New"/>
          <w:sz w:val="15"/>
          <w:szCs w:val="15"/>
          <w:color w:val="auto"/>
        </w:rPr>
      </w:pPr>
    </w:p>
    <w:p>
      <w:pPr>
        <w:ind w:right="3259" w:firstLine="960"/>
        <w:spacing w:after="0" w:line="235" w:lineRule="auto"/>
        <w:tabs>
          <w:tab w:leader="none" w:pos="1322"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10.6 of the Credit Agreement is hereby amended by adding the following clause to the end of the sentence:</w:t>
      </w:r>
    </w:p>
    <w:p>
      <w:pPr>
        <w:spacing w:after="0" w:line="176" w:lineRule="exact"/>
        <w:rPr>
          <w:sz w:val="20"/>
          <w:szCs w:val="20"/>
          <w:color w:val="auto"/>
        </w:rPr>
      </w:pPr>
    </w:p>
    <w:p>
      <w:pPr>
        <w:ind w:left="960" w:right="3699"/>
        <w:spacing w:after="0" w:line="237" w:lineRule="auto"/>
        <w:rPr>
          <w:sz w:val="20"/>
          <w:szCs w:val="20"/>
          <w:color w:val="auto"/>
        </w:rPr>
      </w:pPr>
      <w:r>
        <w:rPr>
          <w:rFonts w:ascii="Courier New" w:cs="Courier New" w:eastAsia="Courier New" w:hAnsi="Courier New"/>
          <w:sz w:val="15"/>
          <w:szCs w:val="15"/>
          <w:color w:val="auto"/>
        </w:rPr>
        <w:t>"or under existing facilities identified on Schedule 10.6 to Amendment No. 2 to this Agreement or any replacement facilities thereto which in the aggregate do not exceed the amounts of the commitments on such Schedule"</w:t>
      </w:r>
    </w:p>
    <w:p>
      <w:pPr>
        <w:spacing w:after="0" w:line="176" w:lineRule="exact"/>
        <w:rPr>
          <w:sz w:val="20"/>
          <w:szCs w:val="20"/>
          <w:color w:val="auto"/>
        </w:rPr>
      </w:pPr>
    </w:p>
    <w:p>
      <w:pPr>
        <w:ind w:right="3259" w:firstLine="960"/>
        <w:spacing w:after="0" w:line="235" w:lineRule="auto"/>
        <w:tabs>
          <w:tab w:leader="none" w:pos="1322"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10.7 of the Credit Agreement is hereby amended by adding the following clause to the end of the sentence:</w:t>
      </w:r>
    </w:p>
    <w:p>
      <w:pPr>
        <w:spacing w:after="0" w:line="176" w:lineRule="exact"/>
        <w:rPr>
          <w:sz w:val="20"/>
          <w:szCs w:val="20"/>
          <w:color w:val="auto"/>
        </w:rPr>
      </w:pPr>
    </w:p>
    <w:p>
      <w:pPr>
        <w:ind w:left="960" w:right="3259"/>
        <w:spacing w:after="0" w:line="237" w:lineRule="auto"/>
        <w:rPr>
          <w:sz w:val="20"/>
          <w:szCs w:val="20"/>
          <w:color w:val="auto"/>
        </w:rPr>
      </w:pPr>
      <w:r>
        <w:rPr>
          <w:rFonts w:ascii="Courier New" w:cs="Courier New" w:eastAsia="Courier New" w:hAnsi="Courier New"/>
          <w:sz w:val="15"/>
          <w:szCs w:val="15"/>
          <w:color w:val="auto"/>
        </w:rPr>
        <w:t>"provided however, that the Borrower may enter into the $1.8 Billion Credit Agreement and may become an obligor under the 6.625% Blockbuster Senior Notes"</w:t>
      </w:r>
    </w:p>
    <w:p>
      <w:pPr>
        <w:spacing w:after="0" w:line="344" w:lineRule="exact"/>
        <w:rPr>
          <w:sz w:val="20"/>
          <w:szCs w:val="20"/>
          <w:color w:val="auto"/>
        </w:rPr>
      </w:pPr>
    </w:p>
    <w:p>
      <w:pPr>
        <w:ind w:right="3179" w:firstLine="970"/>
        <w:spacing w:after="0" w:line="237" w:lineRule="auto"/>
        <w:rPr>
          <w:sz w:val="20"/>
          <w:szCs w:val="20"/>
          <w:color w:val="auto"/>
        </w:rPr>
      </w:pPr>
      <w:r>
        <w:rPr>
          <w:rFonts w:ascii="Courier New" w:cs="Courier New" w:eastAsia="Courier New" w:hAnsi="Courier New"/>
          <w:sz w:val="15"/>
          <w:szCs w:val="15"/>
          <w:color w:val="auto"/>
        </w:rPr>
        <w:t>SECTION 2. Effectiveness. This Amendment No. 2 will be effective upon the execution thereof by each of Viacom, each Guarantor Subsidiary and the Majority Banks and the occurrence of the Effective Date (as defined in the $1.8 Billion Credit Agreement).</w:t>
      </w:r>
    </w:p>
    <w:p>
      <w:pPr>
        <w:spacing w:after="0" w:line="346" w:lineRule="exact"/>
        <w:rPr>
          <w:sz w:val="20"/>
          <w:szCs w:val="20"/>
          <w:color w:val="auto"/>
        </w:rPr>
      </w:pPr>
    </w:p>
    <w:p>
      <w:pPr>
        <w:ind w:right="3359" w:firstLine="970"/>
        <w:spacing w:after="0" w:line="259" w:lineRule="auto"/>
        <w:rPr>
          <w:sz w:val="20"/>
          <w:szCs w:val="20"/>
          <w:color w:val="auto"/>
        </w:rPr>
      </w:pPr>
      <w:r>
        <w:rPr>
          <w:rFonts w:ascii="Courier New" w:cs="Courier New" w:eastAsia="Courier New" w:hAnsi="Courier New"/>
          <w:sz w:val="14"/>
          <w:szCs w:val="14"/>
          <w:color w:val="auto"/>
        </w:rPr>
        <w:t>SECTION 3. Representations and Warranties. Each of the Borrower and the Subsidiary Guarantors hereby represents and warrants that as of the date hereof, both before and after giving effect to this Amendment, no Default or Event of Default shall exist or be continuing under the Credit Agreement.</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7" w:right="1440" w:bottom="1440" w:gutter="0" w:footer="0" w:header="0"/>
        </w:sectPr>
      </w:pPr>
    </w:p>
    <w:bookmarkStart w:id="140" w:name="page141"/>
    <w:bookmarkEnd w:id="140"/>
    <w:p>
      <w:pPr>
        <w:ind w:right="3179" w:firstLine="970"/>
        <w:spacing w:after="0" w:line="237" w:lineRule="auto"/>
        <w:rPr>
          <w:sz w:val="20"/>
          <w:szCs w:val="20"/>
          <w:color w:val="auto"/>
        </w:rPr>
      </w:pPr>
      <w:r>
        <w:rPr>
          <w:rFonts w:ascii="Courier New" w:cs="Courier New" w:eastAsia="Courier New" w:hAnsi="Courier New"/>
          <w:sz w:val="15"/>
          <w:szCs w:val="15"/>
          <w:color w:val="auto"/>
        </w:rPr>
        <w:t>SECTION 4. Miscellaneous. (a) Capitalized terms used herein and not otherwise defined herein shall have the meanings ascribed to them in the Credit Agreement.</w:t>
      </w:r>
    </w:p>
    <w:p>
      <w:pPr>
        <w:spacing w:after="0" w:line="175" w:lineRule="exact"/>
        <w:rPr>
          <w:sz w:val="20"/>
          <w:szCs w:val="20"/>
          <w:color w:val="auto"/>
        </w:rPr>
      </w:pPr>
    </w:p>
    <w:p>
      <w:pPr>
        <w:ind w:right="3619" w:firstLine="960"/>
        <w:spacing w:after="0" w:line="237" w:lineRule="auto"/>
        <w:tabs>
          <w:tab w:leader="none" w:pos="1322"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amended hereby, all of the terms of the Credit Agreement shall remain and continue in full force and effect and are hereby confirmed in all respects.</w:t>
      </w:r>
    </w:p>
    <w:p>
      <w:pPr>
        <w:spacing w:after="0" w:line="174" w:lineRule="exact"/>
        <w:rPr>
          <w:rFonts w:ascii="Courier New" w:cs="Courier New" w:eastAsia="Courier New" w:hAnsi="Courier New"/>
          <w:sz w:val="15"/>
          <w:szCs w:val="15"/>
          <w:color w:val="auto"/>
        </w:rPr>
      </w:pPr>
    </w:p>
    <w:p>
      <w:pPr>
        <w:ind w:right="3359" w:firstLine="960"/>
        <w:spacing w:after="0" w:line="235" w:lineRule="auto"/>
        <w:tabs>
          <w:tab w:leader="none" w:pos="1322"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shall be a Loan Document for the purposes of the Credit Agreement.</w:t>
      </w:r>
    </w:p>
    <w:p>
      <w:pPr>
        <w:spacing w:after="0" w:line="175" w:lineRule="exact"/>
        <w:rPr>
          <w:rFonts w:ascii="Courier New" w:cs="Courier New" w:eastAsia="Courier New" w:hAnsi="Courier New"/>
          <w:sz w:val="15"/>
          <w:szCs w:val="15"/>
          <w:color w:val="auto"/>
        </w:rPr>
      </w:pPr>
    </w:p>
    <w:p>
      <w:pPr>
        <w:ind w:right="3179" w:firstLine="960"/>
        <w:spacing w:after="0" w:line="237" w:lineRule="auto"/>
        <w:tabs>
          <w:tab w:leader="none" w:pos="1322"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may be signed in any number of counterparts, each of which shall be an original, with the same effect as if the signatures thereto were upon the same instrument. Delivery of an executed counterpart of a signature page of this Amendment by telecopier shall be effective as delivery of a manually executed counterpart of this Amendment.</w:t>
      </w:r>
    </w:p>
    <w:p>
      <w:pPr>
        <w:spacing w:after="0" w:line="178" w:lineRule="exact"/>
        <w:rPr>
          <w:rFonts w:ascii="Courier New" w:cs="Courier New" w:eastAsia="Courier New" w:hAnsi="Courier New"/>
          <w:sz w:val="15"/>
          <w:szCs w:val="15"/>
          <w:color w:val="auto"/>
        </w:rPr>
      </w:pPr>
    </w:p>
    <w:p>
      <w:pPr>
        <w:ind w:right="3359" w:firstLine="960"/>
        <w:spacing w:after="0" w:line="237" w:lineRule="auto"/>
        <w:tabs>
          <w:tab w:leader="none" w:pos="1322"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AND THE RIGHTS AND OBLIGATIONS OF THE PARTIES HERETO SHALL BE GOVERNED BY, AND CONSTRUED IN ACCORDANCE WITH, THE LAWS OF THE STATE OF NEW YORK.</w:t>
      </w:r>
    </w:p>
    <w:p>
      <w:pPr>
        <w:spacing w:after="0" w:line="175" w:lineRule="exact"/>
        <w:rPr>
          <w:sz w:val="20"/>
          <w:szCs w:val="20"/>
          <w:color w:val="auto"/>
        </w:rPr>
      </w:pPr>
    </w:p>
    <w:p>
      <w:pPr>
        <w:ind w:right="3179" w:firstLine="970"/>
        <w:spacing w:after="0" w:line="237" w:lineRule="auto"/>
        <w:rPr>
          <w:sz w:val="20"/>
          <w:szCs w:val="20"/>
          <w:color w:val="auto"/>
        </w:rPr>
      </w:pPr>
      <w:r>
        <w:rPr>
          <w:rFonts w:ascii="Courier New" w:cs="Courier New" w:eastAsia="Courier New" w:hAnsi="Courier New"/>
          <w:sz w:val="15"/>
          <w:szCs w:val="15"/>
          <w:color w:val="auto"/>
        </w:rPr>
        <w:t>SECTION 5. Subsidiary Guarantor Confirmation. By signing below, each of the Subsidiary Guarantors hereby agrees to the terms of the foregoing Amendment No. 2 and confirms that the VII Guarantee and the Paramount Guarantee, respectively, remain in full force and effect.</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7" w:right="1440" w:bottom="1440" w:gutter="0" w:footer="0" w:header="0"/>
        </w:sectPr>
      </w:pPr>
    </w:p>
    <w:bookmarkStart w:id="141" w:name="page142"/>
    <w:bookmarkEnd w:id="141"/>
    <w:p>
      <w:pPr>
        <w:ind w:right="3259" w:firstLine="970"/>
        <w:spacing w:after="0" w:line="235" w:lineRule="auto"/>
        <w:rPr>
          <w:sz w:val="20"/>
          <w:szCs w:val="20"/>
          <w:color w:val="auto"/>
        </w:rPr>
      </w:pPr>
      <w:r>
        <w:rPr>
          <w:rFonts w:ascii="Courier New" w:cs="Courier New" w:eastAsia="Courier New" w:hAnsi="Courier New"/>
          <w:sz w:val="15"/>
          <w:szCs w:val="15"/>
          <w:color w:val="auto"/>
        </w:rPr>
        <w:t>IN WITNESS WHEREOF, the parties hereto have caused this Amendment to be duly executed as of the date first above written.</w:t>
      </w:r>
    </w:p>
    <w:p>
      <w:pPr>
        <w:spacing w:after="0" w:line="200" w:lineRule="exact"/>
        <w:rPr>
          <w:sz w:val="20"/>
          <w:szCs w:val="20"/>
          <w:color w:val="auto"/>
        </w:rPr>
      </w:pPr>
    </w:p>
    <w:p>
      <w:pPr>
        <w:spacing w:after="0" w:line="30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VIACOM INC., as Borrower</w:t>
      </w:r>
    </w:p>
    <w:p>
      <w:pPr>
        <w:spacing w:after="0" w:line="16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VIACOM INTERNATIONAL INC., as a</w:t>
      </w:r>
    </w:p>
    <w:p>
      <w:pPr>
        <w:ind w:left="3860"/>
        <w:spacing w:after="0"/>
        <w:rPr>
          <w:sz w:val="20"/>
          <w:szCs w:val="20"/>
          <w:color w:val="auto"/>
        </w:rPr>
      </w:pPr>
      <w:r>
        <w:rPr>
          <w:rFonts w:ascii="Courier New" w:cs="Courier New" w:eastAsia="Courier New" w:hAnsi="Courier New"/>
          <w:sz w:val="15"/>
          <w:szCs w:val="15"/>
          <w:color w:val="auto"/>
        </w:rPr>
        <w:t>Subsidiary Guarantor</w:t>
      </w:r>
    </w:p>
    <w:p>
      <w:pPr>
        <w:spacing w:after="0" w:line="16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PARAMOUNT COMMUNICATIONS INC., as a</w:t>
      </w:r>
    </w:p>
    <w:p>
      <w:pPr>
        <w:ind w:left="3860"/>
        <w:spacing w:after="0"/>
        <w:rPr>
          <w:sz w:val="20"/>
          <w:szCs w:val="20"/>
          <w:color w:val="auto"/>
        </w:rPr>
      </w:pPr>
      <w:r>
        <w:rPr>
          <w:rFonts w:ascii="Courier New" w:cs="Courier New" w:eastAsia="Courier New" w:hAnsi="Courier New"/>
          <w:sz w:val="15"/>
          <w:szCs w:val="15"/>
          <w:color w:val="auto"/>
        </w:rPr>
        <w:t>Subsidiary Guarantor</w:t>
      </w:r>
    </w:p>
    <w:p>
      <w:pPr>
        <w:spacing w:after="0" w:line="338"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5"/>
          <w:szCs w:val="15"/>
          <w:color w:val="auto"/>
        </w:rPr>
        <w:t>By: /s/ Vaughn A. Clarke</w:t>
      </w:r>
    </w:p>
    <w:p>
      <w:pPr>
        <w:ind w:left="4140"/>
        <w:spacing w:after="0"/>
        <w:rPr>
          <w:sz w:val="20"/>
          <w:szCs w:val="20"/>
          <w:color w:val="auto"/>
        </w:rPr>
      </w:pPr>
      <w:r>
        <w:rPr>
          <w:rFonts w:ascii="Courier New" w:cs="Courier New" w:eastAsia="Courier New" w:hAnsi="Courier New"/>
          <w:sz w:val="15"/>
          <w:szCs w:val="15"/>
          <w:color w:val="auto"/>
        </w:rPr>
        <w:t>-----------------------</w:t>
      </w:r>
    </w:p>
    <w:p>
      <w:pPr>
        <w:ind w:left="4140"/>
        <w:spacing w:after="0"/>
        <w:rPr>
          <w:sz w:val="20"/>
          <w:szCs w:val="20"/>
          <w:color w:val="auto"/>
        </w:rPr>
      </w:pPr>
      <w:r>
        <w:rPr>
          <w:rFonts w:ascii="Courier New" w:cs="Courier New" w:eastAsia="Courier New" w:hAnsi="Courier New"/>
          <w:sz w:val="15"/>
          <w:szCs w:val="15"/>
          <w:color w:val="auto"/>
        </w:rPr>
        <w:t>Name: Vaughn A. Clarke</w:t>
      </w:r>
    </w:p>
    <w:p>
      <w:pPr>
        <w:ind w:left="4140"/>
        <w:spacing w:after="0" w:line="238" w:lineRule="auto"/>
        <w:rPr>
          <w:sz w:val="20"/>
          <w:szCs w:val="20"/>
          <w:color w:val="auto"/>
        </w:rPr>
      </w:pPr>
      <w:r>
        <w:rPr>
          <w:rFonts w:ascii="Courier New" w:cs="Courier New" w:eastAsia="Courier New" w:hAnsi="Courier New"/>
          <w:sz w:val="15"/>
          <w:szCs w:val="15"/>
          <w:color w:val="auto"/>
        </w:rPr>
        <w:t>Title: Senior Vice President,</w:t>
      </w:r>
    </w:p>
    <w:p>
      <w:pPr>
        <w:ind w:left="4760"/>
        <w:spacing w:after="0"/>
        <w:rPr>
          <w:sz w:val="20"/>
          <w:szCs w:val="20"/>
          <w:color w:val="auto"/>
        </w:rPr>
      </w:pPr>
      <w:r>
        <w:rPr>
          <w:rFonts w:ascii="Courier New" w:cs="Courier New" w:eastAsia="Courier New" w:hAnsi="Courier New"/>
          <w:sz w:val="15"/>
          <w:szCs w:val="15"/>
          <w:color w:val="auto"/>
        </w:rPr>
        <w:t>Treasurer</w:t>
      </w:r>
    </w:p>
    <w:p>
      <w:pPr>
        <w:spacing w:after="0" w:line="16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Managing Agents</w:t>
      </w:r>
    </w:p>
    <w:p>
      <w:pPr>
        <w:spacing w:after="0" w:line="16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THE BANK OF NEW YORK, as Managing</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Agent, the Documentation Agent and a</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Bank</w:t>
      </w:r>
    </w:p>
    <w:p>
      <w:pPr>
        <w:spacing w:after="0" w:line="339"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5"/>
          <w:szCs w:val="15"/>
          <w:color w:val="auto"/>
        </w:rPr>
        <w:t>By:/s/ Geoffrey C. Brooks</w:t>
      </w:r>
    </w:p>
    <w:p>
      <w:pPr>
        <w:ind w:left="4140"/>
        <w:spacing w:after="0"/>
        <w:rPr>
          <w:sz w:val="20"/>
          <w:szCs w:val="20"/>
          <w:color w:val="auto"/>
        </w:rPr>
      </w:pPr>
      <w:r>
        <w:rPr>
          <w:rFonts w:ascii="Courier New" w:cs="Courier New" w:eastAsia="Courier New" w:hAnsi="Courier New"/>
          <w:sz w:val="15"/>
          <w:szCs w:val="15"/>
          <w:color w:val="auto"/>
        </w:rPr>
        <w:t>-----------------------</w:t>
      </w:r>
    </w:p>
    <w:p>
      <w:pPr>
        <w:ind w:left="4140"/>
        <w:spacing w:after="0"/>
        <w:rPr>
          <w:sz w:val="20"/>
          <w:szCs w:val="20"/>
          <w:color w:val="auto"/>
        </w:rPr>
      </w:pPr>
      <w:r>
        <w:rPr>
          <w:rFonts w:ascii="Courier New" w:cs="Courier New" w:eastAsia="Courier New" w:hAnsi="Courier New"/>
          <w:sz w:val="15"/>
          <w:szCs w:val="15"/>
          <w:color w:val="auto"/>
        </w:rPr>
        <w:t>Name: Geoffrey C. Brooks</w:t>
      </w:r>
    </w:p>
    <w:p>
      <w:pPr>
        <w:ind w:left="4140"/>
        <w:spacing w:after="0"/>
        <w:tabs>
          <w:tab w:leader="none" w:pos="482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33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CITIBANK, N.A., as Managing Agent,</w:t>
      </w:r>
    </w:p>
    <w:p>
      <w:pPr>
        <w:ind w:left="3860"/>
        <w:spacing w:after="0"/>
        <w:rPr>
          <w:sz w:val="20"/>
          <w:szCs w:val="20"/>
          <w:color w:val="auto"/>
        </w:rPr>
      </w:pPr>
      <w:r>
        <w:rPr>
          <w:rFonts w:ascii="Courier New" w:cs="Courier New" w:eastAsia="Courier New" w:hAnsi="Courier New"/>
          <w:sz w:val="15"/>
          <w:szCs w:val="15"/>
          <w:color w:val="auto"/>
        </w:rPr>
        <w:t>the Administrative Agent and a Bank</w:t>
      </w:r>
    </w:p>
    <w:p>
      <w:pPr>
        <w:spacing w:after="0" w:line="33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By:/s/ Frederick B. Pickering, Jr.</w:t>
      </w:r>
    </w:p>
    <w:p>
      <w:pPr>
        <w:ind w:left="41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Name: Frederick B. Pickering, Jr.</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Title: Managing Director</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7" w:right="1440" w:bottom="1440" w:gutter="0" w:footer="0" w:header="0"/>
        </w:sectPr>
      </w:pPr>
    </w:p>
    <w:bookmarkStart w:id="142" w:name="page143"/>
    <w:bookmarkEnd w:id="142"/>
    <w:p>
      <w:pPr>
        <w:ind w:left="2660"/>
        <w:spacing w:after="0"/>
        <w:rPr>
          <w:sz w:val="20"/>
          <w:szCs w:val="20"/>
          <w:color w:val="auto"/>
        </w:rPr>
      </w:pPr>
      <w:r>
        <w:rPr>
          <w:rFonts w:ascii="Courier New" w:cs="Courier New" w:eastAsia="Courier New" w:hAnsi="Courier New"/>
          <w:sz w:val="14"/>
          <w:szCs w:val="14"/>
          <w:color w:val="auto"/>
        </w:rPr>
        <w:t>MORGAN GUARANTY TRUST COMPANY OF NEW</w:t>
      </w:r>
    </w:p>
    <w:p>
      <w:pPr>
        <w:spacing w:after="0" w:line="5"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YORK, as Managing Agent and a Bank</w:t>
      </w:r>
    </w:p>
    <w:p>
      <w:pPr>
        <w:spacing w:after="0" w:line="339"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By:/s/ Stephen J. Kenneally</w:t>
      </w:r>
    </w:p>
    <w:p>
      <w:pPr>
        <w:ind w:left="2940"/>
        <w:spacing w:after="0"/>
        <w:rPr>
          <w:sz w:val="20"/>
          <w:szCs w:val="20"/>
          <w:color w:val="auto"/>
        </w:rPr>
      </w:pPr>
      <w:r>
        <w:rPr>
          <w:rFonts w:ascii="Courier New" w:cs="Courier New" w:eastAsia="Courier New" w:hAnsi="Courier New"/>
          <w:sz w:val="15"/>
          <w:szCs w:val="15"/>
          <w:color w:val="auto"/>
        </w:rPr>
        <w:t>---------------------------</w:t>
      </w:r>
    </w:p>
    <w:p>
      <w:pPr>
        <w:ind w:left="3020"/>
        <w:spacing w:after="0"/>
        <w:rPr>
          <w:sz w:val="20"/>
          <w:szCs w:val="20"/>
          <w:color w:val="auto"/>
        </w:rPr>
      </w:pPr>
      <w:r>
        <w:rPr>
          <w:rFonts w:ascii="Courier New" w:cs="Courier New" w:eastAsia="Courier New" w:hAnsi="Courier New"/>
          <w:sz w:val="15"/>
          <w:szCs w:val="15"/>
          <w:color w:val="auto"/>
        </w:rPr>
        <w:t>Name: Stephen J. Kenneally</w:t>
      </w:r>
    </w:p>
    <w:p>
      <w:pPr>
        <w:ind w:left="302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BANK OF AMERICA NT&amp;SA, as Managing</w:t>
      </w:r>
    </w:p>
    <w:p>
      <w:pPr>
        <w:ind w:left="2660"/>
        <w:spacing w:after="0"/>
        <w:rPr>
          <w:sz w:val="20"/>
          <w:szCs w:val="20"/>
          <w:color w:val="auto"/>
        </w:rPr>
      </w:pPr>
      <w:r>
        <w:rPr>
          <w:rFonts w:ascii="Courier New" w:cs="Courier New" w:eastAsia="Courier New" w:hAnsi="Courier New"/>
          <w:sz w:val="15"/>
          <w:szCs w:val="15"/>
          <w:color w:val="auto"/>
        </w:rPr>
        <w:t>Agent and a Bank</w:t>
      </w:r>
    </w:p>
    <w:p>
      <w:pPr>
        <w:spacing w:after="0" w:line="338"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By:/s/ Nancy L. Sun</w:t>
      </w:r>
    </w:p>
    <w:p>
      <w:pPr>
        <w:ind w:left="2940"/>
        <w:spacing w:after="0"/>
        <w:rPr>
          <w:sz w:val="20"/>
          <w:szCs w:val="20"/>
          <w:color w:val="auto"/>
        </w:rPr>
      </w:pPr>
      <w:r>
        <w:rPr>
          <w:rFonts w:ascii="Courier New" w:cs="Courier New" w:eastAsia="Courier New" w:hAnsi="Courier New"/>
          <w:sz w:val="15"/>
          <w:szCs w:val="15"/>
          <w:color w:val="auto"/>
        </w:rPr>
        <w:t>---------------------------</w:t>
      </w:r>
    </w:p>
    <w:p>
      <w:pPr>
        <w:ind w:left="2940"/>
        <w:spacing w:after="0"/>
        <w:rPr>
          <w:sz w:val="20"/>
          <w:szCs w:val="20"/>
          <w:color w:val="auto"/>
        </w:rPr>
      </w:pPr>
      <w:r>
        <w:rPr>
          <w:rFonts w:ascii="Courier New" w:cs="Courier New" w:eastAsia="Courier New" w:hAnsi="Courier New"/>
          <w:sz w:val="15"/>
          <w:szCs w:val="15"/>
          <w:color w:val="auto"/>
        </w:rPr>
        <w:t>Name: Nancy L. Sun</w:t>
      </w:r>
    </w:p>
    <w:p>
      <w:pPr>
        <w:ind w:left="2940"/>
        <w:spacing w:after="0"/>
        <w:tabs>
          <w:tab w:leader="none" w:pos="362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339"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Agents</w:t>
      </w:r>
    </w:p>
    <w:p>
      <w:pPr>
        <w:spacing w:after="0" w:line="169"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BANK OF MONTREAL, as Agent and a</w:t>
      </w:r>
    </w:p>
    <w:p>
      <w:pPr>
        <w:ind w:left="2660"/>
        <w:spacing w:after="0"/>
        <w:rPr>
          <w:sz w:val="20"/>
          <w:szCs w:val="20"/>
          <w:color w:val="auto"/>
        </w:rPr>
      </w:pPr>
      <w:r>
        <w:rPr>
          <w:rFonts w:ascii="Courier New" w:cs="Courier New" w:eastAsia="Courier New" w:hAnsi="Courier New"/>
          <w:sz w:val="15"/>
          <w:szCs w:val="15"/>
          <w:color w:val="auto"/>
        </w:rPr>
        <w:t>Bank</w:t>
      </w:r>
    </w:p>
    <w:p>
      <w:pPr>
        <w:spacing w:after="0" w:line="200" w:lineRule="exact"/>
        <w:rPr>
          <w:sz w:val="20"/>
          <w:szCs w:val="20"/>
          <w:color w:val="auto"/>
        </w:rPr>
      </w:pPr>
    </w:p>
    <w:p>
      <w:pPr>
        <w:spacing w:after="0" w:line="308"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By:/s/ Yvonne Bos</w:t>
      </w:r>
    </w:p>
    <w:p>
      <w:pPr>
        <w:ind w:left="2940"/>
        <w:spacing w:after="0"/>
        <w:rPr>
          <w:sz w:val="20"/>
          <w:szCs w:val="20"/>
          <w:color w:val="auto"/>
        </w:rPr>
      </w:pPr>
      <w:r>
        <w:rPr>
          <w:rFonts w:ascii="Courier New" w:cs="Courier New" w:eastAsia="Courier New" w:hAnsi="Courier New"/>
          <w:sz w:val="15"/>
          <w:szCs w:val="15"/>
          <w:color w:val="auto"/>
        </w:rPr>
        <w:t>---------------------------</w:t>
      </w:r>
    </w:p>
    <w:p>
      <w:pPr>
        <w:ind w:left="2940"/>
        <w:spacing w:after="0"/>
        <w:rPr>
          <w:sz w:val="20"/>
          <w:szCs w:val="20"/>
          <w:color w:val="auto"/>
        </w:rPr>
      </w:pPr>
      <w:r>
        <w:rPr>
          <w:rFonts w:ascii="Courier New" w:cs="Courier New" w:eastAsia="Courier New" w:hAnsi="Courier New"/>
          <w:sz w:val="15"/>
          <w:szCs w:val="15"/>
          <w:color w:val="auto"/>
        </w:rPr>
        <w:t>Name: Yvonne Bos</w:t>
      </w:r>
    </w:p>
    <w:p>
      <w:pPr>
        <w:ind w:left="2940"/>
        <w:spacing w:after="0" w:line="238" w:lineRule="auto"/>
        <w:rPr>
          <w:sz w:val="20"/>
          <w:szCs w:val="20"/>
          <w:color w:val="auto"/>
        </w:rPr>
      </w:pPr>
      <w:r>
        <w:rPr>
          <w:rFonts w:ascii="Courier New" w:cs="Courier New" w:eastAsia="Courier New" w:hAnsi="Courier New"/>
          <w:sz w:val="15"/>
          <w:szCs w:val="15"/>
          <w:color w:val="auto"/>
        </w:rPr>
        <w:t>Title: Managing Director</w:t>
      </w:r>
    </w:p>
    <w:p>
      <w:pPr>
        <w:spacing w:after="0" w:line="339"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THE BANK OF NOVA SCOTIA, as Agent</w:t>
      </w:r>
    </w:p>
    <w:p>
      <w:pPr>
        <w:ind w:left="2660"/>
        <w:spacing w:after="0"/>
        <w:rPr>
          <w:sz w:val="20"/>
          <w:szCs w:val="20"/>
          <w:color w:val="auto"/>
        </w:rPr>
      </w:pPr>
      <w:r>
        <w:rPr>
          <w:rFonts w:ascii="Courier New" w:cs="Courier New" w:eastAsia="Courier New" w:hAnsi="Courier New"/>
          <w:sz w:val="15"/>
          <w:szCs w:val="15"/>
          <w:color w:val="auto"/>
        </w:rPr>
        <w:t>and a Bank</w:t>
      </w:r>
    </w:p>
    <w:p>
      <w:pPr>
        <w:spacing w:after="0" w:line="338"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By:/s/ Vince Fitzgerald</w:t>
      </w:r>
    </w:p>
    <w:p>
      <w:pPr>
        <w:ind w:left="2940"/>
        <w:spacing w:after="0"/>
        <w:rPr>
          <w:sz w:val="20"/>
          <w:szCs w:val="20"/>
          <w:color w:val="auto"/>
        </w:rPr>
      </w:pPr>
      <w:r>
        <w:rPr>
          <w:rFonts w:ascii="Courier New" w:cs="Courier New" w:eastAsia="Courier New" w:hAnsi="Courier New"/>
          <w:sz w:val="15"/>
          <w:szCs w:val="15"/>
          <w:color w:val="auto"/>
        </w:rPr>
        <w:t>---------------------------</w:t>
      </w:r>
    </w:p>
    <w:p>
      <w:pPr>
        <w:ind w:left="2940"/>
        <w:spacing w:after="0"/>
        <w:rPr>
          <w:sz w:val="20"/>
          <w:szCs w:val="20"/>
          <w:color w:val="auto"/>
        </w:rPr>
      </w:pPr>
      <w:r>
        <w:rPr>
          <w:rFonts w:ascii="Courier New" w:cs="Courier New" w:eastAsia="Courier New" w:hAnsi="Courier New"/>
          <w:sz w:val="15"/>
          <w:szCs w:val="15"/>
          <w:color w:val="auto"/>
        </w:rPr>
        <w:t>Name: Vince Fitzgerald</w:t>
      </w:r>
    </w:p>
    <w:p>
      <w:pPr>
        <w:ind w:left="29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THE BANK OF TOKYO TRUST COMPANY, as</w:t>
      </w:r>
    </w:p>
    <w:p>
      <w:pPr>
        <w:ind w:left="2660"/>
        <w:spacing w:after="0"/>
        <w:rPr>
          <w:sz w:val="20"/>
          <w:szCs w:val="20"/>
          <w:color w:val="auto"/>
        </w:rPr>
      </w:pPr>
      <w:r>
        <w:rPr>
          <w:rFonts w:ascii="Courier New" w:cs="Courier New" w:eastAsia="Courier New" w:hAnsi="Courier New"/>
          <w:sz w:val="15"/>
          <w:szCs w:val="15"/>
          <w:color w:val="auto"/>
        </w:rPr>
        <w:t>Agent and a Bank</w:t>
      </w:r>
    </w:p>
    <w:p>
      <w:pPr>
        <w:spacing w:after="0" w:line="338"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By:/s/ Charles Poer</w:t>
      </w:r>
    </w:p>
    <w:p>
      <w:pPr>
        <w:ind w:left="2940"/>
        <w:spacing w:after="0"/>
        <w:rPr>
          <w:sz w:val="20"/>
          <w:szCs w:val="20"/>
          <w:color w:val="auto"/>
        </w:rPr>
      </w:pPr>
      <w:r>
        <w:rPr>
          <w:rFonts w:ascii="Courier New" w:cs="Courier New" w:eastAsia="Courier New" w:hAnsi="Courier New"/>
          <w:sz w:val="15"/>
          <w:szCs w:val="15"/>
          <w:color w:val="auto"/>
        </w:rPr>
        <w:t>---------------------------</w:t>
      </w:r>
    </w:p>
    <w:p>
      <w:pPr>
        <w:ind w:left="2940"/>
        <w:spacing w:after="0"/>
        <w:rPr>
          <w:sz w:val="20"/>
          <w:szCs w:val="20"/>
          <w:color w:val="auto"/>
        </w:rPr>
      </w:pPr>
      <w:r>
        <w:rPr>
          <w:rFonts w:ascii="Courier New" w:cs="Courier New" w:eastAsia="Courier New" w:hAnsi="Courier New"/>
          <w:sz w:val="15"/>
          <w:szCs w:val="15"/>
          <w:color w:val="auto"/>
        </w:rPr>
        <w:t>Name: Charles Poer</w:t>
      </w:r>
    </w:p>
    <w:p>
      <w:pPr>
        <w:ind w:left="29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019"/>
          </w:cols>
          <w:pgMar w:left="1440" w:top="627" w:right="1440" w:bottom="1440" w:gutter="0" w:footer="0" w:header="0"/>
        </w:sectPr>
      </w:pPr>
    </w:p>
    <w:bookmarkStart w:id="143" w:name="page144"/>
    <w:bookmarkEnd w:id="143"/>
    <w:p>
      <w:pPr>
        <w:ind w:left="2660"/>
        <w:spacing w:after="0"/>
        <w:rPr>
          <w:sz w:val="20"/>
          <w:szCs w:val="20"/>
          <w:color w:val="auto"/>
        </w:rPr>
      </w:pPr>
      <w:r>
        <w:rPr>
          <w:rFonts w:ascii="Courier New" w:cs="Courier New" w:eastAsia="Courier New" w:hAnsi="Courier New"/>
          <w:sz w:val="15"/>
          <w:szCs w:val="15"/>
          <w:color w:val="auto"/>
        </w:rPr>
        <w:t>BARCLAYS BANK PLC, as Agent and a</w:t>
      </w:r>
    </w:p>
    <w:p>
      <w:pPr>
        <w:ind w:left="2660"/>
        <w:spacing w:after="0"/>
        <w:rPr>
          <w:sz w:val="20"/>
          <w:szCs w:val="20"/>
          <w:color w:val="auto"/>
        </w:rPr>
      </w:pPr>
      <w:r>
        <w:rPr>
          <w:rFonts w:ascii="Courier New" w:cs="Courier New" w:eastAsia="Courier New" w:hAnsi="Courier New"/>
          <w:sz w:val="15"/>
          <w:szCs w:val="15"/>
          <w:color w:val="auto"/>
        </w:rPr>
        <w:t>Bank</w:t>
      </w:r>
    </w:p>
    <w:p>
      <w:pPr>
        <w:spacing w:after="0" w:line="338"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By:/s/ Andrew Wynn</w:t>
      </w:r>
    </w:p>
    <w:p>
      <w:pPr>
        <w:ind w:left="2940"/>
        <w:spacing w:after="0"/>
        <w:rPr>
          <w:sz w:val="20"/>
          <w:szCs w:val="20"/>
          <w:color w:val="auto"/>
        </w:rPr>
      </w:pPr>
      <w:r>
        <w:rPr>
          <w:rFonts w:ascii="Courier New" w:cs="Courier New" w:eastAsia="Courier New" w:hAnsi="Courier New"/>
          <w:sz w:val="15"/>
          <w:szCs w:val="15"/>
          <w:color w:val="auto"/>
        </w:rPr>
        <w:t>---------------------------</w:t>
      </w:r>
    </w:p>
    <w:p>
      <w:pPr>
        <w:ind w:left="2940"/>
        <w:spacing w:after="0"/>
        <w:rPr>
          <w:sz w:val="20"/>
          <w:szCs w:val="20"/>
          <w:color w:val="auto"/>
        </w:rPr>
      </w:pPr>
      <w:r>
        <w:rPr>
          <w:rFonts w:ascii="Courier New" w:cs="Courier New" w:eastAsia="Courier New" w:hAnsi="Courier New"/>
          <w:sz w:val="15"/>
          <w:szCs w:val="15"/>
          <w:color w:val="auto"/>
        </w:rPr>
        <w:t>Name: Andrew Wynn</w:t>
      </w:r>
    </w:p>
    <w:p>
      <w:pPr>
        <w:ind w:left="2940"/>
        <w:spacing w:after="0" w:line="238" w:lineRule="auto"/>
        <w:rPr>
          <w:sz w:val="20"/>
          <w:szCs w:val="20"/>
          <w:color w:val="auto"/>
        </w:rPr>
      </w:pPr>
      <w:r>
        <w:rPr>
          <w:rFonts w:ascii="Courier New" w:cs="Courier New" w:eastAsia="Courier New" w:hAnsi="Courier New"/>
          <w:sz w:val="15"/>
          <w:szCs w:val="15"/>
          <w:color w:val="auto"/>
        </w:rPr>
        <w:t>Title: Director</w:t>
      </w:r>
    </w:p>
    <w:p>
      <w:pPr>
        <w:spacing w:after="0" w:line="344"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CANADIAN IMPERIAL BANK OF COMMERCE,</w:t>
      </w:r>
    </w:p>
    <w:p>
      <w:pPr>
        <w:spacing w:after="0" w:line="5"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as Agent and a Bank</w:t>
      </w:r>
    </w:p>
    <w:p>
      <w:pPr>
        <w:spacing w:after="0" w:line="339"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By:/s/ John H. Tyler</w:t>
      </w:r>
    </w:p>
    <w:p>
      <w:pPr>
        <w:ind w:left="2940"/>
        <w:spacing w:after="0"/>
        <w:rPr>
          <w:sz w:val="20"/>
          <w:szCs w:val="20"/>
          <w:color w:val="auto"/>
        </w:rPr>
      </w:pPr>
      <w:r>
        <w:rPr>
          <w:rFonts w:ascii="Courier New" w:cs="Courier New" w:eastAsia="Courier New" w:hAnsi="Courier New"/>
          <w:sz w:val="15"/>
          <w:szCs w:val="15"/>
          <w:color w:val="auto"/>
        </w:rPr>
        <w:t>---------------------------</w:t>
      </w:r>
    </w:p>
    <w:p>
      <w:pPr>
        <w:ind w:left="2940"/>
        <w:spacing w:after="0"/>
        <w:rPr>
          <w:sz w:val="20"/>
          <w:szCs w:val="20"/>
          <w:color w:val="auto"/>
        </w:rPr>
      </w:pPr>
      <w:r>
        <w:rPr>
          <w:rFonts w:ascii="Courier New" w:cs="Courier New" w:eastAsia="Courier New" w:hAnsi="Courier New"/>
          <w:sz w:val="15"/>
          <w:szCs w:val="15"/>
          <w:color w:val="auto"/>
        </w:rPr>
        <w:t>Name: John H. Tyler</w:t>
      </w:r>
    </w:p>
    <w:p>
      <w:pPr>
        <w:ind w:left="29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THE CHASE MANHATTAN BANK (NATIONAL</w:t>
      </w:r>
    </w:p>
    <w:p>
      <w:pPr>
        <w:ind w:left="2660"/>
        <w:spacing w:after="0"/>
        <w:rPr>
          <w:sz w:val="20"/>
          <w:szCs w:val="20"/>
          <w:color w:val="auto"/>
        </w:rPr>
      </w:pPr>
      <w:r>
        <w:rPr>
          <w:rFonts w:ascii="Courier New" w:cs="Courier New" w:eastAsia="Courier New" w:hAnsi="Courier New"/>
          <w:sz w:val="15"/>
          <w:szCs w:val="15"/>
          <w:color w:val="auto"/>
        </w:rPr>
        <w:t>ASSOCIATION), as Agent and a Bank</w:t>
      </w:r>
    </w:p>
    <w:p>
      <w:pPr>
        <w:spacing w:after="0" w:line="338"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By:/s/ Bruce Langenkamp</w:t>
      </w:r>
    </w:p>
    <w:p>
      <w:pPr>
        <w:ind w:left="2940"/>
        <w:spacing w:after="0"/>
        <w:rPr>
          <w:sz w:val="20"/>
          <w:szCs w:val="20"/>
          <w:color w:val="auto"/>
        </w:rPr>
      </w:pPr>
      <w:r>
        <w:rPr>
          <w:rFonts w:ascii="Courier New" w:cs="Courier New" w:eastAsia="Courier New" w:hAnsi="Courier New"/>
          <w:sz w:val="15"/>
          <w:szCs w:val="15"/>
          <w:color w:val="auto"/>
        </w:rPr>
        <w:t>---------------------------</w:t>
      </w:r>
    </w:p>
    <w:p>
      <w:pPr>
        <w:ind w:left="2940"/>
        <w:spacing w:after="0"/>
        <w:rPr>
          <w:sz w:val="20"/>
          <w:szCs w:val="20"/>
          <w:color w:val="auto"/>
        </w:rPr>
      </w:pPr>
      <w:r>
        <w:rPr>
          <w:rFonts w:ascii="Courier New" w:cs="Courier New" w:eastAsia="Courier New" w:hAnsi="Courier New"/>
          <w:sz w:val="15"/>
          <w:szCs w:val="15"/>
          <w:color w:val="auto"/>
        </w:rPr>
        <w:t>Name: Bruce Langenkamp</w:t>
      </w:r>
    </w:p>
    <w:p>
      <w:pPr>
        <w:ind w:left="29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CREDIT LYONNAIS CAYMAN ISLAND</w:t>
      </w:r>
    </w:p>
    <w:p>
      <w:pPr>
        <w:ind w:left="2660"/>
        <w:spacing w:after="0"/>
        <w:rPr>
          <w:sz w:val="20"/>
          <w:szCs w:val="20"/>
          <w:color w:val="auto"/>
        </w:rPr>
      </w:pPr>
      <w:r>
        <w:rPr>
          <w:rFonts w:ascii="Courier New" w:cs="Courier New" w:eastAsia="Courier New" w:hAnsi="Courier New"/>
          <w:sz w:val="15"/>
          <w:szCs w:val="15"/>
          <w:color w:val="auto"/>
        </w:rPr>
        <w:t>BRANCH, as Agent and a Bank</w:t>
      </w:r>
    </w:p>
    <w:p>
      <w:pPr>
        <w:spacing w:after="0" w:line="338"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By:/s/ M. Bernadette Collins</w:t>
      </w:r>
    </w:p>
    <w:p>
      <w:pPr>
        <w:ind w:left="2940"/>
        <w:spacing w:after="0"/>
        <w:rPr>
          <w:sz w:val="20"/>
          <w:szCs w:val="20"/>
          <w:color w:val="auto"/>
        </w:rPr>
      </w:pPr>
      <w:r>
        <w:rPr>
          <w:rFonts w:ascii="Courier New" w:cs="Courier New" w:eastAsia="Courier New" w:hAnsi="Courier New"/>
          <w:sz w:val="15"/>
          <w:szCs w:val="15"/>
          <w:color w:val="auto"/>
        </w:rPr>
        <w:t>---------------------------</w:t>
      </w:r>
    </w:p>
    <w:p>
      <w:pPr>
        <w:ind w:left="2940"/>
        <w:spacing w:after="0"/>
        <w:rPr>
          <w:sz w:val="20"/>
          <w:szCs w:val="20"/>
          <w:color w:val="auto"/>
        </w:rPr>
      </w:pPr>
      <w:r>
        <w:rPr>
          <w:rFonts w:ascii="Courier New" w:cs="Courier New" w:eastAsia="Courier New" w:hAnsi="Courier New"/>
          <w:sz w:val="15"/>
          <w:szCs w:val="15"/>
          <w:color w:val="auto"/>
        </w:rPr>
        <w:t>Name: M. Bernadette Collins</w:t>
      </w:r>
    </w:p>
    <w:p>
      <w:pPr>
        <w:ind w:left="29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THE FIRST NATIONAL BANK OF BOSTON,</w:t>
      </w:r>
    </w:p>
    <w:p>
      <w:pPr>
        <w:ind w:left="2660"/>
        <w:spacing w:after="0"/>
        <w:rPr>
          <w:sz w:val="20"/>
          <w:szCs w:val="20"/>
          <w:color w:val="auto"/>
        </w:rPr>
      </w:pPr>
      <w:r>
        <w:rPr>
          <w:rFonts w:ascii="Courier New" w:cs="Courier New" w:eastAsia="Courier New" w:hAnsi="Courier New"/>
          <w:sz w:val="15"/>
          <w:szCs w:val="15"/>
          <w:color w:val="auto"/>
        </w:rPr>
        <w:t>as Agent and a Bank</w:t>
      </w:r>
    </w:p>
    <w:p>
      <w:pPr>
        <w:spacing w:after="0" w:line="338"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By:/s/ Mary M. Barcus</w:t>
      </w:r>
    </w:p>
    <w:p>
      <w:pPr>
        <w:ind w:left="2940"/>
        <w:spacing w:after="0"/>
        <w:rPr>
          <w:sz w:val="20"/>
          <w:szCs w:val="20"/>
          <w:color w:val="auto"/>
        </w:rPr>
      </w:pPr>
      <w:r>
        <w:rPr>
          <w:rFonts w:ascii="Courier New" w:cs="Courier New" w:eastAsia="Courier New" w:hAnsi="Courier New"/>
          <w:sz w:val="15"/>
          <w:szCs w:val="15"/>
          <w:color w:val="auto"/>
        </w:rPr>
        <w:t>---------------------------</w:t>
      </w:r>
    </w:p>
    <w:p>
      <w:pPr>
        <w:ind w:left="2940"/>
        <w:spacing w:after="0"/>
        <w:rPr>
          <w:sz w:val="20"/>
          <w:szCs w:val="20"/>
          <w:color w:val="auto"/>
        </w:rPr>
      </w:pPr>
      <w:r>
        <w:rPr>
          <w:rFonts w:ascii="Courier New" w:cs="Courier New" w:eastAsia="Courier New" w:hAnsi="Courier New"/>
          <w:sz w:val="15"/>
          <w:szCs w:val="15"/>
          <w:color w:val="auto"/>
        </w:rPr>
        <w:t>Name: Mary M. Barcus</w:t>
      </w:r>
    </w:p>
    <w:p>
      <w:pPr>
        <w:ind w:left="29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019"/>
          </w:cols>
          <w:pgMar w:left="1440" w:top="622" w:right="1440" w:bottom="1440" w:gutter="0" w:footer="0" w:header="0"/>
        </w:sectPr>
      </w:pPr>
    </w:p>
    <w:bookmarkStart w:id="144" w:name="page145"/>
    <w:bookmarkEnd w:id="144"/>
    <w:p>
      <w:pPr>
        <w:ind w:left="2660"/>
        <w:spacing w:after="0"/>
        <w:rPr>
          <w:sz w:val="20"/>
          <w:szCs w:val="20"/>
          <w:color w:val="auto"/>
        </w:rPr>
      </w:pPr>
      <w:r>
        <w:rPr>
          <w:rFonts w:ascii="Courier New" w:cs="Courier New" w:eastAsia="Courier New" w:hAnsi="Courier New"/>
          <w:sz w:val="14"/>
          <w:szCs w:val="14"/>
          <w:color w:val="auto"/>
        </w:rPr>
        <w:t>THE FUJI BANK, LIMITED, as Agent and</w:t>
      </w:r>
    </w:p>
    <w:p>
      <w:pPr>
        <w:spacing w:after="0" w:line="5"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a Bank</w:t>
      </w:r>
    </w:p>
    <w:p>
      <w:pPr>
        <w:spacing w:after="0" w:line="339"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By:/s/ Katsunori Nozawa</w:t>
      </w:r>
    </w:p>
    <w:p>
      <w:pPr>
        <w:ind w:left="2940"/>
        <w:spacing w:after="0"/>
        <w:rPr>
          <w:sz w:val="20"/>
          <w:szCs w:val="20"/>
          <w:color w:val="auto"/>
        </w:rPr>
      </w:pPr>
      <w:r>
        <w:rPr>
          <w:rFonts w:ascii="Courier New" w:cs="Courier New" w:eastAsia="Courier New" w:hAnsi="Courier New"/>
          <w:sz w:val="15"/>
          <w:szCs w:val="15"/>
          <w:color w:val="auto"/>
        </w:rPr>
        <w:t>---------------------------</w:t>
      </w:r>
    </w:p>
    <w:p>
      <w:pPr>
        <w:ind w:left="3020"/>
        <w:spacing w:after="0"/>
        <w:rPr>
          <w:sz w:val="20"/>
          <w:szCs w:val="20"/>
          <w:color w:val="auto"/>
        </w:rPr>
      </w:pPr>
      <w:r>
        <w:rPr>
          <w:rFonts w:ascii="Courier New" w:cs="Courier New" w:eastAsia="Courier New" w:hAnsi="Courier New"/>
          <w:sz w:val="15"/>
          <w:szCs w:val="15"/>
          <w:color w:val="auto"/>
        </w:rPr>
        <w:t>Name: Katsunori Nozawa</w:t>
      </w:r>
    </w:p>
    <w:p>
      <w:pPr>
        <w:ind w:left="3020"/>
        <w:spacing w:after="0" w:line="238" w:lineRule="auto"/>
        <w:rPr>
          <w:sz w:val="20"/>
          <w:szCs w:val="20"/>
          <w:color w:val="auto"/>
        </w:rPr>
      </w:pPr>
      <w:r>
        <w:rPr>
          <w:rFonts w:ascii="Courier New" w:cs="Courier New" w:eastAsia="Courier New" w:hAnsi="Courier New"/>
          <w:sz w:val="15"/>
          <w:szCs w:val="15"/>
          <w:color w:val="auto"/>
        </w:rPr>
        <w:t>Title: Vice President &amp;</w:t>
      </w:r>
    </w:p>
    <w:p>
      <w:pPr>
        <w:ind w:left="3640"/>
        <w:spacing w:after="0"/>
        <w:rPr>
          <w:sz w:val="20"/>
          <w:szCs w:val="20"/>
          <w:color w:val="auto"/>
        </w:rPr>
      </w:pPr>
      <w:r>
        <w:rPr>
          <w:rFonts w:ascii="Courier New" w:cs="Courier New" w:eastAsia="Courier New" w:hAnsi="Courier New"/>
          <w:sz w:val="15"/>
          <w:szCs w:val="15"/>
          <w:color w:val="auto"/>
        </w:rPr>
        <w:t>Manager</w:t>
      </w:r>
    </w:p>
    <w:p>
      <w:pPr>
        <w:spacing w:after="0" w:line="338"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THE INDUSTRIAL BANK OF JAPAN, LTD.,</w:t>
      </w:r>
    </w:p>
    <w:p>
      <w:pPr>
        <w:ind w:left="2660"/>
        <w:spacing w:after="0"/>
        <w:rPr>
          <w:sz w:val="20"/>
          <w:szCs w:val="20"/>
          <w:color w:val="auto"/>
        </w:rPr>
      </w:pPr>
      <w:r>
        <w:rPr>
          <w:rFonts w:ascii="Courier New" w:cs="Courier New" w:eastAsia="Courier New" w:hAnsi="Courier New"/>
          <w:sz w:val="15"/>
          <w:szCs w:val="15"/>
          <w:color w:val="auto"/>
        </w:rPr>
        <w:t>as Agent and a Bank</w:t>
      </w:r>
    </w:p>
    <w:p>
      <w:pPr>
        <w:spacing w:after="0" w:line="338"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By:/s/ Junri Oda</w:t>
      </w:r>
    </w:p>
    <w:p>
      <w:pPr>
        <w:ind w:left="2940"/>
        <w:spacing w:after="0"/>
        <w:rPr>
          <w:sz w:val="20"/>
          <w:szCs w:val="20"/>
          <w:color w:val="auto"/>
        </w:rPr>
      </w:pPr>
      <w:r>
        <w:rPr>
          <w:rFonts w:ascii="Courier New" w:cs="Courier New" w:eastAsia="Courier New" w:hAnsi="Courier New"/>
          <w:sz w:val="15"/>
          <w:szCs w:val="15"/>
          <w:color w:val="auto"/>
        </w:rPr>
        <w:t>---------------------------</w:t>
      </w:r>
    </w:p>
    <w:p>
      <w:pPr>
        <w:ind w:left="2940"/>
        <w:spacing w:after="0"/>
        <w:rPr>
          <w:sz w:val="20"/>
          <w:szCs w:val="20"/>
          <w:color w:val="auto"/>
        </w:rPr>
      </w:pPr>
      <w:r>
        <w:rPr>
          <w:rFonts w:ascii="Courier New" w:cs="Courier New" w:eastAsia="Courier New" w:hAnsi="Courier New"/>
          <w:sz w:val="15"/>
          <w:szCs w:val="15"/>
          <w:color w:val="auto"/>
        </w:rPr>
        <w:t>Name: Junri Oda</w:t>
      </w:r>
    </w:p>
    <w:p>
      <w:pPr>
        <w:ind w:left="2940"/>
        <w:spacing w:after="0" w:line="238" w:lineRule="auto"/>
        <w:rPr>
          <w:sz w:val="20"/>
          <w:szCs w:val="20"/>
          <w:color w:val="auto"/>
        </w:rPr>
      </w:pPr>
      <w:r>
        <w:rPr>
          <w:rFonts w:ascii="Courier New" w:cs="Courier New" w:eastAsia="Courier New" w:hAnsi="Courier New"/>
          <w:sz w:val="15"/>
          <w:szCs w:val="15"/>
          <w:color w:val="auto"/>
        </w:rPr>
        <w:t>Title: Sr. Vice President</w:t>
      </w:r>
    </w:p>
    <w:p>
      <w:pPr>
        <w:ind w:left="3560"/>
        <w:spacing w:after="0"/>
        <w:rPr>
          <w:sz w:val="20"/>
          <w:szCs w:val="20"/>
          <w:color w:val="auto"/>
        </w:rPr>
      </w:pPr>
      <w:r>
        <w:rPr>
          <w:rFonts w:ascii="Courier New" w:cs="Courier New" w:eastAsia="Courier New" w:hAnsi="Courier New"/>
          <w:sz w:val="15"/>
          <w:szCs w:val="15"/>
          <w:color w:val="auto"/>
        </w:rPr>
        <w:t>and Sr. Manager</w:t>
      </w:r>
    </w:p>
    <w:p>
      <w:pPr>
        <w:spacing w:after="0" w:line="338"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LTCB TRUST COMPANY, as Agent and a</w:t>
      </w:r>
    </w:p>
    <w:p>
      <w:pPr>
        <w:ind w:left="2660"/>
        <w:spacing w:after="0"/>
        <w:rPr>
          <w:sz w:val="20"/>
          <w:szCs w:val="20"/>
          <w:color w:val="auto"/>
        </w:rPr>
      </w:pPr>
      <w:r>
        <w:rPr>
          <w:rFonts w:ascii="Courier New" w:cs="Courier New" w:eastAsia="Courier New" w:hAnsi="Courier New"/>
          <w:sz w:val="15"/>
          <w:szCs w:val="15"/>
          <w:color w:val="auto"/>
        </w:rPr>
        <w:t>Bank</w:t>
      </w:r>
    </w:p>
    <w:p>
      <w:pPr>
        <w:spacing w:after="0" w:line="338"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By:/s/ Hiroshi Sasaki</w:t>
      </w:r>
    </w:p>
    <w:p>
      <w:pPr>
        <w:ind w:left="2940"/>
        <w:spacing w:after="0"/>
        <w:rPr>
          <w:sz w:val="20"/>
          <w:szCs w:val="20"/>
          <w:color w:val="auto"/>
        </w:rPr>
      </w:pPr>
      <w:r>
        <w:rPr>
          <w:rFonts w:ascii="Courier New" w:cs="Courier New" w:eastAsia="Courier New" w:hAnsi="Courier New"/>
          <w:sz w:val="15"/>
          <w:szCs w:val="15"/>
          <w:color w:val="auto"/>
        </w:rPr>
        <w:t>---------------------------</w:t>
      </w:r>
    </w:p>
    <w:p>
      <w:pPr>
        <w:ind w:left="2940"/>
        <w:spacing w:after="0"/>
        <w:rPr>
          <w:sz w:val="20"/>
          <w:szCs w:val="20"/>
          <w:color w:val="auto"/>
        </w:rPr>
      </w:pPr>
      <w:r>
        <w:rPr>
          <w:rFonts w:ascii="Courier New" w:cs="Courier New" w:eastAsia="Courier New" w:hAnsi="Courier New"/>
          <w:sz w:val="15"/>
          <w:szCs w:val="15"/>
          <w:color w:val="auto"/>
        </w:rPr>
        <w:t>Name: Hiroshi Sasaki</w:t>
      </w:r>
    </w:p>
    <w:p>
      <w:pPr>
        <w:ind w:left="2940"/>
        <w:spacing w:after="0" w:line="238" w:lineRule="auto"/>
        <w:rPr>
          <w:sz w:val="20"/>
          <w:szCs w:val="20"/>
          <w:color w:val="auto"/>
        </w:rPr>
      </w:pPr>
      <w:r>
        <w:rPr>
          <w:rFonts w:ascii="Courier New" w:cs="Courier New" w:eastAsia="Courier New" w:hAnsi="Courier New"/>
          <w:sz w:val="15"/>
          <w:szCs w:val="15"/>
          <w:color w:val="auto"/>
        </w:rPr>
        <w:t>Title: Sr. Vice President</w:t>
      </w:r>
    </w:p>
    <w:p>
      <w:pPr>
        <w:spacing w:after="0" w:line="339"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MELLON BANK, N.A., as Agent and a</w:t>
      </w:r>
    </w:p>
    <w:p>
      <w:pPr>
        <w:ind w:left="2660"/>
        <w:spacing w:after="0"/>
        <w:rPr>
          <w:sz w:val="20"/>
          <w:szCs w:val="20"/>
          <w:color w:val="auto"/>
        </w:rPr>
      </w:pPr>
      <w:r>
        <w:rPr>
          <w:rFonts w:ascii="Courier New" w:cs="Courier New" w:eastAsia="Courier New" w:hAnsi="Courier New"/>
          <w:sz w:val="15"/>
          <w:szCs w:val="15"/>
          <w:color w:val="auto"/>
        </w:rPr>
        <w:t>Bank</w:t>
      </w:r>
    </w:p>
    <w:p>
      <w:pPr>
        <w:spacing w:after="0" w:line="338"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By:/s/ G. Lewis Ashley</w:t>
      </w:r>
    </w:p>
    <w:p>
      <w:pPr>
        <w:ind w:left="2940"/>
        <w:spacing w:after="0"/>
        <w:rPr>
          <w:sz w:val="20"/>
          <w:szCs w:val="20"/>
          <w:color w:val="auto"/>
        </w:rPr>
      </w:pPr>
      <w:r>
        <w:rPr>
          <w:rFonts w:ascii="Courier New" w:cs="Courier New" w:eastAsia="Courier New" w:hAnsi="Courier New"/>
          <w:sz w:val="15"/>
          <w:szCs w:val="15"/>
          <w:color w:val="auto"/>
        </w:rPr>
        <w:t>---------------------------</w:t>
      </w:r>
    </w:p>
    <w:p>
      <w:pPr>
        <w:ind w:left="2940"/>
        <w:spacing w:after="0"/>
        <w:rPr>
          <w:sz w:val="20"/>
          <w:szCs w:val="20"/>
          <w:color w:val="auto"/>
        </w:rPr>
      </w:pPr>
      <w:r>
        <w:rPr>
          <w:rFonts w:ascii="Courier New" w:cs="Courier New" w:eastAsia="Courier New" w:hAnsi="Courier New"/>
          <w:sz w:val="15"/>
          <w:szCs w:val="15"/>
          <w:color w:val="auto"/>
        </w:rPr>
        <w:t>Name: G. Lewis Ashley</w:t>
      </w:r>
    </w:p>
    <w:p>
      <w:pPr>
        <w:ind w:left="2940"/>
        <w:spacing w:after="0" w:line="238" w:lineRule="auto"/>
        <w:rPr>
          <w:sz w:val="20"/>
          <w:szCs w:val="20"/>
          <w:color w:val="auto"/>
        </w:rPr>
      </w:pPr>
      <w:r>
        <w:rPr>
          <w:rFonts w:ascii="Courier New" w:cs="Courier New" w:eastAsia="Courier New" w:hAnsi="Courier New"/>
          <w:sz w:val="15"/>
          <w:szCs w:val="15"/>
          <w:color w:val="auto"/>
        </w:rPr>
        <w:t>Title: First Vice President</w:t>
      </w:r>
    </w:p>
    <w:p>
      <w:pPr>
        <w:spacing w:after="0" w:line="344"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NATIONSBANK OF TEXAS, N.A., as Agent</w:t>
      </w:r>
    </w:p>
    <w:p>
      <w:pPr>
        <w:spacing w:after="0" w:line="5"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and a Bank</w:t>
      </w:r>
    </w:p>
    <w:p>
      <w:pPr>
        <w:spacing w:after="0" w:line="339"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By:/s/ Chad E. Coben</w:t>
      </w:r>
    </w:p>
    <w:p>
      <w:pPr>
        <w:ind w:left="2940"/>
        <w:spacing w:after="0"/>
        <w:rPr>
          <w:sz w:val="20"/>
          <w:szCs w:val="20"/>
          <w:color w:val="auto"/>
        </w:rPr>
      </w:pPr>
      <w:r>
        <w:rPr>
          <w:rFonts w:ascii="Courier New" w:cs="Courier New" w:eastAsia="Courier New" w:hAnsi="Courier New"/>
          <w:sz w:val="15"/>
          <w:szCs w:val="15"/>
          <w:color w:val="auto"/>
        </w:rPr>
        <w:t>---------------------------</w:t>
      </w:r>
    </w:p>
    <w:p>
      <w:pPr>
        <w:ind w:left="2940"/>
        <w:spacing w:after="0"/>
        <w:rPr>
          <w:sz w:val="20"/>
          <w:szCs w:val="20"/>
          <w:color w:val="auto"/>
        </w:rPr>
      </w:pPr>
      <w:r>
        <w:rPr>
          <w:rFonts w:ascii="Courier New" w:cs="Courier New" w:eastAsia="Courier New" w:hAnsi="Courier New"/>
          <w:sz w:val="15"/>
          <w:szCs w:val="15"/>
          <w:color w:val="auto"/>
        </w:rPr>
        <w:t>Name: Chad E. Coben</w:t>
      </w:r>
    </w:p>
    <w:p>
      <w:pPr>
        <w:ind w:left="2940"/>
        <w:spacing w:after="0" w:line="238" w:lineRule="auto"/>
        <w:rPr>
          <w:sz w:val="20"/>
          <w:szCs w:val="20"/>
          <w:color w:val="auto"/>
        </w:rPr>
      </w:pPr>
      <w:r>
        <w:rPr>
          <w:rFonts w:ascii="Courier New" w:cs="Courier New" w:eastAsia="Courier New" w:hAnsi="Courier New"/>
          <w:sz w:val="15"/>
          <w:szCs w:val="15"/>
          <w:color w:val="auto"/>
        </w:rPr>
        <w:t>Title: Assistant Vice</w:t>
      </w:r>
    </w:p>
    <w:p>
      <w:pPr>
        <w:ind w:left="3560"/>
        <w:spacing w:after="0"/>
        <w:rPr>
          <w:sz w:val="20"/>
          <w:szCs w:val="20"/>
          <w:color w:val="auto"/>
        </w:rPr>
      </w:pPr>
      <w:r>
        <w:rPr>
          <w:rFonts w:ascii="Courier New" w:cs="Courier New" w:eastAsia="Courier New" w:hAnsi="Courier New"/>
          <w:sz w:val="15"/>
          <w:szCs w:val="15"/>
          <w:color w:val="auto"/>
        </w:rPr>
        <w:t>President</w:t>
      </w:r>
    </w:p>
    <w:p>
      <w:pPr>
        <w:spacing w:after="0" w:line="33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019"/>
          </w:cols>
          <w:pgMar w:left="1440" w:top="627" w:right="1440" w:bottom="1440" w:gutter="0" w:footer="0" w:header="0"/>
        </w:sectPr>
      </w:pPr>
    </w:p>
    <w:bookmarkStart w:id="145" w:name="page146"/>
    <w:bookmarkEnd w:id="145"/>
    <w:p>
      <w:pPr>
        <w:ind w:left="2660"/>
        <w:spacing w:after="0"/>
        <w:rPr>
          <w:sz w:val="20"/>
          <w:szCs w:val="20"/>
          <w:color w:val="auto"/>
        </w:rPr>
      </w:pPr>
      <w:r>
        <w:rPr>
          <w:rFonts w:ascii="Courier New" w:cs="Courier New" w:eastAsia="Courier New" w:hAnsi="Courier New"/>
          <w:sz w:val="15"/>
          <w:szCs w:val="15"/>
          <w:color w:val="auto"/>
        </w:rPr>
        <w:t>SOCIETE GENERALE, as Agent and a</w:t>
      </w:r>
    </w:p>
    <w:p>
      <w:pPr>
        <w:ind w:left="2660"/>
        <w:spacing w:after="0"/>
        <w:rPr>
          <w:sz w:val="20"/>
          <w:szCs w:val="20"/>
          <w:color w:val="auto"/>
        </w:rPr>
      </w:pPr>
      <w:r>
        <w:rPr>
          <w:rFonts w:ascii="Courier New" w:cs="Courier New" w:eastAsia="Courier New" w:hAnsi="Courier New"/>
          <w:sz w:val="15"/>
          <w:szCs w:val="15"/>
          <w:color w:val="auto"/>
        </w:rPr>
        <w:t>Bank</w:t>
      </w:r>
    </w:p>
    <w:p>
      <w:pPr>
        <w:spacing w:after="0" w:line="338"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By:/s/ Pascale Hainline</w:t>
      </w:r>
    </w:p>
    <w:p>
      <w:pPr>
        <w:ind w:left="2940"/>
        <w:spacing w:after="0"/>
        <w:rPr>
          <w:sz w:val="20"/>
          <w:szCs w:val="20"/>
          <w:color w:val="auto"/>
        </w:rPr>
      </w:pPr>
      <w:r>
        <w:rPr>
          <w:rFonts w:ascii="Courier New" w:cs="Courier New" w:eastAsia="Courier New" w:hAnsi="Courier New"/>
          <w:sz w:val="15"/>
          <w:szCs w:val="15"/>
          <w:color w:val="auto"/>
        </w:rPr>
        <w:t>---------------------------</w:t>
      </w:r>
    </w:p>
    <w:p>
      <w:pPr>
        <w:ind w:left="2940"/>
        <w:spacing w:after="0"/>
        <w:rPr>
          <w:sz w:val="20"/>
          <w:szCs w:val="20"/>
          <w:color w:val="auto"/>
        </w:rPr>
      </w:pPr>
      <w:r>
        <w:rPr>
          <w:rFonts w:ascii="Courier New" w:cs="Courier New" w:eastAsia="Courier New" w:hAnsi="Courier New"/>
          <w:sz w:val="15"/>
          <w:szCs w:val="15"/>
          <w:color w:val="auto"/>
        </w:rPr>
        <w:t>Name: Pascale Hainline</w:t>
      </w:r>
    </w:p>
    <w:p>
      <w:pPr>
        <w:ind w:left="29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44"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THE TORONTO-DOMINION BANK, as Agent</w:t>
      </w:r>
    </w:p>
    <w:p>
      <w:pPr>
        <w:spacing w:after="0" w:line="5"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and a Bank</w:t>
      </w:r>
    </w:p>
    <w:p>
      <w:pPr>
        <w:spacing w:after="0" w:line="339"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By:/s/ David G. Parker</w:t>
      </w:r>
    </w:p>
    <w:p>
      <w:pPr>
        <w:ind w:left="2940"/>
        <w:spacing w:after="0"/>
        <w:rPr>
          <w:sz w:val="20"/>
          <w:szCs w:val="20"/>
          <w:color w:val="auto"/>
        </w:rPr>
      </w:pPr>
      <w:r>
        <w:rPr>
          <w:rFonts w:ascii="Courier New" w:cs="Courier New" w:eastAsia="Courier New" w:hAnsi="Courier New"/>
          <w:sz w:val="15"/>
          <w:szCs w:val="15"/>
          <w:color w:val="auto"/>
        </w:rPr>
        <w:t>---------------------------</w:t>
      </w:r>
    </w:p>
    <w:p>
      <w:pPr>
        <w:ind w:left="2940"/>
        <w:spacing w:after="0"/>
        <w:rPr>
          <w:sz w:val="20"/>
          <w:szCs w:val="20"/>
          <w:color w:val="auto"/>
        </w:rPr>
      </w:pPr>
      <w:r>
        <w:rPr>
          <w:rFonts w:ascii="Courier New" w:cs="Courier New" w:eastAsia="Courier New" w:hAnsi="Courier New"/>
          <w:sz w:val="15"/>
          <w:szCs w:val="15"/>
          <w:color w:val="auto"/>
        </w:rPr>
        <w:t>Name: David G. Parker</w:t>
      </w:r>
    </w:p>
    <w:p>
      <w:pPr>
        <w:ind w:left="2940"/>
        <w:spacing w:after="0" w:line="238" w:lineRule="auto"/>
        <w:rPr>
          <w:sz w:val="20"/>
          <w:szCs w:val="20"/>
          <w:color w:val="auto"/>
        </w:rPr>
      </w:pPr>
      <w:r>
        <w:rPr>
          <w:rFonts w:ascii="Courier New" w:cs="Courier New" w:eastAsia="Courier New" w:hAnsi="Courier New"/>
          <w:sz w:val="15"/>
          <w:szCs w:val="15"/>
          <w:color w:val="auto"/>
        </w:rPr>
        <w:t>Title: Mgr. Cr. Admin.</w:t>
      </w:r>
    </w:p>
    <w:p>
      <w:pPr>
        <w:spacing w:after="0" w:line="339"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UNION BANK, as Agent and a Bank</w:t>
      </w:r>
    </w:p>
    <w:p>
      <w:pPr>
        <w:spacing w:after="0" w:line="339"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By:/s/ Michael K. McShane</w:t>
      </w:r>
    </w:p>
    <w:p>
      <w:pPr>
        <w:ind w:left="2940"/>
        <w:spacing w:after="0"/>
        <w:rPr>
          <w:sz w:val="20"/>
          <w:szCs w:val="20"/>
          <w:color w:val="auto"/>
        </w:rPr>
      </w:pPr>
      <w:r>
        <w:rPr>
          <w:rFonts w:ascii="Courier New" w:cs="Courier New" w:eastAsia="Courier New" w:hAnsi="Courier New"/>
          <w:sz w:val="15"/>
          <w:szCs w:val="15"/>
          <w:color w:val="auto"/>
        </w:rPr>
        <w:t>---------------------------</w:t>
      </w:r>
    </w:p>
    <w:p>
      <w:pPr>
        <w:ind w:left="2940"/>
        <w:spacing w:after="0"/>
        <w:rPr>
          <w:sz w:val="20"/>
          <w:szCs w:val="20"/>
          <w:color w:val="auto"/>
        </w:rPr>
      </w:pPr>
      <w:r>
        <w:rPr>
          <w:rFonts w:ascii="Courier New" w:cs="Courier New" w:eastAsia="Courier New" w:hAnsi="Courier New"/>
          <w:sz w:val="15"/>
          <w:szCs w:val="15"/>
          <w:color w:val="auto"/>
        </w:rPr>
        <w:t>Name: Michael K. McShane</w:t>
      </w:r>
    </w:p>
    <w:p>
      <w:pPr>
        <w:ind w:left="29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Co-Agents</w:t>
      </w:r>
    </w:p>
    <w:p>
      <w:pPr>
        <w:spacing w:after="0" w:line="339"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CREDIT SUISSE, as Co-Agent and a</w:t>
      </w:r>
    </w:p>
    <w:p>
      <w:pPr>
        <w:ind w:left="2660"/>
        <w:spacing w:after="0"/>
        <w:rPr>
          <w:sz w:val="20"/>
          <w:szCs w:val="20"/>
          <w:color w:val="auto"/>
        </w:rPr>
      </w:pPr>
      <w:r>
        <w:rPr>
          <w:rFonts w:ascii="Courier New" w:cs="Courier New" w:eastAsia="Courier New" w:hAnsi="Courier New"/>
          <w:sz w:val="15"/>
          <w:szCs w:val="15"/>
          <w:color w:val="auto"/>
        </w:rPr>
        <w:t>Bank</w:t>
      </w:r>
    </w:p>
    <w:p>
      <w:pPr>
        <w:spacing w:after="0" w:line="338"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By:/s/ Michael C. Mast</w:t>
      </w:r>
    </w:p>
    <w:p>
      <w:pPr>
        <w:ind w:left="2940"/>
        <w:spacing w:after="0"/>
        <w:rPr>
          <w:sz w:val="20"/>
          <w:szCs w:val="20"/>
          <w:color w:val="auto"/>
        </w:rPr>
      </w:pPr>
      <w:r>
        <w:rPr>
          <w:rFonts w:ascii="Courier New" w:cs="Courier New" w:eastAsia="Courier New" w:hAnsi="Courier New"/>
          <w:sz w:val="15"/>
          <w:szCs w:val="15"/>
          <w:color w:val="auto"/>
        </w:rPr>
        <w:t>---------------------------</w:t>
      </w:r>
    </w:p>
    <w:p>
      <w:pPr>
        <w:ind w:left="2940"/>
        <w:spacing w:after="0"/>
        <w:rPr>
          <w:sz w:val="20"/>
          <w:szCs w:val="20"/>
          <w:color w:val="auto"/>
        </w:rPr>
      </w:pPr>
      <w:r>
        <w:rPr>
          <w:rFonts w:ascii="Courier New" w:cs="Courier New" w:eastAsia="Courier New" w:hAnsi="Courier New"/>
          <w:sz w:val="15"/>
          <w:szCs w:val="15"/>
          <w:color w:val="auto"/>
        </w:rPr>
        <w:t>Name: Michael C. Mast</w:t>
      </w:r>
    </w:p>
    <w:p>
      <w:pPr>
        <w:ind w:left="2940"/>
        <w:spacing w:after="0" w:line="238" w:lineRule="auto"/>
        <w:rPr>
          <w:sz w:val="20"/>
          <w:szCs w:val="20"/>
          <w:color w:val="auto"/>
        </w:rPr>
      </w:pPr>
      <w:r>
        <w:rPr>
          <w:rFonts w:ascii="Courier New" w:cs="Courier New" w:eastAsia="Courier New" w:hAnsi="Courier New"/>
          <w:sz w:val="15"/>
          <w:szCs w:val="15"/>
          <w:color w:val="auto"/>
        </w:rPr>
        <w:t>Title: Member of Senior</w:t>
      </w:r>
    </w:p>
    <w:p>
      <w:pPr>
        <w:ind w:left="3560"/>
        <w:spacing w:after="0"/>
        <w:rPr>
          <w:sz w:val="20"/>
          <w:szCs w:val="20"/>
          <w:color w:val="auto"/>
        </w:rPr>
      </w:pPr>
      <w:r>
        <w:rPr>
          <w:rFonts w:ascii="Courier New" w:cs="Courier New" w:eastAsia="Courier New" w:hAnsi="Courier New"/>
          <w:sz w:val="15"/>
          <w:szCs w:val="15"/>
          <w:color w:val="auto"/>
        </w:rPr>
        <w:t>Management</w:t>
      </w:r>
    </w:p>
    <w:p>
      <w:pPr>
        <w:spacing w:after="0" w:line="169"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By:/s/ J. Hamilton Crawford</w:t>
      </w:r>
    </w:p>
    <w:p>
      <w:pPr>
        <w:ind w:left="2940"/>
        <w:spacing w:after="0"/>
        <w:rPr>
          <w:sz w:val="20"/>
          <w:szCs w:val="20"/>
          <w:color w:val="auto"/>
        </w:rPr>
      </w:pPr>
      <w:r>
        <w:rPr>
          <w:rFonts w:ascii="Courier New" w:cs="Courier New" w:eastAsia="Courier New" w:hAnsi="Courier New"/>
          <w:sz w:val="15"/>
          <w:szCs w:val="15"/>
          <w:color w:val="auto"/>
        </w:rPr>
        <w:t>---------------------------</w:t>
      </w:r>
    </w:p>
    <w:p>
      <w:pPr>
        <w:ind w:left="2940"/>
        <w:spacing w:after="0"/>
        <w:rPr>
          <w:sz w:val="20"/>
          <w:szCs w:val="20"/>
          <w:color w:val="auto"/>
        </w:rPr>
      </w:pPr>
      <w:r>
        <w:rPr>
          <w:rFonts w:ascii="Courier New" w:cs="Courier New" w:eastAsia="Courier New" w:hAnsi="Courier New"/>
          <w:sz w:val="15"/>
          <w:szCs w:val="15"/>
          <w:color w:val="auto"/>
        </w:rPr>
        <w:t>Name: J. Hamilton Crawford</w:t>
      </w:r>
    </w:p>
    <w:p>
      <w:pPr>
        <w:ind w:left="2940"/>
        <w:spacing w:after="0" w:line="238" w:lineRule="auto"/>
        <w:rPr>
          <w:sz w:val="20"/>
          <w:szCs w:val="20"/>
          <w:color w:val="auto"/>
        </w:rPr>
      </w:pPr>
      <w:r>
        <w:rPr>
          <w:rFonts w:ascii="Courier New" w:cs="Courier New" w:eastAsia="Courier New" w:hAnsi="Courier New"/>
          <w:sz w:val="15"/>
          <w:szCs w:val="15"/>
          <w:color w:val="auto"/>
        </w:rPr>
        <w:t>Title: Associate</w:t>
      </w:r>
    </w:p>
    <w:p>
      <w:pPr>
        <w:spacing w:after="0" w:line="33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019"/>
          </w:cols>
          <w:pgMar w:left="1440" w:top="622" w:right="1440" w:bottom="1440" w:gutter="0" w:footer="0" w:header="0"/>
        </w:sectPr>
      </w:pPr>
    </w:p>
    <w:bookmarkStart w:id="146" w:name="page147"/>
    <w:bookmarkEnd w:id="146"/>
    <w:p>
      <w:pPr>
        <w:ind w:left="2660"/>
        <w:spacing w:after="0"/>
        <w:rPr>
          <w:sz w:val="20"/>
          <w:szCs w:val="20"/>
          <w:color w:val="auto"/>
        </w:rPr>
      </w:pPr>
      <w:r>
        <w:rPr>
          <w:rFonts w:ascii="Courier New" w:cs="Courier New" w:eastAsia="Courier New" w:hAnsi="Courier New"/>
          <w:sz w:val="15"/>
          <w:szCs w:val="15"/>
          <w:color w:val="auto"/>
        </w:rPr>
        <w:t>THE DAI-ICHI KANGYO BANK LTD., NEW</w:t>
      </w:r>
    </w:p>
    <w:p>
      <w:pPr>
        <w:spacing w:after="0" w:line="5"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YORK BRANCH, as Co-Agent and a Bank</w:t>
      </w:r>
    </w:p>
    <w:p>
      <w:pPr>
        <w:spacing w:after="0" w:line="344"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By:/s/ Shinya Wako</w:t>
      </w:r>
    </w:p>
    <w:p>
      <w:pPr>
        <w:ind w:left="2940"/>
        <w:spacing w:after="0"/>
        <w:rPr>
          <w:sz w:val="20"/>
          <w:szCs w:val="20"/>
          <w:color w:val="auto"/>
        </w:rPr>
      </w:pPr>
      <w:r>
        <w:rPr>
          <w:rFonts w:ascii="Courier New" w:cs="Courier New" w:eastAsia="Courier New" w:hAnsi="Courier New"/>
          <w:sz w:val="15"/>
          <w:szCs w:val="15"/>
          <w:color w:val="auto"/>
        </w:rPr>
        <w:t>---------------------------</w:t>
      </w:r>
    </w:p>
    <w:p>
      <w:pPr>
        <w:ind w:left="2940"/>
        <w:spacing w:after="0"/>
        <w:rPr>
          <w:sz w:val="20"/>
          <w:szCs w:val="20"/>
          <w:color w:val="auto"/>
        </w:rPr>
      </w:pPr>
      <w:r>
        <w:rPr>
          <w:rFonts w:ascii="Courier New" w:cs="Courier New" w:eastAsia="Courier New" w:hAnsi="Courier New"/>
          <w:sz w:val="15"/>
          <w:szCs w:val="15"/>
          <w:color w:val="auto"/>
        </w:rPr>
        <w:t>Name: Shinya Wako</w:t>
      </w:r>
    </w:p>
    <w:p>
      <w:pPr>
        <w:ind w:left="2940"/>
        <w:spacing w:after="0" w:line="238" w:lineRule="auto"/>
        <w:rPr>
          <w:sz w:val="20"/>
          <w:szCs w:val="20"/>
          <w:color w:val="auto"/>
        </w:rPr>
      </w:pPr>
      <w:r>
        <w:rPr>
          <w:rFonts w:ascii="Courier New" w:cs="Courier New" w:eastAsia="Courier New" w:hAnsi="Courier New"/>
          <w:sz w:val="15"/>
          <w:szCs w:val="15"/>
          <w:color w:val="auto"/>
        </w:rPr>
        <w:t>Title: Vice President and</w:t>
      </w:r>
    </w:p>
    <w:p>
      <w:pPr>
        <w:ind w:left="3560"/>
        <w:spacing w:after="0"/>
        <w:rPr>
          <w:sz w:val="20"/>
          <w:szCs w:val="20"/>
          <w:color w:val="auto"/>
        </w:rPr>
      </w:pPr>
      <w:r>
        <w:rPr>
          <w:rFonts w:ascii="Courier New" w:cs="Courier New" w:eastAsia="Courier New" w:hAnsi="Courier New"/>
          <w:sz w:val="15"/>
          <w:szCs w:val="15"/>
          <w:color w:val="auto"/>
        </w:rPr>
        <w:t>Department Head</w:t>
      </w:r>
    </w:p>
    <w:p>
      <w:pPr>
        <w:spacing w:after="0" w:line="338"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THE MITSUBISHI BANK, LIMITED, as</w:t>
      </w:r>
    </w:p>
    <w:p>
      <w:pPr>
        <w:ind w:left="2660"/>
        <w:spacing w:after="0"/>
        <w:rPr>
          <w:sz w:val="20"/>
          <w:szCs w:val="20"/>
          <w:color w:val="auto"/>
        </w:rPr>
      </w:pPr>
      <w:r>
        <w:rPr>
          <w:rFonts w:ascii="Courier New" w:cs="Courier New" w:eastAsia="Courier New" w:hAnsi="Courier New"/>
          <w:sz w:val="15"/>
          <w:szCs w:val="15"/>
          <w:color w:val="auto"/>
        </w:rPr>
        <w:t>Co-Agent and a Bank</w:t>
      </w:r>
    </w:p>
    <w:p>
      <w:pPr>
        <w:spacing w:after="0" w:line="338"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By:/s/ Paula Mueller</w:t>
      </w:r>
    </w:p>
    <w:p>
      <w:pPr>
        <w:ind w:left="2940"/>
        <w:spacing w:after="0"/>
        <w:rPr>
          <w:sz w:val="20"/>
          <w:szCs w:val="20"/>
          <w:color w:val="auto"/>
        </w:rPr>
      </w:pPr>
      <w:r>
        <w:rPr>
          <w:rFonts w:ascii="Courier New" w:cs="Courier New" w:eastAsia="Courier New" w:hAnsi="Courier New"/>
          <w:sz w:val="15"/>
          <w:szCs w:val="15"/>
          <w:color w:val="auto"/>
        </w:rPr>
        <w:t>---------------------------</w:t>
      </w:r>
    </w:p>
    <w:p>
      <w:pPr>
        <w:ind w:left="2940"/>
        <w:spacing w:after="0"/>
        <w:rPr>
          <w:sz w:val="20"/>
          <w:szCs w:val="20"/>
          <w:color w:val="auto"/>
        </w:rPr>
      </w:pPr>
      <w:r>
        <w:rPr>
          <w:rFonts w:ascii="Courier New" w:cs="Courier New" w:eastAsia="Courier New" w:hAnsi="Courier New"/>
          <w:sz w:val="15"/>
          <w:szCs w:val="15"/>
          <w:color w:val="auto"/>
        </w:rPr>
        <w:t>Name: Paula Mueller</w:t>
      </w:r>
    </w:p>
    <w:p>
      <w:pPr>
        <w:ind w:left="29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THE MITSUBISHI TRUST &amp; BANKING</w:t>
      </w:r>
    </w:p>
    <w:p>
      <w:pPr>
        <w:spacing w:after="0" w:line="5"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CORPORATION, as Co-Agent and a Bank</w:t>
      </w:r>
    </w:p>
    <w:p>
      <w:pPr>
        <w:spacing w:after="0" w:line="344"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By:/s/ Masataka Ushio</w:t>
      </w:r>
    </w:p>
    <w:p>
      <w:pPr>
        <w:ind w:left="2940"/>
        <w:spacing w:after="0"/>
        <w:rPr>
          <w:sz w:val="20"/>
          <w:szCs w:val="20"/>
          <w:color w:val="auto"/>
        </w:rPr>
      </w:pPr>
      <w:r>
        <w:rPr>
          <w:rFonts w:ascii="Courier New" w:cs="Courier New" w:eastAsia="Courier New" w:hAnsi="Courier New"/>
          <w:sz w:val="15"/>
          <w:szCs w:val="15"/>
          <w:color w:val="auto"/>
        </w:rPr>
        <w:t>---------------------------</w:t>
      </w:r>
    </w:p>
    <w:p>
      <w:pPr>
        <w:ind w:left="2940"/>
        <w:spacing w:after="0"/>
        <w:rPr>
          <w:sz w:val="20"/>
          <w:szCs w:val="20"/>
          <w:color w:val="auto"/>
        </w:rPr>
      </w:pPr>
      <w:r>
        <w:rPr>
          <w:rFonts w:ascii="Courier New" w:cs="Courier New" w:eastAsia="Courier New" w:hAnsi="Courier New"/>
          <w:sz w:val="15"/>
          <w:szCs w:val="15"/>
          <w:color w:val="auto"/>
        </w:rPr>
        <w:t>Name: Masataka Ushio</w:t>
      </w:r>
    </w:p>
    <w:p>
      <w:pPr>
        <w:ind w:left="2940"/>
        <w:spacing w:after="0" w:line="238" w:lineRule="auto"/>
        <w:rPr>
          <w:sz w:val="20"/>
          <w:szCs w:val="20"/>
          <w:color w:val="auto"/>
        </w:rPr>
      </w:pPr>
      <w:r>
        <w:rPr>
          <w:rFonts w:ascii="Courier New" w:cs="Courier New" w:eastAsia="Courier New" w:hAnsi="Courier New"/>
          <w:sz w:val="15"/>
          <w:szCs w:val="15"/>
          <w:color w:val="auto"/>
        </w:rPr>
        <w:t>Title: Senior Vice</w:t>
      </w:r>
    </w:p>
    <w:p>
      <w:pPr>
        <w:ind w:left="3560"/>
        <w:spacing w:after="0"/>
        <w:rPr>
          <w:sz w:val="20"/>
          <w:szCs w:val="20"/>
          <w:color w:val="auto"/>
        </w:rPr>
      </w:pPr>
      <w:r>
        <w:rPr>
          <w:rFonts w:ascii="Courier New" w:cs="Courier New" w:eastAsia="Courier New" w:hAnsi="Courier New"/>
          <w:sz w:val="15"/>
          <w:szCs w:val="15"/>
          <w:color w:val="auto"/>
        </w:rPr>
        <w:t>President</w:t>
      </w:r>
    </w:p>
    <w:p>
      <w:pPr>
        <w:spacing w:after="0" w:line="338"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ROYAL BANK OF CANADA, as Co-Agent</w:t>
      </w:r>
    </w:p>
    <w:p>
      <w:pPr>
        <w:ind w:left="2660"/>
        <w:spacing w:after="0"/>
        <w:rPr>
          <w:sz w:val="20"/>
          <w:szCs w:val="20"/>
          <w:color w:val="auto"/>
        </w:rPr>
      </w:pPr>
      <w:r>
        <w:rPr>
          <w:rFonts w:ascii="Courier New" w:cs="Courier New" w:eastAsia="Courier New" w:hAnsi="Courier New"/>
          <w:sz w:val="15"/>
          <w:szCs w:val="15"/>
          <w:color w:val="auto"/>
        </w:rPr>
        <w:t>and a Bank</w:t>
      </w:r>
    </w:p>
    <w:p>
      <w:pPr>
        <w:spacing w:after="0" w:line="338"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By:/s/ Eduardo Salazar</w:t>
      </w:r>
    </w:p>
    <w:p>
      <w:pPr>
        <w:ind w:left="2940"/>
        <w:spacing w:after="0"/>
        <w:rPr>
          <w:sz w:val="20"/>
          <w:szCs w:val="20"/>
          <w:color w:val="auto"/>
        </w:rPr>
      </w:pPr>
      <w:r>
        <w:rPr>
          <w:rFonts w:ascii="Courier New" w:cs="Courier New" w:eastAsia="Courier New" w:hAnsi="Courier New"/>
          <w:sz w:val="15"/>
          <w:szCs w:val="15"/>
          <w:color w:val="auto"/>
        </w:rPr>
        <w:t>---------------------------</w:t>
      </w:r>
    </w:p>
    <w:p>
      <w:pPr>
        <w:ind w:left="2940"/>
        <w:spacing w:after="0"/>
        <w:rPr>
          <w:sz w:val="20"/>
          <w:szCs w:val="20"/>
          <w:color w:val="auto"/>
        </w:rPr>
      </w:pPr>
      <w:r>
        <w:rPr>
          <w:rFonts w:ascii="Courier New" w:cs="Courier New" w:eastAsia="Courier New" w:hAnsi="Courier New"/>
          <w:sz w:val="15"/>
          <w:szCs w:val="15"/>
          <w:color w:val="auto"/>
        </w:rPr>
        <w:t>Name: Eduardo Salazar</w:t>
      </w:r>
    </w:p>
    <w:p>
      <w:pPr>
        <w:ind w:left="2940"/>
        <w:spacing w:after="0" w:line="238" w:lineRule="auto"/>
        <w:rPr>
          <w:sz w:val="20"/>
          <w:szCs w:val="20"/>
          <w:color w:val="auto"/>
        </w:rPr>
      </w:pPr>
      <w:r>
        <w:rPr>
          <w:rFonts w:ascii="Courier New" w:cs="Courier New" w:eastAsia="Courier New" w:hAnsi="Courier New"/>
          <w:sz w:val="15"/>
          <w:szCs w:val="15"/>
          <w:color w:val="auto"/>
        </w:rPr>
        <w:t>Title: Senior Manager</w:t>
      </w:r>
    </w:p>
    <w:p>
      <w:pPr>
        <w:spacing w:after="0" w:line="33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019"/>
          </w:cols>
          <w:pgMar w:left="1440" w:top="791" w:right="1440" w:bottom="1440" w:gutter="0" w:footer="0" w:header="0"/>
        </w:sectPr>
      </w:pPr>
    </w:p>
    <w:bookmarkStart w:id="147" w:name="page148"/>
    <w:bookmarkEnd w:id="147"/>
    <w:p>
      <w:pPr>
        <w:ind w:left="2660"/>
        <w:spacing w:after="0"/>
        <w:rPr>
          <w:sz w:val="20"/>
          <w:szCs w:val="20"/>
          <w:color w:val="auto"/>
        </w:rPr>
      </w:pPr>
      <w:r>
        <w:rPr>
          <w:rFonts w:ascii="Courier New" w:cs="Courier New" w:eastAsia="Courier New" w:hAnsi="Courier New"/>
          <w:sz w:val="15"/>
          <w:szCs w:val="15"/>
          <w:color w:val="auto"/>
        </w:rPr>
        <w:t>THE SANWA BANK, LTD., as Co-Agent</w:t>
      </w:r>
    </w:p>
    <w:p>
      <w:pPr>
        <w:ind w:left="2660"/>
        <w:spacing w:after="0"/>
        <w:rPr>
          <w:sz w:val="20"/>
          <w:szCs w:val="20"/>
          <w:color w:val="auto"/>
        </w:rPr>
      </w:pPr>
      <w:r>
        <w:rPr>
          <w:rFonts w:ascii="Courier New" w:cs="Courier New" w:eastAsia="Courier New" w:hAnsi="Courier New"/>
          <w:sz w:val="15"/>
          <w:szCs w:val="15"/>
          <w:color w:val="auto"/>
        </w:rPr>
        <w:t>and a Bank</w:t>
      </w:r>
    </w:p>
    <w:p>
      <w:pPr>
        <w:spacing w:after="0" w:line="338"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By:/s/ Dominic Sorresso</w:t>
      </w:r>
    </w:p>
    <w:p>
      <w:pPr>
        <w:ind w:left="2940"/>
        <w:spacing w:after="0"/>
        <w:rPr>
          <w:sz w:val="20"/>
          <w:szCs w:val="20"/>
          <w:color w:val="auto"/>
        </w:rPr>
      </w:pPr>
      <w:r>
        <w:rPr>
          <w:rFonts w:ascii="Courier New" w:cs="Courier New" w:eastAsia="Courier New" w:hAnsi="Courier New"/>
          <w:sz w:val="15"/>
          <w:szCs w:val="15"/>
          <w:color w:val="auto"/>
        </w:rPr>
        <w:t>---------------------------</w:t>
      </w:r>
    </w:p>
    <w:p>
      <w:pPr>
        <w:ind w:left="2940"/>
        <w:spacing w:after="0"/>
        <w:rPr>
          <w:sz w:val="20"/>
          <w:szCs w:val="20"/>
          <w:color w:val="auto"/>
        </w:rPr>
      </w:pPr>
      <w:r>
        <w:rPr>
          <w:rFonts w:ascii="Courier New" w:cs="Courier New" w:eastAsia="Courier New" w:hAnsi="Courier New"/>
          <w:sz w:val="15"/>
          <w:szCs w:val="15"/>
          <w:color w:val="auto"/>
        </w:rPr>
        <w:t>Name: Dominic Sorresso</w:t>
      </w:r>
    </w:p>
    <w:p>
      <w:pPr>
        <w:ind w:left="29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44"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THE SUMITOMO BANK, LIMITED, NEW YORK</w:t>
      </w:r>
    </w:p>
    <w:p>
      <w:pPr>
        <w:spacing w:after="0" w:line="5"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BRANCH, as Co-Agent and a Bank</w:t>
      </w:r>
    </w:p>
    <w:p>
      <w:pPr>
        <w:spacing w:after="0" w:line="339"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By:/s/ Yoshinori Kawamura</w:t>
      </w:r>
    </w:p>
    <w:p>
      <w:pPr>
        <w:ind w:left="2940"/>
        <w:spacing w:after="0"/>
        <w:rPr>
          <w:sz w:val="20"/>
          <w:szCs w:val="20"/>
          <w:color w:val="auto"/>
        </w:rPr>
      </w:pPr>
      <w:r>
        <w:rPr>
          <w:rFonts w:ascii="Courier New" w:cs="Courier New" w:eastAsia="Courier New" w:hAnsi="Courier New"/>
          <w:sz w:val="15"/>
          <w:szCs w:val="15"/>
          <w:color w:val="auto"/>
        </w:rPr>
        <w:t>---------------------------</w:t>
      </w:r>
    </w:p>
    <w:p>
      <w:pPr>
        <w:ind w:left="2940"/>
        <w:spacing w:after="0"/>
        <w:rPr>
          <w:sz w:val="20"/>
          <w:szCs w:val="20"/>
          <w:color w:val="auto"/>
        </w:rPr>
      </w:pPr>
      <w:r>
        <w:rPr>
          <w:rFonts w:ascii="Courier New" w:cs="Courier New" w:eastAsia="Courier New" w:hAnsi="Courier New"/>
          <w:sz w:val="15"/>
          <w:szCs w:val="15"/>
          <w:color w:val="auto"/>
        </w:rPr>
        <w:t>Name: Yoshinori Kawamura</w:t>
      </w:r>
    </w:p>
    <w:p>
      <w:pPr>
        <w:ind w:left="2940"/>
        <w:spacing w:after="0" w:line="238" w:lineRule="auto"/>
        <w:rPr>
          <w:sz w:val="20"/>
          <w:szCs w:val="20"/>
          <w:color w:val="auto"/>
        </w:rPr>
      </w:pPr>
      <w:r>
        <w:rPr>
          <w:rFonts w:ascii="Courier New" w:cs="Courier New" w:eastAsia="Courier New" w:hAnsi="Courier New"/>
          <w:sz w:val="15"/>
          <w:szCs w:val="15"/>
          <w:color w:val="auto"/>
        </w:rPr>
        <w:t>Title: Joint General Manager</w:t>
      </w:r>
    </w:p>
    <w:p>
      <w:pPr>
        <w:spacing w:after="0" w:line="339"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UNION BANK OF SWITZERLAND, as</w:t>
      </w:r>
    </w:p>
    <w:p>
      <w:pPr>
        <w:ind w:left="2660"/>
        <w:spacing w:after="0"/>
        <w:rPr>
          <w:sz w:val="20"/>
          <w:szCs w:val="20"/>
          <w:color w:val="auto"/>
        </w:rPr>
      </w:pPr>
      <w:r>
        <w:rPr>
          <w:rFonts w:ascii="Courier New" w:cs="Courier New" w:eastAsia="Courier New" w:hAnsi="Courier New"/>
          <w:sz w:val="15"/>
          <w:szCs w:val="15"/>
          <w:color w:val="auto"/>
        </w:rPr>
        <w:t>Co-Agent and a Bank</w:t>
      </w:r>
    </w:p>
    <w:p>
      <w:pPr>
        <w:spacing w:after="0" w:line="338"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By:/s/ James P. Kelleher</w:t>
      </w:r>
    </w:p>
    <w:p>
      <w:pPr>
        <w:ind w:left="2940"/>
        <w:spacing w:after="0"/>
        <w:rPr>
          <w:sz w:val="20"/>
          <w:szCs w:val="20"/>
          <w:color w:val="auto"/>
        </w:rPr>
      </w:pPr>
      <w:r>
        <w:rPr>
          <w:rFonts w:ascii="Courier New" w:cs="Courier New" w:eastAsia="Courier New" w:hAnsi="Courier New"/>
          <w:sz w:val="15"/>
          <w:szCs w:val="15"/>
          <w:color w:val="auto"/>
        </w:rPr>
        <w:t>---------------------------</w:t>
      </w:r>
    </w:p>
    <w:p>
      <w:pPr>
        <w:ind w:left="2940"/>
        <w:spacing w:after="0"/>
        <w:rPr>
          <w:sz w:val="20"/>
          <w:szCs w:val="20"/>
          <w:color w:val="auto"/>
        </w:rPr>
      </w:pPr>
      <w:r>
        <w:rPr>
          <w:rFonts w:ascii="Courier New" w:cs="Courier New" w:eastAsia="Courier New" w:hAnsi="Courier New"/>
          <w:sz w:val="15"/>
          <w:szCs w:val="15"/>
          <w:color w:val="auto"/>
        </w:rPr>
        <w:t>Name: James P. Kelleher</w:t>
      </w:r>
    </w:p>
    <w:p>
      <w:pPr>
        <w:ind w:left="2940"/>
        <w:spacing w:after="0" w:line="238" w:lineRule="auto"/>
        <w:rPr>
          <w:sz w:val="20"/>
          <w:szCs w:val="20"/>
          <w:color w:val="auto"/>
        </w:rPr>
      </w:pPr>
      <w:r>
        <w:rPr>
          <w:rFonts w:ascii="Courier New" w:cs="Courier New" w:eastAsia="Courier New" w:hAnsi="Courier New"/>
          <w:sz w:val="15"/>
          <w:szCs w:val="15"/>
          <w:color w:val="auto"/>
        </w:rPr>
        <w:t>Title: Assistant Treasurer</w:t>
      </w:r>
    </w:p>
    <w:p>
      <w:pPr>
        <w:spacing w:after="0" w:line="339"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By:/s/ Peter B. Yearly</w:t>
      </w:r>
    </w:p>
    <w:p>
      <w:pPr>
        <w:ind w:left="2940"/>
        <w:spacing w:after="0"/>
        <w:rPr>
          <w:sz w:val="20"/>
          <w:szCs w:val="20"/>
          <w:color w:val="auto"/>
        </w:rPr>
      </w:pPr>
      <w:r>
        <w:rPr>
          <w:rFonts w:ascii="Courier New" w:cs="Courier New" w:eastAsia="Courier New" w:hAnsi="Courier New"/>
          <w:sz w:val="15"/>
          <w:szCs w:val="15"/>
          <w:color w:val="auto"/>
        </w:rPr>
        <w:t>---------------------------</w:t>
      </w:r>
    </w:p>
    <w:p>
      <w:pPr>
        <w:ind w:left="2940"/>
        <w:spacing w:after="0"/>
        <w:rPr>
          <w:sz w:val="20"/>
          <w:szCs w:val="20"/>
          <w:color w:val="auto"/>
        </w:rPr>
      </w:pPr>
      <w:r>
        <w:rPr>
          <w:rFonts w:ascii="Courier New" w:cs="Courier New" w:eastAsia="Courier New" w:hAnsi="Courier New"/>
          <w:sz w:val="15"/>
          <w:szCs w:val="15"/>
          <w:color w:val="auto"/>
        </w:rPr>
        <w:t>Name: Peter B. Yearly</w:t>
      </w:r>
    </w:p>
    <w:p>
      <w:pPr>
        <w:ind w:left="29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Syndication Agent</w:t>
      </w:r>
    </w:p>
    <w:p>
      <w:pPr>
        <w:spacing w:after="0" w:line="339"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JP MORGAN SECURITIES INC., as the</w:t>
      </w:r>
    </w:p>
    <w:p>
      <w:pPr>
        <w:ind w:left="2660"/>
        <w:spacing w:after="0"/>
        <w:rPr>
          <w:sz w:val="20"/>
          <w:szCs w:val="20"/>
          <w:color w:val="auto"/>
        </w:rPr>
      </w:pPr>
      <w:r>
        <w:rPr>
          <w:rFonts w:ascii="Courier New" w:cs="Courier New" w:eastAsia="Courier New" w:hAnsi="Courier New"/>
          <w:sz w:val="15"/>
          <w:szCs w:val="15"/>
          <w:color w:val="auto"/>
        </w:rPr>
        <w:t>Syndication Agent</w:t>
      </w:r>
    </w:p>
    <w:p>
      <w:pPr>
        <w:spacing w:after="0" w:line="338"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By:/s/ Barbara J. Asch</w:t>
      </w:r>
    </w:p>
    <w:p>
      <w:pPr>
        <w:ind w:left="2940"/>
        <w:spacing w:after="0"/>
        <w:rPr>
          <w:sz w:val="20"/>
          <w:szCs w:val="20"/>
          <w:color w:val="auto"/>
        </w:rPr>
      </w:pPr>
      <w:r>
        <w:rPr>
          <w:rFonts w:ascii="Courier New" w:cs="Courier New" w:eastAsia="Courier New" w:hAnsi="Courier New"/>
          <w:sz w:val="15"/>
          <w:szCs w:val="15"/>
          <w:color w:val="auto"/>
        </w:rPr>
        <w:t>---------------------------</w:t>
      </w:r>
    </w:p>
    <w:p>
      <w:pPr>
        <w:ind w:left="2940"/>
        <w:spacing w:after="0"/>
        <w:rPr>
          <w:sz w:val="20"/>
          <w:szCs w:val="20"/>
          <w:color w:val="auto"/>
        </w:rPr>
      </w:pPr>
      <w:r>
        <w:rPr>
          <w:rFonts w:ascii="Courier New" w:cs="Courier New" w:eastAsia="Courier New" w:hAnsi="Courier New"/>
          <w:sz w:val="15"/>
          <w:szCs w:val="15"/>
          <w:color w:val="auto"/>
        </w:rPr>
        <w:t>Name: Barbara J. Asch</w:t>
      </w:r>
    </w:p>
    <w:p>
      <w:pPr>
        <w:ind w:left="29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019"/>
          </w:cols>
          <w:pgMar w:left="1440" w:top="622" w:right="1440" w:bottom="1440" w:gutter="0" w:footer="0" w:header="0"/>
        </w:sectPr>
      </w:pPr>
    </w:p>
    <w:bookmarkStart w:id="148" w:name="page149"/>
    <w:bookmarkEnd w:id="148"/>
    <w:p>
      <w:pPr>
        <w:ind w:left="2660"/>
        <w:spacing w:after="0"/>
        <w:rPr>
          <w:sz w:val="20"/>
          <w:szCs w:val="20"/>
          <w:color w:val="auto"/>
        </w:rPr>
      </w:pPr>
      <w:r>
        <w:rPr>
          <w:rFonts w:ascii="Courier New" w:cs="Courier New" w:eastAsia="Courier New" w:hAnsi="Courier New"/>
          <w:sz w:val="15"/>
          <w:szCs w:val="15"/>
          <w:color w:val="auto"/>
        </w:rPr>
        <w:t>Lead Managers</w:t>
      </w:r>
    </w:p>
    <w:p>
      <w:pPr>
        <w:spacing w:after="0" w:line="175"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CHEMICAL BANK, as Lead Manager and a</w:t>
      </w:r>
    </w:p>
    <w:p>
      <w:pPr>
        <w:spacing w:after="0" w:line="5"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Bank</w:t>
      </w:r>
    </w:p>
    <w:p>
      <w:pPr>
        <w:spacing w:after="0" w:line="339"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By:/s/ John C. Coffin</w:t>
      </w:r>
    </w:p>
    <w:p>
      <w:pPr>
        <w:ind w:left="2940"/>
        <w:spacing w:after="0"/>
        <w:rPr>
          <w:sz w:val="20"/>
          <w:szCs w:val="20"/>
          <w:color w:val="auto"/>
        </w:rPr>
      </w:pPr>
      <w:r>
        <w:rPr>
          <w:rFonts w:ascii="Courier New" w:cs="Courier New" w:eastAsia="Courier New" w:hAnsi="Courier New"/>
          <w:sz w:val="15"/>
          <w:szCs w:val="15"/>
          <w:color w:val="auto"/>
        </w:rPr>
        <w:t>---------------------------</w:t>
      </w:r>
    </w:p>
    <w:p>
      <w:pPr>
        <w:ind w:left="2940"/>
        <w:spacing w:after="0"/>
        <w:rPr>
          <w:sz w:val="20"/>
          <w:szCs w:val="20"/>
          <w:color w:val="auto"/>
        </w:rPr>
      </w:pPr>
      <w:r>
        <w:rPr>
          <w:rFonts w:ascii="Courier New" w:cs="Courier New" w:eastAsia="Courier New" w:hAnsi="Courier New"/>
          <w:sz w:val="15"/>
          <w:szCs w:val="15"/>
          <w:color w:val="auto"/>
        </w:rPr>
        <w:t>Name: John C. Coffin</w:t>
      </w:r>
    </w:p>
    <w:p>
      <w:pPr>
        <w:ind w:left="29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DEUTSCHE BANK AG, through its New</w:t>
      </w:r>
    </w:p>
    <w:p>
      <w:pPr>
        <w:ind w:left="2660"/>
        <w:spacing w:after="0"/>
        <w:rPr>
          <w:sz w:val="20"/>
          <w:szCs w:val="20"/>
          <w:color w:val="auto"/>
        </w:rPr>
      </w:pPr>
      <w:r>
        <w:rPr>
          <w:rFonts w:ascii="Courier New" w:cs="Courier New" w:eastAsia="Courier New" w:hAnsi="Courier New"/>
          <w:sz w:val="15"/>
          <w:szCs w:val="15"/>
          <w:color w:val="auto"/>
        </w:rPr>
        <w:t>York and/or Cayman Islands Branch,</w:t>
      </w:r>
    </w:p>
    <w:p>
      <w:pPr>
        <w:ind w:left="2660"/>
        <w:spacing w:after="0"/>
        <w:rPr>
          <w:sz w:val="20"/>
          <w:szCs w:val="20"/>
          <w:color w:val="auto"/>
        </w:rPr>
      </w:pPr>
      <w:r>
        <w:rPr>
          <w:rFonts w:ascii="Courier New" w:cs="Courier New" w:eastAsia="Courier New" w:hAnsi="Courier New"/>
          <w:sz w:val="15"/>
          <w:szCs w:val="15"/>
          <w:color w:val="auto"/>
        </w:rPr>
        <w:t>as Lead Manager and a Bank</w:t>
      </w:r>
    </w:p>
    <w:p>
      <w:pPr>
        <w:spacing w:after="0" w:line="338"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By:/s/ Bina R. Dabbah</w:t>
      </w:r>
    </w:p>
    <w:p>
      <w:pPr>
        <w:ind w:left="2940"/>
        <w:spacing w:after="0"/>
        <w:rPr>
          <w:sz w:val="20"/>
          <w:szCs w:val="20"/>
          <w:color w:val="auto"/>
        </w:rPr>
      </w:pPr>
      <w:r>
        <w:rPr>
          <w:rFonts w:ascii="Courier New" w:cs="Courier New" w:eastAsia="Courier New" w:hAnsi="Courier New"/>
          <w:sz w:val="15"/>
          <w:szCs w:val="15"/>
          <w:color w:val="auto"/>
        </w:rPr>
        <w:t>---------------------------</w:t>
      </w:r>
    </w:p>
    <w:p>
      <w:pPr>
        <w:ind w:left="2940"/>
        <w:spacing w:after="0"/>
        <w:rPr>
          <w:sz w:val="20"/>
          <w:szCs w:val="20"/>
          <w:color w:val="auto"/>
        </w:rPr>
      </w:pPr>
      <w:r>
        <w:rPr>
          <w:rFonts w:ascii="Courier New" w:cs="Courier New" w:eastAsia="Courier New" w:hAnsi="Courier New"/>
          <w:sz w:val="15"/>
          <w:szCs w:val="15"/>
          <w:color w:val="auto"/>
        </w:rPr>
        <w:t>Name: Bina R. Dabbah</w:t>
      </w:r>
    </w:p>
    <w:p>
      <w:pPr>
        <w:ind w:left="29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By:/s/ John R. Lilly</w:t>
      </w:r>
    </w:p>
    <w:p>
      <w:pPr>
        <w:ind w:left="2940"/>
        <w:spacing w:after="0"/>
        <w:rPr>
          <w:sz w:val="20"/>
          <w:szCs w:val="20"/>
          <w:color w:val="auto"/>
        </w:rPr>
      </w:pPr>
      <w:r>
        <w:rPr>
          <w:rFonts w:ascii="Courier New" w:cs="Courier New" w:eastAsia="Courier New" w:hAnsi="Courier New"/>
          <w:sz w:val="15"/>
          <w:szCs w:val="15"/>
          <w:color w:val="auto"/>
        </w:rPr>
        <w:t>---------------------------</w:t>
      </w:r>
    </w:p>
    <w:p>
      <w:pPr>
        <w:ind w:left="2940"/>
        <w:spacing w:after="0"/>
        <w:rPr>
          <w:sz w:val="20"/>
          <w:szCs w:val="20"/>
          <w:color w:val="auto"/>
        </w:rPr>
      </w:pPr>
      <w:r>
        <w:rPr>
          <w:rFonts w:ascii="Courier New" w:cs="Courier New" w:eastAsia="Courier New" w:hAnsi="Courier New"/>
          <w:sz w:val="15"/>
          <w:szCs w:val="15"/>
          <w:color w:val="auto"/>
        </w:rPr>
        <w:t>Name: John R. Lilly</w:t>
      </w:r>
    </w:p>
    <w:p>
      <w:pPr>
        <w:ind w:left="29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169"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Participants</w:t>
      </w:r>
    </w:p>
    <w:p>
      <w:pPr>
        <w:spacing w:after="0" w:line="169"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THE SAKURA BANK, LIMITED, as</w:t>
      </w:r>
    </w:p>
    <w:p>
      <w:pPr>
        <w:ind w:left="2660"/>
        <w:spacing w:after="0"/>
        <w:rPr>
          <w:sz w:val="20"/>
          <w:szCs w:val="20"/>
          <w:color w:val="auto"/>
        </w:rPr>
      </w:pPr>
      <w:r>
        <w:rPr>
          <w:rFonts w:ascii="Courier New" w:cs="Courier New" w:eastAsia="Courier New" w:hAnsi="Courier New"/>
          <w:sz w:val="15"/>
          <w:szCs w:val="15"/>
          <w:color w:val="auto"/>
        </w:rPr>
        <w:t>Participant and a Bank</w:t>
      </w:r>
    </w:p>
    <w:p>
      <w:pPr>
        <w:spacing w:after="0" w:line="338"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By:/s/ Masahiro Nakajo</w:t>
      </w:r>
    </w:p>
    <w:p>
      <w:pPr>
        <w:ind w:left="2940"/>
        <w:spacing w:after="0"/>
        <w:rPr>
          <w:sz w:val="20"/>
          <w:szCs w:val="20"/>
          <w:color w:val="auto"/>
        </w:rPr>
      </w:pPr>
      <w:r>
        <w:rPr>
          <w:rFonts w:ascii="Courier New" w:cs="Courier New" w:eastAsia="Courier New" w:hAnsi="Courier New"/>
          <w:sz w:val="15"/>
          <w:szCs w:val="15"/>
          <w:color w:val="auto"/>
        </w:rPr>
        <w:t>---------------------------</w:t>
      </w:r>
    </w:p>
    <w:p>
      <w:pPr>
        <w:ind w:left="2940"/>
        <w:spacing w:after="0"/>
        <w:rPr>
          <w:sz w:val="20"/>
          <w:szCs w:val="20"/>
          <w:color w:val="auto"/>
        </w:rPr>
      </w:pPr>
      <w:r>
        <w:rPr>
          <w:rFonts w:ascii="Courier New" w:cs="Courier New" w:eastAsia="Courier New" w:hAnsi="Courier New"/>
          <w:sz w:val="15"/>
          <w:szCs w:val="15"/>
          <w:color w:val="auto"/>
        </w:rPr>
        <w:t>Name: Masahiro Nakajo</w:t>
      </w:r>
    </w:p>
    <w:p>
      <w:pPr>
        <w:ind w:left="2940"/>
        <w:spacing w:after="0" w:line="238" w:lineRule="auto"/>
        <w:rPr>
          <w:sz w:val="20"/>
          <w:szCs w:val="20"/>
          <w:color w:val="auto"/>
        </w:rPr>
      </w:pPr>
      <w:r>
        <w:rPr>
          <w:rFonts w:ascii="Courier New" w:cs="Courier New" w:eastAsia="Courier New" w:hAnsi="Courier New"/>
          <w:sz w:val="15"/>
          <w:szCs w:val="15"/>
          <w:color w:val="auto"/>
        </w:rPr>
        <w:t>Title: Senior Vice President</w:t>
      </w:r>
    </w:p>
    <w:p>
      <w:pPr>
        <w:ind w:left="3560"/>
        <w:spacing w:after="0"/>
        <w:rPr>
          <w:sz w:val="20"/>
          <w:szCs w:val="20"/>
          <w:color w:val="auto"/>
        </w:rPr>
      </w:pPr>
      <w:r>
        <w:rPr>
          <w:rFonts w:ascii="Courier New" w:cs="Courier New" w:eastAsia="Courier New" w:hAnsi="Courier New"/>
          <w:sz w:val="15"/>
          <w:szCs w:val="15"/>
          <w:color w:val="auto"/>
        </w:rPr>
        <w:t>&amp; Manager</w:t>
      </w:r>
    </w:p>
    <w:p>
      <w:pPr>
        <w:spacing w:after="0" w:line="33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019"/>
          </w:cols>
          <w:pgMar w:left="1440" w:top="791" w:right="1440" w:bottom="1440" w:gutter="0" w:footer="0" w:header="0"/>
        </w:sectPr>
      </w:pPr>
    </w:p>
    <w:bookmarkStart w:id="149" w:name="page150"/>
    <w:bookmarkEnd w:id="149"/>
    <w:p>
      <w:pPr>
        <w:ind w:left="2660"/>
        <w:spacing w:after="0"/>
        <w:rPr>
          <w:sz w:val="20"/>
          <w:szCs w:val="20"/>
          <w:color w:val="auto"/>
        </w:rPr>
      </w:pPr>
      <w:r>
        <w:rPr>
          <w:rFonts w:ascii="Courier New" w:cs="Courier New" w:eastAsia="Courier New" w:hAnsi="Courier New"/>
          <w:sz w:val="15"/>
          <w:szCs w:val="15"/>
          <w:color w:val="auto"/>
        </w:rPr>
        <w:t>COMPAGNIE FINANCIERE DE CIC ET DE</w:t>
      </w:r>
    </w:p>
    <w:p>
      <w:pPr>
        <w:spacing w:after="0" w:line="5"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L'UNION EUROPEENNE, NEW YORK BRANCH,</w:t>
      </w:r>
    </w:p>
    <w:p>
      <w:pPr>
        <w:spacing w:after="0" w:line="5"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as Participant and a Bank</w:t>
      </w:r>
    </w:p>
    <w:p>
      <w:pPr>
        <w:spacing w:after="0" w:line="339"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By:/s/ Marcus Edward</w:t>
      </w:r>
    </w:p>
    <w:p>
      <w:pPr>
        <w:ind w:left="2940"/>
        <w:spacing w:after="0"/>
        <w:rPr>
          <w:sz w:val="20"/>
          <w:szCs w:val="20"/>
          <w:color w:val="auto"/>
        </w:rPr>
      </w:pPr>
      <w:r>
        <w:rPr>
          <w:rFonts w:ascii="Courier New" w:cs="Courier New" w:eastAsia="Courier New" w:hAnsi="Courier New"/>
          <w:sz w:val="15"/>
          <w:szCs w:val="15"/>
          <w:color w:val="auto"/>
        </w:rPr>
        <w:t>---------------------------</w:t>
      </w:r>
    </w:p>
    <w:p>
      <w:pPr>
        <w:ind w:left="2940"/>
        <w:spacing w:after="0"/>
        <w:rPr>
          <w:sz w:val="20"/>
          <w:szCs w:val="20"/>
          <w:color w:val="auto"/>
        </w:rPr>
      </w:pPr>
      <w:r>
        <w:rPr>
          <w:rFonts w:ascii="Courier New" w:cs="Courier New" w:eastAsia="Courier New" w:hAnsi="Courier New"/>
          <w:sz w:val="15"/>
          <w:szCs w:val="15"/>
          <w:color w:val="auto"/>
        </w:rPr>
        <w:t>Name: Marcus Edward</w:t>
      </w:r>
    </w:p>
    <w:p>
      <w:pPr>
        <w:ind w:left="29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By:/s/Sean Mounier</w:t>
      </w:r>
    </w:p>
    <w:p>
      <w:pPr>
        <w:ind w:left="2940"/>
        <w:spacing w:after="0"/>
        <w:rPr>
          <w:sz w:val="20"/>
          <w:szCs w:val="20"/>
          <w:color w:val="auto"/>
        </w:rPr>
      </w:pPr>
      <w:r>
        <w:rPr>
          <w:rFonts w:ascii="Courier New" w:cs="Courier New" w:eastAsia="Courier New" w:hAnsi="Courier New"/>
          <w:sz w:val="15"/>
          <w:szCs w:val="15"/>
          <w:color w:val="auto"/>
        </w:rPr>
        <w:t>---------------------------</w:t>
      </w:r>
    </w:p>
    <w:p>
      <w:pPr>
        <w:ind w:left="2940"/>
        <w:spacing w:after="0"/>
        <w:rPr>
          <w:sz w:val="20"/>
          <w:szCs w:val="20"/>
          <w:color w:val="auto"/>
        </w:rPr>
      </w:pPr>
      <w:r>
        <w:rPr>
          <w:rFonts w:ascii="Courier New" w:cs="Courier New" w:eastAsia="Courier New" w:hAnsi="Courier New"/>
          <w:sz w:val="15"/>
          <w:szCs w:val="15"/>
          <w:color w:val="auto"/>
        </w:rPr>
        <w:t>Name: Sean Mounier</w:t>
      </w:r>
    </w:p>
    <w:p>
      <w:pPr>
        <w:ind w:left="29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PNC BANK N.A., as Participant and a</w:t>
      </w:r>
    </w:p>
    <w:p>
      <w:pPr>
        <w:ind w:left="2660"/>
        <w:spacing w:after="0"/>
        <w:rPr>
          <w:sz w:val="20"/>
          <w:szCs w:val="20"/>
          <w:color w:val="auto"/>
        </w:rPr>
      </w:pPr>
      <w:r>
        <w:rPr>
          <w:rFonts w:ascii="Courier New" w:cs="Courier New" w:eastAsia="Courier New" w:hAnsi="Courier New"/>
          <w:sz w:val="15"/>
          <w:szCs w:val="15"/>
          <w:color w:val="auto"/>
        </w:rPr>
        <w:t>Bank</w:t>
      </w:r>
    </w:p>
    <w:p>
      <w:pPr>
        <w:spacing w:after="0" w:line="338"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By:/s/ Margot C. Bright</w:t>
      </w:r>
    </w:p>
    <w:p>
      <w:pPr>
        <w:ind w:left="2940"/>
        <w:spacing w:after="0"/>
        <w:rPr>
          <w:sz w:val="20"/>
          <w:szCs w:val="20"/>
          <w:color w:val="auto"/>
        </w:rPr>
      </w:pPr>
      <w:r>
        <w:rPr>
          <w:rFonts w:ascii="Courier New" w:cs="Courier New" w:eastAsia="Courier New" w:hAnsi="Courier New"/>
          <w:sz w:val="15"/>
          <w:szCs w:val="15"/>
          <w:color w:val="auto"/>
        </w:rPr>
        <w:t>---------------------------</w:t>
      </w:r>
    </w:p>
    <w:p>
      <w:pPr>
        <w:ind w:left="2940"/>
        <w:spacing w:after="0"/>
        <w:rPr>
          <w:sz w:val="20"/>
          <w:szCs w:val="20"/>
          <w:color w:val="auto"/>
        </w:rPr>
      </w:pPr>
      <w:r>
        <w:rPr>
          <w:rFonts w:ascii="Courier New" w:cs="Courier New" w:eastAsia="Courier New" w:hAnsi="Courier New"/>
          <w:sz w:val="15"/>
          <w:szCs w:val="15"/>
          <w:color w:val="auto"/>
        </w:rPr>
        <w:t>Name: Margot C. Bright</w:t>
      </w:r>
    </w:p>
    <w:p>
      <w:pPr>
        <w:ind w:left="2940"/>
        <w:spacing w:after="0" w:line="238" w:lineRule="auto"/>
        <w:rPr>
          <w:sz w:val="20"/>
          <w:szCs w:val="20"/>
          <w:color w:val="auto"/>
        </w:rPr>
      </w:pPr>
      <w:r>
        <w:rPr>
          <w:rFonts w:ascii="Courier New" w:cs="Courier New" w:eastAsia="Courier New" w:hAnsi="Courier New"/>
          <w:sz w:val="15"/>
          <w:szCs w:val="15"/>
          <w:color w:val="auto"/>
        </w:rPr>
        <w:t>Title: Assistant Vice</w:t>
      </w:r>
    </w:p>
    <w:p>
      <w:pPr>
        <w:ind w:left="3560"/>
        <w:spacing w:after="0"/>
        <w:rPr>
          <w:sz w:val="20"/>
          <w:szCs w:val="20"/>
          <w:color w:val="auto"/>
        </w:rPr>
      </w:pPr>
      <w:r>
        <w:rPr>
          <w:rFonts w:ascii="Courier New" w:cs="Courier New" w:eastAsia="Courier New" w:hAnsi="Courier New"/>
          <w:sz w:val="15"/>
          <w:szCs w:val="15"/>
          <w:color w:val="auto"/>
        </w:rPr>
        <w:t>President</w:t>
      </w:r>
    </w:p>
    <w:p>
      <w:pPr>
        <w:spacing w:after="0" w:line="344"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FIRST INTERSTATE BANK OF WASHINGTON,</w:t>
      </w:r>
    </w:p>
    <w:p>
      <w:pPr>
        <w:spacing w:after="0" w:line="5"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N.A., as Participant and a Bank</w:t>
      </w:r>
    </w:p>
    <w:p>
      <w:pPr>
        <w:spacing w:after="0" w:line="339"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By:/s/ Susan Hendrixson</w:t>
      </w:r>
    </w:p>
    <w:p>
      <w:pPr>
        <w:ind w:left="2940"/>
        <w:spacing w:after="0"/>
        <w:rPr>
          <w:sz w:val="20"/>
          <w:szCs w:val="20"/>
          <w:color w:val="auto"/>
        </w:rPr>
      </w:pPr>
      <w:r>
        <w:rPr>
          <w:rFonts w:ascii="Courier New" w:cs="Courier New" w:eastAsia="Courier New" w:hAnsi="Courier New"/>
          <w:sz w:val="15"/>
          <w:szCs w:val="15"/>
          <w:color w:val="auto"/>
        </w:rPr>
        <w:t>---------------------------</w:t>
      </w:r>
    </w:p>
    <w:p>
      <w:pPr>
        <w:ind w:left="2940"/>
        <w:spacing w:after="0"/>
        <w:rPr>
          <w:sz w:val="20"/>
          <w:szCs w:val="20"/>
          <w:color w:val="auto"/>
        </w:rPr>
      </w:pPr>
      <w:r>
        <w:rPr>
          <w:rFonts w:ascii="Courier New" w:cs="Courier New" w:eastAsia="Courier New" w:hAnsi="Courier New"/>
          <w:sz w:val="15"/>
          <w:szCs w:val="15"/>
          <w:color w:val="auto"/>
        </w:rPr>
        <w:t>Name: Susan Hendrixson</w:t>
      </w:r>
    </w:p>
    <w:p>
      <w:pPr>
        <w:ind w:left="29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019"/>
          </w:cols>
          <w:pgMar w:left="1440" w:top="791" w:right="1440" w:bottom="1440" w:gutter="0" w:footer="0" w:header="0"/>
        </w:sectPr>
      </w:pPr>
    </w:p>
    <w:bookmarkStart w:id="150" w:name="page151"/>
    <w:bookmarkEnd w:id="150"/>
    <w:p>
      <w:pPr>
        <w:ind w:left="2660"/>
        <w:spacing w:after="0"/>
        <w:rPr>
          <w:sz w:val="20"/>
          <w:szCs w:val="20"/>
          <w:color w:val="auto"/>
        </w:rPr>
      </w:pPr>
      <w:r>
        <w:rPr>
          <w:rFonts w:ascii="Courier New" w:cs="Courier New" w:eastAsia="Courier New" w:hAnsi="Courier New"/>
          <w:sz w:val="15"/>
          <w:szCs w:val="15"/>
          <w:color w:val="auto"/>
        </w:rPr>
        <w:t>GULF INTERNATIONAL BANK, as</w:t>
      </w:r>
    </w:p>
    <w:p>
      <w:pPr>
        <w:ind w:left="2660"/>
        <w:spacing w:after="0"/>
        <w:rPr>
          <w:sz w:val="20"/>
          <w:szCs w:val="20"/>
          <w:color w:val="auto"/>
        </w:rPr>
      </w:pPr>
      <w:r>
        <w:rPr>
          <w:rFonts w:ascii="Courier New" w:cs="Courier New" w:eastAsia="Courier New" w:hAnsi="Courier New"/>
          <w:sz w:val="15"/>
          <w:szCs w:val="15"/>
          <w:color w:val="auto"/>
        </w:rPr>
        <w:t>Participant and a Bank</w:t>
      </w:r>
    </w:p>
    <w:p>
      <w:pPr>
        <w:spacing w:after="0" w:line="338"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By:/s/ Haythan F. Khalil</w:t>
      </w:r>
    </w:p>
    <w:p>
      <w:pPr>
        <w:ind w:left="2940"/>
        <w:spacing w:after="0"/>
        <w:rPr>
          <w:sz w:val="20"/>
          <w:szCs w:val="20"/>
          <w:color w:val="auto"/>
        </w:rPr>
      </w:pPr>
      <w:r>
        <w:rPr>
          <w:rFonts w:ascii="Courier New" w:cs="Courier New" w:eastAsia="Courier New" w:hAnsi="Courier New"/>
          <w:sz w:val="15"/>
          <w:szCs w:val="15"/>
          <w:color w:val="auto"/>
        </w:rPr>
        <w:t>---------------------------</w:t>
      </w:r>
    </w:p>
    <w:p>
      <w:pPr>
        <w:ind w:left="2940"/>
        <w:spacing w:after="0"/>
        <w:rPr>
          <w:sz w:val="20"/>
          <w:szCs w:val="20"/>
          <w:color w:val="auto"/>
        </w:rPr>
      </w:pPr>
      <w:r>
        <w:rPr>
          <w:rFonts w:ascii="Courier New" w:cs="Courier New" w:eastAsia="Courier New" w:hAnsi="Courier New"/>
          <w:sz w:val="15"/>
          <w:szCs w:val="15"/>
          <w:color w:val="auto"/>
        </w:rPr>
        <w:t>Name: Haythan F. Khalil</w:t>
      </w:r>
    </w:p>
    <w:p>
      <w:pPr>
        <w:ind w:left="2940"/>
        <w:spacing w:after="0" w:line="238" w:lineRule="auto"/>
        <w:rPr>
          <w:sz w:val="20"/>
          <w:szCs w:val="20"/>
          <w:color w:val="auto"/>
        </w:rPr>
      </w:pPr>
      <w:r>
        <w:rPr>
          <w:rFonts w:ascii="Courier New" w:cs="Courier New" w:eastAsia="Courier New" w:hAnsi="Courier New"/>
          <w:sz w:val="15"/>
          <w:szCs w:val="15"/>
          <w:color w:val="auto"/>
        </w:rPr>
        <w:t>Title: Assistant Vice</w:t>
      </w:r>
    </w:p>
    <w:p>
      <w:pPr>
        <w:ind w:left="3560"/>
        <w:spacing w:after="0"/>
        <w:rPr>
          <w:sz w:val="20"/>
          <w:szCs w:val="20"/>
          <w:color w:val="auto"/>
        </w:rPr>
      </w:pPr>
      <w:r>
        <w:rPr>
          <w:rFonts w:ascii="Courier New" w:cs="Courier New" w:eastAsia="Courier New" w:hAnsi="Courier New"/>
          <w:sz w:val="15"/>
          <w:szCs w:val="15"/>
          <w:color w:val="auto"/>
        </w:rPr>
        <w:t>President</w:t>
      </w:r>
    </w:p>
    <w:p>
      <w:pPr>
        <w:spacing w:after="0" w:line="338"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By:/s/ Abdel-Fattah Tahoun</w:t>
      </w:r>
    </w:p>
    <w:p>
      <w:pPr>
        <w:ind w:left="2940"/>
        <w:spacing w:after="0"/>
        <w:rPr>
          <w:sz w:val="20"/>
          <w:szCs w:val="20"/>
          <w:color w:val="auto"/>
        </w:rPr>
      </w:pPr>
      <w:r>
        <w:rPr>
          <w:rFonts w:ascii="Courier New" w:cs="Courier New" w:eastAsia="Courier New" w:hAnsi="Courier New"/>
          <w:sz w:val="15"/>
          <w:szCs w:val="15"/>
          <w:color w:val="auto"/>
        </w:rPr>
        <w:t>---------------------------</w:t>
      </w:r>
    </w:p>
    <w:p>
      <w:pPr>
        <w:ind w:left="2940"/>
        <w:spacing w:after="0"/>
        <w:rPr>
          <w:sz w:val="20"/>
          <w:szCs w:val="20"/>
          <w:color w:val="auto"/>
        </w:rPr>
      </w:pPr>
      <w:r>
        <w:rPr>
          <w:rFonts w:ascii="Courier New" w:cs="Courier New" w:eastAsia="Courier New" w:hAnsi="Courier New"/>
          <w:sz w:val="15"/>
          <w:szCs w:val="15"/>
          <w:color w:val="auto"/>
        </w:rPr>
        <w:t>Name: Abdel-Fattah Tahoun</w:t>
      </w:r>
    </w:p>
    <w:p>
      <w:pPr>
        <w:ind w:left="294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344"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THE TOKAI BANK, LIMITED, NEW YORK</w:t>
      </w:r>
    </w:p>
    <w:p>
      <w:pPr>
        <w:spacing w:after="0" w:line="11"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BRANCH, as Participant and a Bank</w:t>
      </w:r>
    </w:p>
    <w:p>
      <w:pPr>
        <w:spacing w:after="0" w:line="344"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By:/s/ Masaharu Muto</w:t>
      </w:r>
    </w:p>
    <w:p>
      <w:pPr>
        <w:ind w:left="2940"/>
        <w:spacing w:after="0"/>
        <w:rPr>
          <w:sz w:val="20"/>
          <w:szCs w:val="20"/>
          <w:color w:val="auto"/>
        </w:rPr>
      </w:pPr>
      <w:r>
        <w:rPr>
          <w:rFonts w:ascii="Courier New" w:cs="Courier New" w:eastAsia="Courier New" w:hAnsi="Courier New"/>
          <w:sz w:val="15"/>
          <w:szCs w:val="15"/>
          <w:color w:val="auto"/>
        </w:rPr>
        <w:t>---------------------------</w:t>
      </w:r>
    </w:p>
    <w:p>
      <w:pPr>
        <w:ind w:left="2940"/>
        <w:spacing w:after="0"/>
        <w:rPr>
          <w:sz w:val="20"/>
          <w:szCs w:val="20"/>
          <w:color w:val="auto"/>
        </w:rPr>
      </w:pPr>
      <w:r>
        <w:rPr>
          <w:rFonts w:ascii="Courier New" w:cs="Courier New" w:eastAsia="Courier New" w:hAnsi="Courier New"/>
          <w:sz w:val="15"/>
          <w:szCs w:val="15"/>
          <w:color w:val="auto"/>
        </w:rPr>
        <w:t>Name: Masaharu Muto</w:t>
      </w:r>
    </w:p>
    <w:p>
      <w:pPr>
        <w:ind w:left="2940"/>
        <w:spacing w:after="0" w:line="238" w:lineRule="auto"/>
        <w:rPr>
          <w:sz w:val="20"/>
          <w:szCs w:val="20"/>
          <w:color w:val="auto"/>
        </w:rPr>
      </w:pPr>
      <w:r>
        <w:rPr>
          <w:rFonts w:ascii="Courier New" w:cs="Courier New" w:eastAsia="Courier New" w:hAnsi="Courier New"/>
          <w:sz w:val="15"/>
          <w:szCs w:val="15"/>
          <w:color w:val="auto"/>
        </w:rPr>
        <w:t>Title: Deputy General Manager</w:t>
      </w:r>
    </w:p>
    <w:p>
      <w:pPr>
        <w:spacing w:after="0" w:line="344"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THE YASUDA TRUST AND BANKING CO.,</w:t>
      </w:r>
    </w:p>
    <w:p>
      <w:pPr>
        <w:spacing w:after="0" w:line="5"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LTD., NEW YORK BRANCH, as</w:t>
      </w:r>
    </w:p>
    <w:p>
      <w:pPr>
        <w:ind w:left="2660"/>
        <w:spacing w:after="0"/>
        <w:rPr>
          <w:sz w:val="20"/>
          <w:szCs w:val="20"/>
          <w:color w:val="auto"/>
        </w:rPr>
      </w:pPr>
      <w:r>
        <w:rPr>
          <w:rFonts w:ascii="Courier New" w:cs="Courier New" w:eastAsia="Courier New" w:hAnsi="Courier New"/>
          <w:sz w:val="15"/>
          <w:szCs w:val="15"/>
          <w:color w:val="auto"/>
        </w:rPr>
        <w:t>Participant and a Bank</w:t>
      </w:r>
    </w:p>
    <w:p>
      <w:pPr>
        <w:spacing w:after="0" w:line="338"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By:/s/ Neil T. Chau</w:t>
      </w:r>
    </w:p>
    <w:p>
      <w:pPr>
        <w:ind w:left="2940"/>
        <w:spacing w:after="0"/>
        <w:rPr>
          <w:sz w:val="20"/>
          <w:szCs w:val="20"/>
          <w:color w:val="auto"/>
        </w:rPr>
      </w:pPr>
      <w:r>
        <w:rPr>
          <w:rFonts w:ascii="Courier New" w:cs="Courier New" w:eastAsia="Courier New" w:hAnsi="Courier New"/>
          <w:sz w:val="15"/>
          <w:szCs w:val="15"/>
          <w:color w:val="auto"/>
        </w:rPr>
        <w:t>---------------------------</w:t>
      </w:r>
    </w:p>
    <w:p>
      <w:pPr>
        <w:ind w:left="2940"/>
        <w:spacing w:after="0"/>
        <w:rPr>
          <w:sz w:val="20"/>
          <w:szCs w:val="20"/>
          <w:color w:val="auto"/>
        </w:rPr>
      </w:pPr>
      <w:r>
        <w:rPr>
          <w:rFonts w:ascii="Courier New" w:cs="Courier New" w:eastAsia="Courier New" w:hAnsi="Courier New"/>
          <w:sz w:val="15"/>
          <w:szCs w:val="15"/>
          <w:color w:val="auto"/>
        </w:rPr>
        <w:t>Name: Neil T. Chau</w:t>
      </w:r>
    </w:p>
    <w:p>
      <w:pPr>
        <w:ind w:left="2940"/>
        <w:spacing w:after="0" w:line="238" w:lineRule="auto"/>
        <w:rPr>
          <w:sz w:val="20"/>
          <w:szCs w:val="20"/>
          <w:color w:val="auto"/>
        </w:rPr>
      </w:pPr>
      <w:r>
        <w:rPr>
          <w:rFonts w:ascii="Courier New" w:cs="Courier New" w:eastAsia="Courier New" w:hAnsi="Courier New"/>
          <w:sz w:val="15"/>
          <w:szCs w:val="15"/>
          <w:color w:val="auto"/>
        </w:rPr>
        <w:t>Title: First Vice President</w:t>
      </w:r>
    </w:p>
    <w:p>
      <w:pPr>
        <w:spacing w:after="0" w:line="33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019"/>
          </w:cols>
          <w:pgMar w:left="1440" w:top="622" w:right="1440" w:bottom="1440" w:gutter="0" w:footer="0" w:header="0"/>
        </w:sectPr>
      </w:pPr>
    </w:p>
    <w:bookmarkStart w:id="151" w:name="page152"/>
    <w:bookmarkEnd w:id="151"/>
    <w:p>
      <w:pPr>
        <w:ind w:left="5030"/>
        <w:spacing w:after="0"/>
        <w:rPr>
          <w:sz w:val="20"/>
          <w:szCs w:val="20"/>
          <w:color w:val="auto"/>
        </w:rPr>
      </w:pPr>
      <w:r>
        <w:rPr>
          <w:rFonts w:ascii="Courier New" w:cs="Courier New" w:eastAsia="Courier New" w:hAnsi="Courier New"/>
          <w:sz w:val="15"/>
          <w:szCs w:val="15"/>
          <w:color w:val="auto"/>
        </w:rPr>
        <w:t>Schedule 1.1(a)</w:t>
      </w:r>
    </w:p>
    <w:p>
      <w:pPr>
        <w:spacing w:after="0" w:line="200" w:lineRule="exact"/>
        <w:rPr>
          <w:sz w:val="20"/>
          <w:szCs w:val="20"/>
          <w:color w:val="auto"/>
        </w:rPr>
      </w:pPr>
    </w:p>
    <w:p>
      <w:pPr>
        <w:spacing w:after="0" w:line="308" w:lineRule="exact"/>
        <w:rPr>
          <w:sz w:val="20"/>
          <w:szCs w:val="20"/>
          <w:color w:val="auto"/>
        </w:rPr>
      </w:pPr>
    </w:p>
    <w:p>
      <w:pPr>
        <w:ind w:left="170" w:hanging="170"/>
        <w:spacing w:after="0"/>
        <w:tabs>
          <w:tab w:leader="none" w:pos="17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Guarantees Related to Discontinued Operations</w:t>
      </w:r>
    </w:p>
    <w:p>
      <w:pPr>
        <w:ind w:left="170" w:hanging="170"/>
        <w:spacing w:after="0"/>
        <w:tabs>
          <w:tab w:leader="none" w:pos="17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tbl>
      <w:tblPr>
        <w:tblLayout w:type="fixed"/>
        <w:tblInd w:w="10" w:type="dxa"/>
        <w:tblCellMar>
          <w:top w:w="0" w:type="dxa"/>
          <w:left w:w="0" w:type="dxa"/>
          <w:bottom w:w="0" w:type="dxa"/>
          <w:right w:w="0" w:type="dxa"/>
        </w:tblCellMar>
      </w:tblPr>
      <w:tr>
        <w:trPr>
          <w:trHeight w:val="169"/>
        </w:trPr>
        <w:tc>
          <w:tcPr>
            <w:tcW w:w="1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Principal</w:t>
            </w:r>
          </w:p>
        </w:tc>
        <w:tc>
          <w:tcPr>
            <w:tcW w:w="1240" w:type="dxa"/>
            <w:vAlign w:val="bottom"/>
          </w:tcPr>
          <w:p>
            <w:pPr>
              <w:spacing w:after="0"/>
              <w:rPr>
                <w:sz w:val="14"/>
                <w:szCs w:val="14"/>
                <w:color w:val="auto"/>
              </w:rPr>
            </w:pPr>
          </w:p>
        </w:tc>
      </w:tr>
      <w:tr>
        <w:trPr>
          <w:trHeight w:val="170"/>
        </w:trPr>
        <w:tc>
          <w:tcPr>
            <w:tcW w:w="1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Amount</w:t>
            </w:r>
          </w:p>
        </w:tc>
        <w:tc>
          <w:tcPr>
            <w:tcW w:w="1240" w:type="dxa"/>
            <w:vAlign w:val="bottom"/>
          </w:tcPr>
          <w:p>
            <w:pPr>
              <w:spacing w:after="0"/>
              <w:rPr>
                <w:sz w:val="14"/>
                <w:szCs w:val="14"/>
                <w:color w:val="auto"/>
              </w:rPr>
            </w:pPr>
          </w:p>
        </w:tc>
      </w:tr>
      <w:tr>
        <w:trPr>
          <w:trHeight w:val="170"/>
        </w:trPr>
        <w:tc>
          <w:tcPr>
            <w:tcW w:w="1840" w:type="dxa"/>
            <w:vAlign w:val="bottom"/>
          </w:tcPr>
          <w:p>
            <w:pPr>
              <w:jc w:val="center"/>
              <w:spacing w:after="0"/>
              <w:rPr>
                <w:sz w:val="20"/>
                <w:szCs w:val="20"/>
                <w:color w:val="auto"/>
              </w:rPr>
            </w:pPr>
            <w:r>
              <w:rPr>
                <w:rFonts w:ascii="Courier New" w:cs="Courier New" w:eastAsia="Courier New" w:hAnsi="Courier New"/>
                <w:sz w:val="15"/>
                <w:szCs w:val="15"/>
                <w:color w:val="auto"/>
                <w:w w:val="98"/>
              </w:rPr>
              <w:t>Guarantor</w:t>
            </w:r>
          </w:p>
        </w:tc>
        <w:tc>
          <w:tcPr>
            <w:tcW w:w="1860" w:type="dxa"/>
            <w:vAlign w:val="bottom"/>
          </w:tcPr>
          <w:p>
            <w:pPr>
              <w:jc w:val="center"/>
              <w:spacing w:after="0"/>
              <w:rPr>
                <w:sz w:val="20"/>
                <w:szCs w:val="20"/>
                <w:color w:val="auto"/>
              </w:rPr>
            </w:pPr>
            <w:r>
              <w:rPr>
                <w:rFonts w:ascii="Courier New" w:cs="Courier New" w:eastAsia="Courier New" w:hAnsi="Courier New"/>
                <w:sz w:val="15"/>
                <w:szCs w:val="15"/>
                <w:color w:val="auto"/>
                <w:w w:val="98"/>
              </w:rPr>
              <w:t>Obligor</w:t>
            </w:r>
          </w:p>
        </w:tc>
        <w:tc>
          <w:tcPr>
            <w:tcW w:w="118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Type</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6"/>
              </w:rPr>
              <w:t>Expiry</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Currency</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Outstanding</w:t>
            </w:r>
          </w:p>
        </w:tc>
        <w:tc>
          <w:tcPr>
            <w:tcW w:w="1240" w:type="dxa"/>
            <w:vAlign w:val="bottom"/>
          </w:tcPr>
          <w:p>
            <w:pPr>
              <w:spacing w:after="0"/>
              <w:rPr>
                <w:sz w:val="14"/>
                <w:szCs w:val="14"/>
                <w:color w:val="auto"/>
              </w:rPr>
            </w:pPr>
          </w:p>
        </w:tc>
      </w:tr>
      <w:tr>
        <w:trPr>
          <w:trHeight w:val="170"/>
        </w:trPr>
        <w:tc>
          <w:tcPr>
            <w:tcW w:w="184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8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r>
      <w:tr>
        <w:trPr>
          <w:trHeight w:val="339"/>
        </w:trPr>
        <w:tc>
          <w:tcPr>
            <w:tcW w:w="1840" w:type="dxa"/>
            <w:vAlign w:val="bottom"/>
          </w:tcPr>
          <w:p>
            <w:pPr>
              <w:jc w:val="center"/>
              <w:spacing w:after="0"/>
              <w:rPr>
                <w:sz w:val="20"/>
                <w:szCs w:val="20"/>
                <w:color w:val="auto"/>
              </w:rPr>
            </w:pPr>
            <w:r>
              <w:rPr>
                <w:rFonts w:ascii="Courier New" w:cs="Courier New" w:eastAsia="Courier New" w:hAnsi="Courier New"/>
                <w:sz w:val="15"/>
                <w:szCs w:val="15"/>
                <w:color w:val="auto"/>
                <w:w w:val="96"/>
              </w:rPr>
              <w:t>PCI</w:t>
            </w:r>
          </w:p>
        </w:tc>
        <w:tc>
          <w:tcPr>
            <w:tcW w:w="1860" w:type="dxa"/>
            <w:vAlign w:val="bottom"/>
          </w:tcPr>
          <w:p>
            <w:pPr>
              <w:jc w:val="center"/>
              <w:spacing w:after="0"/>
              <w:rPr>
                <w:sz w:val="20"/>
                <w:szCs w:val="20"/>
                <w:color w:val="auto"/>
              </w:rPr>
            </w:pPr>
            <w:r>
              <w:rPr>
                <w:rFonts w:ascii="Courier New" w:cs="Courier New" w:eastAsia="Courier New" w:hAnsi="Courier New"/>
                <w:sz w:val="15"/>
                <w:szCs w:val="15"/>
                <w:color w:val="auto"/>
                <w:w w:val="98"/>
              </w:rPr>
              <w:t>JMZ Co.</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Capitalized</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6/19/98</w:t>
            </w:r>
          </w:p>
        </w:tc>
        <w:tc>
          <w:tcPr>
            <w:tcW w:w="11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USD</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11,105,484</w:t>
            </w:r>
          </w:p>
        </w:tc>
        <w:tc>
          <w:tcPr>
            <w:tcW w:w="1240" w:type="dxa"/>
            <w:vAlign w:val="bottom"/>
          </w:tcPr>
          <w:p>
            <w:pPr>
              <w:spacing w:after="0"/>
              <w:rPr>
                <w:sz w:val="24"/>
                <w:szCs w:val="24"/>
                <w:color w:val="auto"/>
              </w:rPr>
            </w:pPr>
          </w:p>
        </w:tc>
      </w:tr>
      <w:tr>
        <w:trPr>
          <w:trHeight w:val="170"/>
        </w:trPr>
        <w:tc>
          <w:tcPr>
            <w:tcW w:w="1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7"/>
              </w:rPr>
              <w:t>Lease</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1840" w:type="dxa"/>
            <w:vAlign w:val="bottom"/>
          </w:tcPr>
          <w:p>
            <w:pPr>
              <w:jc w:val="center"/>
              <w:spacing w:after="0"/>
              <w:rPr>
                <w:sz w:val="20"/>
                <w:szCs w:val="20"/>
                <w:color w:val="auto"/>
              </w:rPr>
            </w:pPr>
            <w:r>
              <w:rPr>
                <w:rFonts w:ascii="Courier New" w:cs="Courier New" w:eastAsia="Courier New" w:hAnsi="Courier New"/>
                <w:sz w:val="15"/>
                <w:szCs w:val="15"/>
                <w:color w:val="auto"/>
                <w:w w:val="96"/>
              </w:rPr>
              <w:t>PCI</w:t>
            </w:r>
          </w:p>
        </w:tc>
        <w:tc>
          <w:tcPr>
            <w:tcW w:w="1860" w:type="dxa"/>
            <w:vAlign w:val="bottom"/>
          </w:tcPr>
          <w:p>
            <w:pPr>
              <w:jc w:val="center"/>
              <w:spacing w:after="0"/>
              <w:rPr>
                <w:sz w:val="20"/>
                <w:szCs w:val="20"/>
                <w:color w:val="auto"/>
              </w:rPr>
            </w:pPr>
            <w:r>
              <w:rPr>
                <w:rFonts w:ascii="Courier New" w:cs="Courier New" w:eastAsia="Courier New" w:hAnsi="Courier New"/>
                <w:sz w:val="15"/>
                <w:szCs w:val="15"/>
                <w:color w:val="auto"/>
                <w:w w:val="98"/>
              </w:rPr>
              <w:t>Kayser-Roth</w:t>
            </w:r>
          </w:p>
        </w:tc>
        <w:tc>
          <w:tcPr>
            <w:tcW w:w="118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9-1/2% Notes</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7/31/95</w:t>
            </w:r>
          </w:p>
        </w:tc>
        <w:tc>
          <w:tcPr>
            <w:tcW w:w="11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USD</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305,716</w:t>
            </w:r>
          </w:p>
        </w:tc>
        <w:tc>
          <w:tcPr>
            <w:tcW w:w="1240" w:type="dxa"/>
            <w:vAlign w:val="bottom"/>
          </w:tcPr>
          <w:p>
            <w:pPr>
              <w:spacing w:after="0"/>
              <w:rPr>
                <w:sz w:val="14"/>
                <w:szCs w:val="14"/>
                <w:color w:val="auto"/>
              </w:rPr>
            </w:pPr>
          </w:p>
        </w:tc>
      </w:tr>
      <w:tr>
        <w:trPr>
          <w:trHeight w:val="170"/>
        </w:trPr>
        <w:tc>
          <w:tcPr>
            <w:tcW w:w="1840" w:type="dxa"/>
            <w:vAlign w:val="bottom"/>
          </w:tcPr>
          <w:p>
            <w:pPr>
              <w:jc w:val="center"/>
              <w:spacing w:after="0"/>
              <w:rPr>
                <w:sz w:val="20"/>
                <w:szCs w:val="20"/>
                <w:color w:val="auto"/>
              </w:rPr>
            </w:pPr>
            <w:r>
              <w:rPr>
                <w:rFonts w:ascii="Courier New" w:cs="Courier New" w:eastAsia="Courier New" w:hAnsi="Courier New"/>
                <w:sz w:val="15"/>
                <w:szCs w:val="15"/>
                <w:color w:val="auto"/>
                <w:w w:val="96"/>
              </w:rPr>
              <w:t>PCI</w:t>
            </w:r>
          </w:p>
        </w:tc>
        <w:tc>
          <w:tcPr>
            <w:tcW w:w="1860" w:type="dxa"/>
            <w:vAlign w:val="bottom"/>
          </w:tcPr>
          <w:p>
            <w:pPr>
              <w:jc w:val="center"/>
              <w:spacing w:after="0"/>
              <w:rPr>
                <w:sz w:val="20"/>
                <w:szCs w:val="20"/>
                <w:color w:val="auto"/>
              </w:rPr>
            </w:pPr>
            <w:r>
              <w:rPr>
                <w:rFonts w:ascii="Courier New" w:cs="Courier New" w:eastAsia="Courier New" w:hAnsi="Courier New"/>
                <w:sz w:val="15"/>
                <w:szCs w:val="15"/>
                <w:color w:val="auto"/>
                <w:w w:val="98"/>
              </w:rPr>
              <w:t>Kayser-Roth</w:t>
            </w:r>
          </w:p>
        </w:tc>
        <w:tc>
          <w:tcPr>
            <w:tcW w:w="118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9% Notes</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1/31/96</w:t>
            </w:r>
          </w:p>
        </w:tc>
        <w:tc>
          <w:tcPr>
            <w:tcW w:w="11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USD</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151,106</w:t>
            </w:r>
          </w:p>
        </w:tc>
        <w:tc>
          <w:tcPr>
            <w:tcW w:w="1240" w:type="dxa"/>
            <w:vAlign w:val="bottom"/>
          </w:tcPr>
          <w:p>
            <w:pPr>
              <w:spacing w:after="0"/>
              <w:rPr>
                <w:sz w:val="14"/>
                <w:szCs w:val="14"/>
                <w:color w:val="auto"/>
              </w:rPr>
            </w:pPr>
          </w:p>
        </w:tc>
      </w:tr>
      <w:tr>
        <w:trPr>
          <w:trHeight w:val="170"/>
        </w:trPr>
        <w:tc>
          <w:tcPr>
            <w:tcW w:w="1840" w:type="dxa"/>
            <w:vAlign w:val="bottom"/>
          </w:tcPr>
          <w:p>
            <w:pPr>
              <w:jc w:val="center"/>
              <w:spacing w:after="0"/>
              <w:rPr>
                <w:sz w:val="20"/>
                <w:szCs w:val="20"/>
                <w:color w:val="auto"/>
              </w:rPr>
            </w:pPr>
            <w:r>
              <w:rPr>
                <w:rFonts w:ascii="Courier New" w:cs="Courier New" w:eastAsia="Courier New" w:hAnsi="Courier New"/>
                <w:sz w:val="15"/>
                <w:szCs w:val="15"/>
                <w:color w:val="auto"/>
                <w:w w:val="96"/>
              </w:rPr>
              <w:t>PCI</w:t>
            </w:r>
          </w:p>
        </w:tc>
        <w:tc>
          <w:tcPr>
            <w:tcW w:w="1860" w:type="dxa"/>
            <w:vAlign w:val="bottom"/>
          </w:tcPr>
          <w:p>
            <w:pPr>
              <w:jc w:val="center"/>
              <w:spacing w:after="0"/>
              <w:rPr>
                <w:sz w:val="20"/>
                <w:szCs w:val="20"/>
                <w:color w:val="auto"/>
              </w:rPr>
            </w:pPr>
            <w:r>
              <w:rPr>
                <w:rFonts w:ascii="Courier New" w:cs="Courier New" w:eastAsia="Courier New" w:hAnsi="Courier New"/>
                <w:sz w:val="15"/>
                <w:szCs w:val="15"/>
                <w:color w:val="auto"/>
                <w:w w:val="98"/>
              </w:rPr>
              <w:t>Simmons</w:t>
            </w:r>
          </w:p>
        </w:tc>
        <w:tc>
          <w:tcPr>
            <w:tcW w:w="118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7% IRB's</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10/15/17</w:t>
            </w:r>
          </w:p>
        </w:tc>
        <w:tc>
          <w:tcPr>
            <w:tcW w:w="11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USD</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9,700,000</w:t>
            </w:r>
          </w:p>
        </w:tc>
        <w:tc>
          <w:tcPr>
            <w:tcW w:w="1240" w:type="dxa"/>
            <w:vAlign w:val="bottom"/>
          </w:tcPr>
          <w:p>
            <w:pPr>
              <w:spacing w:after="0"/>
              <w:rPr>
                <w:sz w:val="14"/>
                <w:szCs w:val="14"/>
                <w:color w:val="auto"/>
              </w:rPr>
            </w:pPr>
          </w:p>
        </w:tc>
      </w:tr>
      <w:tr>
        <w:trPr>
          <w:trHeight w:val="170"/>
        </w:trPr>
        <w:tc>
          <w:tcPr>
            <w:tcW w:w="184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Courier New" w:cs="Courier New" w:eastAsia="Courier New" w:hAnsi="Courier New"/>
                <w:sz w:val="15"/>
                <w:szCs w:val="15"/>
                <w:color w:val="auto"/>
                <w:w w:val="97"/>
              </w:rPr>
              <w:t>Manufacturing</w:t>
            </w: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1840" w:type="dxa"/>
            <w:vAlign w:val="bottom"/>
          </w:tcPr>
          <w:p>
            <w:pPr>
              <w:jc w:val="center"/>
              <w:spacing w:after="0"/>
              <w:rPr>
                <w:sz w:val="20"/>
                <w:szCs w:val="20"/>
                <w:color w:val="auto"/>
              </w:rPr>
            </w:pPr>
            <w:r>
              <w:rPr>
                <w:rFonts w:ascii="Courier New" w:cs="Courier New" w:eastAsia="Courier New" w:hAnsi="Courier New"/>
                <w:sz w:val="15"/>
                <w:szCs w:val="15"/>
                <w:color w:val="auto"/>
                <w:w w:val="96"/>
              </w:rPr>
              <w:t>PCI</w:t>
            </w:r>
          </w:p>
        </w:tc>
        <w:tc>
          <w:tcPr>
            <w:tcW w:w="1860" w:type="dxa"/>
            <w:vAlign w:val="bottom"/>
          </w:tcPr>
          <w:p>
            <w:pPr>
              <w:jc w:val="center"/>
              <w:spacing w:after="0"/>
              <w:rPr>
                <w:sz w:val="20"/>
                <w:szCs w:val="20"/>
                <w:color w:val="auto"/>
              </w:rPr>
            </w:pPr>
            <w:r>
              <w:rPr>
                <w:rFonts w:ascii="Courier New" w:cs="Courier New" w:eastAsia="Courier New" w:hAnsi="Courier New"/>
                <w:sz w:val="15"/>
                <w:szCs w:val="15"/>
                <w:color w:val="auto"/>
                <w:w w:val="98"/>
              </w:rPr>
              <w:t>CBF Fabrics</w:t>
            </w:r>
          </w:p>
        </w:tc>
        <w:tc>
          <w:tcPr>
            <w:tcW w:w="118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7-1/4% IRB's</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7/1/97</w:t>
            </w:r>
          </w:p>
        </w:tc>
        <w:tc>
          <w:tcPr>
            <w:tcW w:w="11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USD</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1,960,000</w:t>
            </w:r>
          </w:p>
        </w:tc>
        <w:tc>
          <w:tcPr>
            <w:tcW w:w="1240" w:type="dxa"/>
            <w:vAlign w:val="bottom"/>
          </w:tcPr>
          <w:p>
            <w:pPr>
              <w:spacing w:after="0"/>
              <w:rPr>
                <w:sz w:val="14"/>
                <w:szCs w:val="14"/>
                <w:color w:val="auto"/>
              </w:rPr>
            </w:pPr>
          </w:p>
        </w:tc>
      </w:tr>
      <w:tr>
        <w:trPr>
          <w:trHeight w:val="509"/>
        </w:trPr>
        <w:tc>
          <w:tcPr>
            <w:tcW w:w="5680" w:type="dxa"/>
            <w:vAlign w:val="bottom"/>
            <w:gridSpan w:val="4"/>
          </w:tcPr>
          <w:p>
            <w:pPr>
              <w:spacing w:after="0"/>
              <w:rPr>
                <w:sz w:val="20"/>
                <w:szCs w:val="20"/>
                <w:color w:val="auto"/>
              </w:rPr>
            </w:pPr>
            <w:r>
              <w:rPr>
                <w:rFonts w:ascii="Courier New" w:cs="Courier New" w:eastAsia="Courier New" w:hAnsi="Courier New"/>
                <w:sz w:val="15"/>
                <w:szCs w:val="15"/>
                <w:color w:val="auto"/>
              </w:rPr>
              <w:t>- --------------------------------------------------------</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3700" w:type="dxa"/>
            <w:vAlign w:val="bottom"/>
            <w:gridSpan w:val="2"/>
          </w:tcPr>
          <w:p>
            <w:pPr>
              <w:spacing w:after="0"/>
              <w:rPr>
                <w:sz w:val="20"/>
                <w:szCs w:val="20"/>
                <w:color w:val="auto"/>
              </w:rPr>
            </w:pPr>
            <w:r>
              <w:rPr>
                <w:rFonts w:ascii="Courier New" w:cs="Courier New" w:eastAsia="Courier New" w:hAnsi="Courier New"/>
                <w:sz w:val="15"/>
                <w:szCs w:val="15"/>
                <w:color w:val="auto"/>
                <w:w w:val="97"/>
              </w:rPr>
              <w:t>Guaranteed Joint-Venture Credit Facilities</w:t>
            </w: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 in foreign currency</w:t>
            </w:r>
          </w:p>
        </w:tc>
      </w:tr>
      <w:tr>
        <w:trPr>
          <w:trHeight w:val="170"/>
        </w:trPr>
        <w:tc>
          <w:tcPr>
            <w:tcW w:w="5680" w:type="dxa"/>
            <w:vAlign w:val="bottom"/>
            <w:gridSpan w:val="4"/>
          </w:tcPr>
          <w:p>
            <w:pPr>
              <w:spacing w:after="0"/>
              <w:rPr>
                <w:sz w:val="20"/>
                <w:szCs w:val="20"/>
                <w:color w:val="auto"/>
              </w:rPr>
            </w:pPr>
            <w:r>
              <w:rPr>
                <w:rFonts w:ascii="Courier New" w:cs="Courier New" w:eastAsia="Courier New" w:hAnsi="Courier New"/>
                <w:sz w:val="15"/>
                <w:szCs w:val="15"/>
                <w:color w:val="auto"/>
              </w:rPr>
              <w:t>- --------------------------------------------------------</w:t>
            </w: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1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Total</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Maximum</w:t>
            </w:r>
          </w:p>
        </w:tc>
      </w:tr>
      <w:tr>
        <w:trPr>
          <w:trHeight w:val="170"/>
        </w:trPr>
        <w:tc>
          <w:tcPr>
            <w:tcW w:w="1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Facility</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Guarantee</w:t>
            </w:r>
          </w:p>
        </w:tc>
      </w:tr>
      <w:tr>
        <w:trPr>
          <w:trHeight w:val="170"/>
        </w:trPr>
        <w:tc>
          <w:tcPr>
            <w:tcW w:w="1840" w:type="dxa"/>
            <w:vAlign w:val="bottom"/>
          </w:tcPr>
          <w:p>
            <w:pPr>
              <w:jc w:val="center"/>
              <w:spacing w:after="0"/>
              <w:rPr>
                <w:sz w:val="20"/>
                <w:szCs w:val="20"/>
                <w:color w:val="auto"/>
              </w:rPr>
            </w:pPr>
            <w:r>
              <w:rPr>
                <w:rFonts w:ascii="Courier New" w:cs="Courier New" w:eastAsia="Courier New" w:hAnsi="Courier New"/>
                <w:sz w:val="15"/>
                <w:szCs w:val="15"/>
                <w:color w:val="auto"/>
                <w:w w:val="98"/>
              </w:rPr>
              <w:t>Guarantor</w:t>
            </w:r>
          </w:p>
        </w:tc>
        <w:tc>
          <w:tcPr>
            <w:tcW w:w="1860" w:type="dxa"/>
            <w:vAlign w:val="bottom"/>
          </w:tcPr>
          <w:p>
            <w:pPr>
              <w:jc w:val="center"/>
              <w:spacing w:after="0"/>
              <w:rPr>
                <w:sz w:val="20"/>
                <w:szCs w:val="20"/>
                <w:color w:val="auto"/>
              </w:rPr>
            </w:pPr>
            <w:r>
              <w:rPr>
                <w:rFonts w:ascii="Courier New" w:cs="Courier New" w:eastAsia="Courier New" w:hAnsi="Courier New"/>
                <w:sz w:val="15"/>
                <w:szCs w:val="15"/>
                <w:color w:val="auto"/>
                <w:w w:val="98"/>
              </w:rPr>
              <w:t>Obligor</w:t>
            </w:r>
          </w:p>
        </w:tc>
        <w:tc>
          <w:tcPr>
            <w:tcW w:w="118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Type</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6"/>
              </w:rPr>
              <w:t>Expiry</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Currency</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Size*</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Exposure*</w:t>
            </w:r>
          </w:p>
        </w:tc>
      </w:tr>
      <w:tr>
        <w:trPr>
          <w:trHeight w:val="170"/>
        </w:trPr>
        <w:tc>
          <w:tcPr>
            <w:tcW w:w="184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8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1840" w:type="dxa"/>
            <w:vAlign w:val="bottom"/>
          </w:tcPr>
          <w:p>
            <w:pPr>
              <w:jc w:val="center"/>
              <w:spacing w:after="0"/>
              <w:rPr>
                <w:sz w:val="20"/>
                <w:szCs w:val="20"/>
                <w:color w:val="auto"/>
              </w:rPr>
            </w:pPr>
            <w:r>
              <w:rPr>
                <w:rFonts w:ascii="Courier New" w:cs="Courier New" w:eastAsia="Courier New" w:hAnsi="Courier New"/>
                <w:sz w:val="15"/>
                <w:szCs w:val="15"/>
                <w:color w:val="auto"/>
                <w:w w:val="96"/>
              </w:rPr>
              <w:t>PCI</w:t>
            </w:r>
          </w:p>
        </w:tc>
        <w:tc>
          <w:tcPr>
            <w:tcW w:w="1860" w:type="dxa"/>
            <w:vAlign w:val="bottom"/>
          </w:tcPr>
          <w:p>
            <w:pPr>
              <w:ind w:left="540"/>
              <w:spacing w:after="0"/>
              <w:rPr>
                <w:sz w:val="20"/>
                <w:szCs w:val="20"/>
                <w:color w:val="auto"/>
              </w:rPr>
            </w:pPr>
            <w:r>
              <w:rPr>
                <w:rFonts w:ascii="Courier New" w:cs="Courier New" w:eastAsia="Courier New" w:hAnsi="Courier New"/>
                <w:sz w:val="15"/>
                <w:szCs w:val="15"/>
                <w:color w:val="auto"/>
              </w:rPr>
              <w:t>UCI (UK)</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Term Loan</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9/30/97</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Pounds</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58,722,500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29,361,250</w:t>
            </w:r>
          </w:p>
        </w:tc>
      </w:tr>
      <w:tr>
        <w:trPr>
          <w:trHeight w:val="170"/>
        </w:trPr>
        <w:tc>
          <w:tcPr>
            <w:tcW w:w="1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Sterling</w:t>
            </w: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1840" w:type="dxa"/>
            <w:vAlign w:val="bottom"/>
          </w:tcPr>
          <w:p>
            <w:pPr>
              <w:jc w:val="center"/>
              <w:spacing w:after="0"/>
              <w:rPr>
                <w:sz w:val="20"/>
                <w:szCs w:val="20"/>
                <w:color w:val="auto"/>
              </w:rPr>
            </w:pPr>
            <w:r>
              <w:rPr>
                <w:rFonts w:ascii="Courier New" w:cs="Courier New" w:eastAsia="Courier New" w:hAnsi="Courier New"/>
                <w:sz w:val="15"/>
                <w:szCs w:val="15"/>
                <w:color w:val="auto"/>
                <w:w w:val="96"/>
              </w:rPr>
              <w:t>PCI</w:t>
            </w:r>
          </w:p>
        </w:tc>
        <w:tc>
          <w:tcPr>
            <w:tcW w:w="1860" w:type="dxa"/>
            <w:vAlign w:val="bottom"/>
          </w:tcPr>
          <w:p>
            <w:pPr>
              <w:ind w:left="540"/>
              <w:spacing w:after="0"/>
              <w:rPr>
                <w:sz w:val="20"/>
                <w:szCs w:val="20"/>
                <w:color w:val="auto"/>
              </w:rPr>
            </w:pPr>
            <w:r>
              <w:rPr>
                <w:rFonts w:ascii="Courier New" w:cs="Courier New" w:eastAsia="Courier New" w:hAnsi="Courier New"/>
                <w:sz w:val="15"/>
                <w:szCs w:val="15"/>
                <w:color w:val="auto"/>
              </w:rPr>
              <w:t>UCI (UK)</w:t>
            </w:r>
          </w:p>
        </w:tc>
        <w:tc>
          <w:tcPr>
            <w:tcW w:w="118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Revolver</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6/11/96</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Pounds</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27,000,000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13,500,000</w:t>
            </w:r>
          </w:p>
        </w:tc>
      </w:tr>
      <w:tr>
        <w:trPr>
          <w:trHeight w:val="170"/>
        </w:trPr>
        <w:tc>
          <w:tcPr>
            <w:tcW w:w="1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Sterling</w:t>
            </w: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1840" w:type="dxa"/>
            <w:vAlign w:val="bottom"/>
          </w:tcPr>
          <w:p>
            <w:pPr>
              <w:jc w:val="center"/>
              <w:spacing w:after="0"/>
              <w:rPr>
                <w:sz w:val="20"/>
                <w:szCs w:val="20"/>
                <w:color w:val="auto"/>
              </w:rPr>
            </w:pPr>
            <w:r>
              <w:rPr>
                <w:rFonts w:ascii="Courier New" w:cs="Courier New" w:eastAsia="Courier New" w:hAnsi="Courier New"/>
                <w:sz w:val="15"/>
                <w:szCs w:val="15"/>
                <w:color w:val="auto"/>
                <w:w w:val="96"/>
              </w:rPr>
              <w:t>PCI</w:t>
            </w:r>
          </w:p>
        </w:tc>
        <w:tc>
          <w:tcPr>
            <w:tcW w:w="1860" w:type="dxa"/>
            <w:vAlign w:val="bottom"/>
          </w:tcPr>
          <w:p>
            <w:pPr>
              <w:ind w:left="540"/>
              <w:spacing w:after="0"/>
              <w:rPr>
                <w:sz w:val="20"/>
                <w:szCs w:val="20"/>
                <w:color w:val="auto"/>
              </w:rPr>
            </w:pPr>
            <w:r>
              <w:rPr>
                <w:rFonts w:ascii="Courier New" w:cs="Courier New" w:eastAsia="Courier New" w:hAnsi="Courier New"/>
                <w:sz w:val="15"/>
                <w:szCs w:val="15"/>
                <w:color w:val="auto"/>
              </w:rPr>
              <w:t>CIC (UK)</w:t>
            </w:r>
          </w:p>
        </w:tc>
        <w:tc>
          <w:tcPr>
            <w:tcW w:w="118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Revolver</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12/6/96</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Pounds</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31,000,000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15,500,000</w:t>
            </w:r>
          </w:p>
        </w:tc>
      </w:tr>
      <w:tr>
        <w:trPr>
          <w:trHeight w:val="170"/>
        </w:trPr>
        <w:tc>
          <w:tcPr>
            <w:tcW w:w="1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Sterling</w:t>
            </w: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1840" w:type="dxa"/>
            <w:vAlign w:val="bottom"/>
          </w:tcPr>
          <w:p>
            <w:pPr>
              <w:jc w:val="center"/>
              <w:spacing w:after="0"/>
              <w:rPr>
                <w:sz w:val="20"/>
                <w:szCs w:val="20"/>
                <w:color w:val="auto"/>
              </w:rPr>
            </w:pPr>
            <w:r>
              <w:rPr>
                <w:rFonts w:ascii="Courier New" w:cs="Courier New" w:eastAsia="Courier New" w:hAnsi="Courier New"/>
                <w:sz w:val="15"/>
                <w:szCs w:val="15"/>
                <w:color w:val="auto"/>
                <w:w w:val="96"/>
              </w:rPr>
              <w:t>PCI</w:t>
            </w:r>
          </w:p>
        </w:tc>
        <w:tc>
          <w:tcPr>
            <w:tcW w:w="1860" w:type="dxa"/>
            <w:vAlign w:val="bottom"/>
          </w:tcPr>
          <w:p>
            <w:pPr>
              <w:jc w:val="center"/>
              <w:spacing w:after="0"/>
              <w:rPr>
                <w:sz w:val="20"/>
                <w:szCs w:val="20"/>
                <w:color w:val="auto"/>
              </w:rPr>
            </w:pPr>
            <w:r>
              <w:rPr>
                <w:rFonts w:ascii="Courier New" w:cs="Courier New" w:eastAsia="Courier New" w:hAnsi="Courier New"/>
                <w:sz w:val="15"/>
                <w:szCs w:val="15"/>
                <w:color w:val="auto"/>
                <w:w w:val="98"/>
              </w:rPr>
              <w:t>UCI Germany</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7"/>
              </w:rPr>
              <w:t>Revolver/Term</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8/22/95</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8"/>
              </w:rPr>
              <w:t>Deutschemark</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100,000,000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50,000,000</w:t>
            </w:r>
          </w:p>
        </w:tc>
      </w:tr>
      <w:tr>
        <w:trPr>
          <w:trHeight w:val="170"/>
        </w:trPr>
        <w:tc>
          <w:tcPr>
            <w:tcW w:w="1840" w:type="dxa"/>
            <w:vAlign w:val="bottom"/>
          </w:tcPr>
          <w:p>
            <w:pPr>
              <w:jc w:val="center"/>
              <w:spacing w:after="0"/>
              <w:rPr>
                <w:sz w:val="20"/>
                <w:szCs w:val="20"/>
                <w:color w:val="auto"/>
              </w:rPr>
            </w:pPr>
            <w:r>
              <w:rPr>
                <w:rFonts w:ascii="Courier New" w:cs="Courier New" w:eastAsia="Courier New" w:hAnsi="Courier New"/>
                <w:sz w:val="15"/>
                <w:szCs w:val="15"/>
                <w:color w:val="auto"/>
                <w:w w:val="96"/>
              </w:rPr>
              <w:t>PCI</w:t>
            </w:r>
          </w:p>
        </w:tc>
        <w:tc>
          <w:tcPr>
            <w:tcW w:w="1860" w:type="dxa"/>
            <w:vAlign w:val="bottom"/>
          </w:tcPr>
          <w:p>
            <w:pPr>
              <w:jc w:val="center"/>
              <w:spacing w:after="0"/>
              <w:rPr>
                <w:sz w:val="20"/>
                <w:szCs w:val="20"/>
                <w:color w:val="auto"/>
              </w:rPr>
            </w:pPr>
            <w:r>
              <w:rPr>
                <w:rFonts w:ascii="Courier New" w:cs="Courier New" w:eastAsia="Courier New" w:hAnsi="Courier New"/>
                <w:sz w:val="15"/>
                <w:szCs w:val="15"/>
                <w:color w:val="auto"/>
                <w:w w:val="96"/>
              </w:rPr>
              <w:t>UCI Spain</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7"/>
              </w:rPr>
              <w:t>Revolver/Term</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4/15/99</w:t>
            </w:r>
          </w:p>
        </w:tc>
        <w:tc>
          <w:tcPr>
            <w:tcW w:w="11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Spanish</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5,000,000,000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2,500,000,000</w:t>
            </w:r>
          </w:p>
        </w:tc>
      </w:tr>
      <w:tr>
        <w:trPr>
          <w:trHeight w:val="170"/>
        </w:trPr>
        <w:tc>
          <w:tcPr>
            <w:tcW w:w="1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Peseta</w:t>
            </w: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1840" w:type="dxa"/>
            <w:vAlign w:val="bottom"/>
          </w:tcPr>
          <w:p>
            <w:pPr>
              <w:ind w:left="80"/>
              <w:spacing w:after="0"/>
              <w:rPr>
                <w:sz w:val="20"/>
                <w:szCs w:val="20"/>
                <w:color w:val="auto"/>
              </w:rPr>
            </w:pPr>
            <w:r>
              <w:rPr>
                <w:rFonts w:ascii="Courier New" w:cs="Courier New" w:eastAsia="Courier New" w:hAnsi="Courier New"/>
                <w:sz w:val="15"/>
                <w:szCs w:val="15"/>
                <w:color w:val="auto"/>
              </w:rPr>
              <w:t>Blockbuster Enter.</w:t>
            </w:r>
          </w:p>
        </w:tc>
        <w:tc>
          <w:tcPr>
            <w:tcW w:w="1860" w:type="dxa"/>
            <w:vAlign w:val="bottom"/>
          </w:tcPr>
          <w:p>
            <w:pPr>
              <w:jc w:val="center"/>
              <w:spacing w:after="0"/>
              <w:rPr>
                <w:sz w:val="20"/>
                <w:szCs w:val="20"/>
                <w:color w:val="auto"/>
              </w:rPr>
            </w:pPr>
            <w:r>
              <w:rPr>
                <w:rFonts w:ascii="Courier New" w:cs="Courier New" w:eastAsia="Courier New" w:hAnsi="Courier New"/>
                <w:sz w:val="15"/>
                <w:szCs w:val="15"/>
                <w:color w:val="auto"/>
                <w:w w:val="98"/>
              </w:rPr>
              <w:t>Blockbuster Japan</w:t>
            </w:r>
          </w:p>
        </w:tc>
        <w:tc>
          <w:tcPr>
            <w:tcW w:w="118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Revolver</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7/14/95</w:t>
            </w:r>
          </w:p>
        </w:tc>
        <w:tc>
          <w:tcPr>
            <w:tcW w:w="11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Yen</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700,000,000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2,025,000,000</w:t>
            </w:r>
          </w:p>
        </w:tc>
      </w:tr>
      <w:tr>
        <w:trPr>
          <w:trHeight w:val="170"/>
        </w:trPr>
        <w:tc>
          <w:tcPr>
            <w:tcW w:w="1840" w:type="dxa"/>
            <w:vAlign w:val="bottom"/>
          </w:tcPr>
          <w:p>
            <w:pPr>
              <w:jc w:val="center"/>
              <w:spacing w:after="0"/>
              <w:rPr>
                <w:sz w:val="20"/>
                <w:szCs w:val="20"/>
                <w:color w:val="auto"/>
              </w:rPr>
            </w:pPr>
            <w:r>
              <w:rPr>
                <w:rFonts w:ascii="Courier New" w:cs="Courier New" w:eastAsia="Courier New" w:hAnsi="Courier New"/>
                <w:sz w:val="15"/>
                <w:szCs w:val="15"/>
                <w:color w:val="auto"/>
                <w:w w:val="98"/>
              </w:rPr>
              <w:t>Co. (a)</w:t>
            </w:r>
          </w:p>
        </w:tc>
        <w:tc>
          <w:tcPr>
            <w:tcW w:w="1860" w:type="dxa"/>
            <w:vAlign w:val="bottom"/>
          </w:tcPr>
          <w:p>
            <w:pPr>
              <w:ind w:left="540"/>
              <w:spacing w:after="0"/>
              <w:rPr>
                <w:sz w:val="20"/>
                <w:szCs w:val="20"/>
                <w:color w:val="auto"/>
              </w:rPr>
            </w:pPr>
            <w:r>
              <w:rPr>
                <w:rFonts w:ascii="Courier New" w:cs="Courier New" w:eastAsia="Courier New" w:hAnsi="Courier New"/>
                <w:sz w:val="15"/>
                <w:szCs w:val="15"/>
                <w:color w:val="auto"/>
              </w:rPr>
              <w:t>Co. Ltd.</w:t>
            </w: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1840" w:type="dxa"/>
            <w:vAlign w:val="bottom"/>
          </w:tcPr>
          <w:p>
            <w:pPr>
              <w:ind w:left="80"/>
              <w:spacing w:after="0"/>
              <w:rPr>
                <w:sz w:val="20"/>
                <w:szCs w:val="20"/>
                <w:color w:val="auto"/>
              </w:rPr>
            </w:pPr>
            <w:r>
              <w:rPr>
                <w:rFonts w:ascii="Courier New" w:cs="Courier New" w:eastAsia="Courier New" w:hAnsi="Courier New"/>
                <w:sz w:val="15"/>
                <w:szCs w:val="15"/>
                <w:color w:val="auto"/>
              </w:rPr>
              <w:t>Blockbuster Enter.</w:t>
            </w:r>
          </w:p>
        </w:tc>
        <w:tc>
          <w:tcPr>
            <w:tcW w:w="1860" w:type="dxa"/>
            <w:vAlign w:val="bottom"/>
          </w:tcPr>
          <w:p>
            <w:pPr>
              <w:jc w:val="center"/>
              <w:spacing w:after="0"/>
              <w:rPr>
                <w:sz w:val="20"/>
                <w:szCs w:val="20"/>
                <w:color w:val="auto"/>
              </w:rPr>
            </w:pPr>
            <w:r>
              <w:rPr>
                <w:rFonts w:ascii="Courier New" w:cs="Courier New" w:eastAsia="Courier New" w:hAnsi="Courier New"/>
                <w:sz w:val="15"/>
                <w:szCs w:val="15"/>
                <w:color w:val="auto"/>
                <w:w w:val="98"/>
              </w:rPr>
              <w:t>Blockbuster Japan</w:t>
            </w:r>
          </w:p>
        </w:tc>
        <w:tc>
          <w:tcPr>
            <w:tcW w:w="118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Revolver</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9/27/95</w:t>
            </w:r>
          </w:p>
        </w:tc>
        <w:tc>
          <w:tcPr>
            <w:tcW w:w="11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Yen</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4,050,000,000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350,000,000</w:t>
            </w:r>
          </w:p>
        </w:tc>
      </w:tr>
      <w:tr>
        <w:trPr>
          <w:trHeight w:val="170"/>
        </w:trPr>
        <w:tc>
          <w:tcPr>
            <w:tcW w:w="1840" w:type="dxa"/>
            <w:vAlign w:val="bottom"/>
          </w:tcPr>
          <w:p>
            <w:pPr>
              <w:jc w:val="center"/>
              <w:spacing w:after="0"/>
              <w:rPr>
                <w:sz w:val="20"/>
                <w:szCs w:val="20"/>
                <w:color w:val="auto"/>
              </w:rPr>
            </w:pPr>
            <w:r>
              <w:rPr>
                <w:rFonts w:ascii="Courier New" w:cs="Courier New" w:eastAsia="Courier New" w:hAnsi="Courier New"/>
                <w:sz w:val="15"/>
                <w:szCs w:val="15"/>
                <w:color w:val="auto"/>
                <w:w w:val="98"/>
              </w:rPr>
              <w:t>Co. (a)</w:t>
            </w:r>
          </w:p>
        </w:tc>
        <w:tc>
          <w:tcPr>
            <w:tcW w:w="1860" w:type="dxa"/>
            <w:vAlign w:val="bottom"/>
          </w:tcPr>
          <w:p>
            <w:pPr>
              <w:ind w:left="540"/>
              <w:spacing w:after="0"/>
              <w:rPr>
                <w:sz w:val="20"/>
                <w:szCs w:val="20"/>
                <w:color w:val="auto"/>
              </w:rPr>
            </w:pPr>
            <w:r>
              <w:rPr>
                <w:rFonts w:ascii="Courier New" w:cs="Courier New" w:eastAsia="Courier New" w:hAnsi="Courier New"/>
                <w:sz w:val="15"/>
                <w:szCs w:val="15"/>
                <w:color w:val="auto"/>
              </w:rPr>
              <w:t>Co. Ltd.</w:t>
            </w: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r>
    </w:tbl>
    <w:p>
      <w:pPr>
        <w:spacing w:after="0" w:line="339" w:lineRule="exact"/>
        <w:rPr>
          <w:sz w:val="20"/>
          <w:szCs w:val="20"/>
          <w:color w:val="auto"/>
        </w:rPr>
      </w:pPr>
    </w:p>
    <w:p>
      <w:pPr>
        <w:ind w:left="170" w:hanging="170"/>
        <w:spacing w:after="0"/>
        <w:tabs>
          <w:tab w:leader="none" w:pos="17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Guarantees:  Other</w:t>
      </w:r>
    </w:p>
    <w:p>
      <w:pPr>
        <w:ind w:left="170" w:hanging="170"/>
        <w:spacing w:after="0"/>
        <w:tabs>
          <w:tab w:leader="none" w:pos="17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tbl>
      <w:tblPr>
        <w:tblLayout w:type="fixed"/>
        <w:tblInd w:w="10" w:type="dxa"/>
        <w:tblCellMar>
          <w:top w:w="0" w:type="dxa"/>
          <w:left w:w="0" w:type="dxa"/>
          <w:bottom w:w="0" w:type="dxa"/>
          <w:right w:w="0" w:type="dxa"/>
        </w:tblCellMar>
      </w:tblPr>
      <w:tr>
        <w:trPr>
          <w:trHeight w:val="169"/>
        </w:trPr>
        <w:tc>
          <w:tcPr>
            <w:tcW w:w="17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Total</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Maximum</w:t>
            </w:r>
          </w:p>
        </w:tc>
      </w:tr>
      <w:tr>
        <w:trPr>
          <w:trHeight w:val="170"/>
        </w:trPr>
        <w:tc>
          <w:tcPr>
            <w:tcW w:w="17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Facility</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Guarantee</w:t>
            </w:r>
          </w:p>
        </w:tc>
      </w:tr>
      <w:tr>
        <w:trPr>
          <w:trHeight w:val="170"/>
        </w:trPr>
        <w:tc>
          <w:tcPr>
            <w:tcW w:w="1760" w:type="dxa"/>
            <w:vAlign w:val="bottom"/>
          </w:tcPr>
          <w:p>
            <w:pPr>
              <w:ind w:left="440"/>
              <w:spacing w:after="0"/>
              <w:rPr>
                <w:sz w:val="20"/>
                <w:szCs w:val="20"/>
                <w:color w:val="auto"/>
              </w:rPr>
            </w:pPr>
            <w:r>
              <w:rPr>
                <w:rFonts w:ascii="Courier New" w:cs="Courier New" w:eastAsia="Courier New" w:hAnsi="Courier New"/>
                <w:sz w:val="15"/>
                <w:szCs w:val="15"/>
                <w:color w:val="auto"/>
              </w:rPr>
              <w:t>7Guarantor</w:t>
            </w:r>
          </w:p>
        </w:tc>
        <w:tc>
          <w:tcPr>
            <w:tcW w:w="1880" w:type="dxa"/>
            <w:vAlign w:val="bottom"/>
          </w:tcPr>
          <w:p>
            <w:pPr>
              <w:ind w:left="700"/>
              <w:spacing w:after="0"/>
              <w:rPr>
                <w:sz w:val="20"/>
                <w:szCs w:val="20"/>
                <w:color w:val="auto"/>
              </w:rPr>
            </w:pPr>
            <w:r>
              <w:rPr>
                <w:rFonts w:ascii="Courier New" w:cs="Courier New" w:eastAsia="Courier New" w:hAnsi="Courier New"/>
                <w:sz w:val="15"/>
                <w:szCs w:val="15"/>
                <w:color w:val="auto"/>
              </w:rPr>
              <w:t>Obligor</w:t>
            </w:r>
          </w:p>
        </w:tc>
        <w:tc>
          <w:tcPr>
            <w:tcW w:w="1120" w:type="dxa"/>
            <w:vAlign w:val="bottom"/>
          </w:tcPr>
          <w:p>
            <w:pPr>
              <w:ind w:left="400"/>
              <w:spacing w:after="0"/>
              <w:rPr>
                <w:sz w:val="20"/>
                <w:szCs w:val="20"/>
                <w:color w:val="auto"/>
              </w:rPr>
            </w:pPr>
            <w:r>
              <w:rPr>
                <w:rFonts w:ascii="Courier New" w:cs="Courier New" w:eastAsia="Courier New" w:hAnsi="Courier New"/>
                <w:sz w:val="15"/>
                <w:szCs w:val="15"/>
                <w:color w:val="auto"/>
              </w:rPr>
              <w:t>Type</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Expiry</w:t>
            </w: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Currency</w:t>
            </w: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Size</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Exposure*</w:t>
            </w:r>
          </w:p>
        </w:tc>
      </w:tr>
      <w:tr>
        <w:trPr>
          <w:trHeight w:val="170"/>
        </w:trPr>
        <w:tc>
          <w:tcPr>
            <w:tcW w:w="17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1760" w:type="dxa"/>
            <w:vAlign w:val="bottom"/>
          </w:tcPr>
          <w:p>
            <w:pPr>
              <w:spacing w:after="0"/>
              <w:rPr>
                <w:sz w:val="20"/>
                <w:szCs w:val="20"/>
                <w:color w:val="auto"/>
              </w:rPr>
            </w:pPr>
            <w:r>
              <w:rPr>
                <w:rFonts w:ascii="Courier New" w:cs="Courier New" w:eastAsia="Courier New" w:hAnsi="Courier New"/>
                <w:sz w:val="15"/>
                <w:szCs w:val="15"/>
                <w:color w:val="auto"/>
              </w:rPr>
              <w:t>Blockbuster Enter.</w:t>
            </w:r>
          </w:p>
        </w:tc>
        <w:tc>
          <w:tcPr>
            <w:tcW w:w="1880" w:type="dxa"/>
            <w:vAlign w:val="bottom"/>
          </w:tcPr>
          <w:p>
            <w:pPr>
              <w:ind w:left="160"/>
              <w:spacing w:after="0"/>
              <w:rPr>
                <w:sz w:val="20"/>
                <w:szCs w:val="20"/>
                <w:color w:val="auto"/>
              </w:rPr>
            </w:pPr>
            <w:r>
              <w:rPr>
                <w:rFonts w:ascii="Courier New" w:cs="Courier New" w:eastAsia="Courier New" w:hAnsi="Courier New"/>
                <w:sz w:val="15"/>
                <w:szCs w:val="15"/>
                <w:color w:val="auto"/>
              </w:rPr>
              <w:t>Panthers Invest.</w:t>
            </w:r>
          </w:p>
        </w:tc>
        <w:tc>
          <w:tcPr>
            <w:tcW w:w="1120" w:type="dxa"/>
            <w:vAlign w:val="bottom"/>
          </w:tcPr>
          <w:p>
            <w:pPr>
              <w:ind w:left="60"/>
              <w:spacing w:after="0"/>
              <w:rPr>
                <w:sz w:val="20"/>
                <w:szCs w:val="20"/>
                <w:color w:val="auto"/>
              </w:rPr>
            </w:pPr>
            <w:r>
              <w:rPr>
                <w:rFonts w:ascii="Courier New" w:cs="Courier New" w:eastAsia="Courier New" w:hAnsi="Courier New"/>
                <w:sz w:val="15"/>
                <w:szCs w:val="15"/>
                <w:color w:val="auto"/>
              </w:rPr>
              <w:t>Revolver</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5/31/01</w:t>
            </w: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USD</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20,000,000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20,000,000</w:t>
            </w:r>
          </w:p>
        </w:tc>
      </w:t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Co. (a)</w:t>
            </w:r>
          </w:p>
        </w:tc>
        <w:tc>
          <w:tcPr>
            <w:tcW w:w="1880" w:type="dxa"/>
            <w:vAlign w:val="bottom"/>
          </w:tcPr>
          <w:p>
            <w:pPr>
              <w:ind w:left="160"/>
              <w:spacing w:after="0"/>
              <w:rPr>
                <w:sz w:val="20"/>
                <w:szCs w:val="20"/>
                <w:color w:val="auto"/>
              </w:rPr>
            </w:pPr>
            <w:r>
              <w:rPr>
                <w:rFonts w:ascii="Courier New" w:cs="Courier New" w:eastAsia="Courier New" w:hAnsi="Courier New"/>
                <w:sz w:val="15"/>
                <w:szCs w:val="15"/>
                <w:color w:val="auto"/>
              </w:rPr>
              <w:t>Venture</w:t>
            </w: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Blockbuster Enter.</w:t>
            </w:r>
          </w:p>
        </w:tc>
        <w:tc>
          <w:tcPr>
            <w:tcW w:w="1880" w:type="dxa"/>
            <w:vAlign w:val="bottom"/>
          </w:tcPr>
          <w:p>
            <w:pPr>
              <w:ind w:left="160"/>
              <w:spacing w:after="0"/>
              <w:rPr>
                <w:sz w:val="20"/>
                <w:szCs w:val="20"/>
                <w:color w:val="auto"/>
              </w:rPr>
            </w:pPr>
            <w:r>
              <w:rPr>
                <w:rFonts w:ascii="Courier New" w:cs="Courier New" w:eastAsia="Courier New" w:hAnsi="Courier New"/>
                <w:sz w:val="15"/>
                <w:szCs w:val="15"/>
                <w:color w:val="auto"/>
              </w:rPr>
              <w:t>Backlick</w:t>
            </w:r>
          </w:p>
        </w:tc>
        <w:tc>
          <w:tcPr>
            <w:tcW w:w="1120" w:type="dxa"/>
            <w:vAlign w:val="bottom"/>
          </w:tcPr>
          <w:p>
            <w:pPr>
              <w:ind w:left="60"/>
              <w:spacing w:after="0"/>
              <w:rPr>
                <w:sz w:val="20"/>
                <w:szCs w:val="20"/>
                <w:color w:val="auto"/>
              </w:rPr>
            </w:pPr>
            <w:r>
              <w:rPr>
                <w:rFonts w:ascii="Courier New" w:cs="Courier New" w:eastAsia="Courier New" w:hAnsi="Courier New"/>
                <w:sz w:val="15"/>
                <w:szCs w:val="15"/>
                <w:color w:val="auto"/>
              </w:rPr>
              <w:t>Mortgage</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4/19/95</w:t>
            </w: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USD</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5,500,000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5,500,000</w:t>
            </w:r>
          </w:p>
        </w:tc>
      </w:t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Co. (a)</w:t>
            </w:r>
          </w:p>
        </w:tc>
        <w:tc>
          <w:tcPr>
            <w:tcW w:w="1880" w:type="dxa"/>
            <w:vAlign w:val="bottom"/>
          </w:tcPr>
          <w:p>
            <w:pPr>
              <w:ind w:left="160"/>
              <w:spacing w:after="0"/>
              <w:rPr>
                <w:sz w:val="20"/>
                <w:szCs w:val="20"/>
                <w:color w:val="auto"/>
              </w:rPr>
            </w:pPr>
            <w:r>
              <w:rPr>
                <w:rFonts w:ascii="Courier New" w:cs="Courier New" w:eastAsia="Courier New" w:hAnsi="Courier New"/>
                <w:sz w:val="15"/>
                <w:szCs w:val="15"/>
                <w:color w:val="auto"/>
              </w:rPr>
              <w:t>Springfield LP</w:t>
            </w: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Blockbuster Enter.</w:t>
            </w:r>
          </w:p>
        </w:tc>
        <w:tc>
          <w:tcPr>
            <w:tcW w:w="1880" w:type="dxa"/>
            <w:vAlign w:val="bottom"/>
          </w:tcPr>
          <w:p>
            <w:pPr>
              <w:ind w:left="160"/>
              <w:spacing w:after="0"/>
              <w:rPr>
                <w:sz w:val="20"/>
                <w:szCs w:val="20"/>
                <w:color w:val="auto"/>
              </w:rPr>
            </w:pPr>
            <w:r>
              <w:rPr>
                <w:rFonts w:ascii="Courier New" w:cs="Courier New" w:eastAsia="Courier New" w:hAnsi="Courier New"/>
                <w:sz w:val="15"/>
                <w:szCs w:val="15"/>
                <w:color w:val="auto"/>
              </w:rPr>
              <w:t>Pavillion Partners</w:t>
            </w:r>
          </w:p>
        </w:tc>
        <w:tc>
          <w:tcPr>
            <w:tcW w:w="1120" w:type="dxa"/>
            <w:vAlign w:val="bottom"/>
          </w:tcPr>
          <w:p>
            <w:pPr>
              <w:ind w:left="60"/>
              <w:spacing w:after="0"/>
              <w:rPr>
                <w:sz w:val="20"/>
                <w:szCs w:val="20"/>
                <w:color w:val="auto"/>
              </w:rPr>
            </w:pPr>
            <w:r>
              <w:rPr>
                <w:rFonts w:ascii="Courier New" w:cs="Courier New" w:eastAsia="Courier New" w:hAnsi="Courier New"/>
                <w:sz w:val="15"/>
                <w:szCs w:val="15"/>
                <w:color w:val="auto"/>
              </w:rPr>
              <w:t>Promissory</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10/1/04</w:t>
            </w: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USD</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25,000,000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12,500,000</w:t>
            </w:r>
          </w:p>
        </w:tc>
      </w:t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Co. (a)</w:t>
            </w:r>
          </w:p>
        </w:tc>
        <w:tc>
          <w:tcPr>
            <w:tcW w:w="1880" w:type="dxa"/>
            <w:vAlign w:val="bottom"/>
          </w:tcPr>
          <w:p>
            <w:pPr>
              <w:spacing w:after="0"/>
              <w:rPr>
                <w:sz w:val="14"/>
                <w:szCs w:val="14"/>
                <w:color w:val="auto"/>
              </w:rPr>
            </w:pPr>
          </w:p>
        </w:tc>
        <w:tc>
          <w:tcPr>
            <w:tcW w:w="1120" w:type="dxa"/>
            <w:vAlign w:val="bottom"/>
          </w:tcPr>
          <w:p>
            <w:pPr>
              <w:ind w:left="60"/>
              <w:spacing w:after="0"/>
              <w:rPr>
                <w:sz w:val="20"/>
                <w:szCs w:val="20"/>
                <w:color w:val="auto"/>
              </w:rPr>
            </w:pPr>
            <w:r>
              <w:rPr>
                <w:rFonts w:ascii="Courier New" w:cs="Courier New" w:eastAsia="Courier New" w:hAnsi="Courier New"/>
                <w:sz w:val="15"/>
                <w:szCs w:val="15"/>
                <w:color w:val="auto"/>
              </w:rPr>
              <w:t>Note</w:t>
            </w: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9"/>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rPr>
              <w:t>(a)  to be assumed by Viacom Inc.</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509"/>
        </w:trPr>
        <w:tc>
          <w:tcPr>
            <w:tcW w:w="1760" w:type="dxa"/>
            <w:vAlign w:val="bottom"/>
          </w:tcPr>
          <w:p>
            <w:pPr>
              <w:spacing w:after="0"/>
              <w:rPr>
                <w:sz w:val="24"/>
                <w:szCs w:val="24"/>
                <w:color w:val="auto"/>
              </w:rPr>
            </w:pPr>
          </w:p>
        </w:tc>
        <w:tc>
          <w:tcPr>
            <w:tcW w:w="1880" w:type="dxa"/>
            <w:vAlign w:val="bottom"/>
          </w:tcPr>
          <w:p>
            <w:pPr>
              <w:ind w:left="1500"/>
              <w:spacing w:after="0"/>
              <w:rPr>
                <w:sz w:val="20"/>
                <w:szCs w:val="20"/>
                <w:color w:val="auto"/>
              </w:rPr>
            </w:pPr>
            <w:r>
              <w:rPr>
                <w:rFonts w:ascii="Courier New" w:cs="Courier New" w:eastAsia="Courier New" w:hAnsi="Courier New"/>
                <w:sz w:val="15"/>
                <w:szCs w:val="15"/>
                <w:color w:val="auto"/>
                <w:w w:val="99"/>
              </w:rPr>
              <w:t>Page</w:t>
            </w:r>
          </w:p>
        </w:tc>
        <w:tc>
          <w:tcPr>
            <w:tcW w:w="1120" w:type="dxa"/>
            <w:vAlign w:val="bottom"/>
          </w:tcPr>
          <w:p>
            <w:pPr>
              <w:ind w:left="60"/>
              <w:spacing w:after="0"/>
              <w:rPr>
                <w:sz w:val="20"/>
                <w:szCs w:val="20"/>
                <w:color w:val="auto"/>
              </w:rPr>
            </w:pPr>
            <w:r>
              <w:rPr>
                <w:rFonts w:ascii="Courier New" w:cs="Courier New" w:eastAsia="Courier New" w:hAnsi="Courier New"/>
                <w:sz w:val="15"/>
                <w:szCs w:val="15"/>
                <w:color w:val="auto"/>
              </w:rPr>
              <w:t>1</w:t>
            </w: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29"/>
          </w:cols>
          <w:pgMar w:left="230" w:top="622" w:right="1440" w:bottom="1440" w:gutter="0" w:footer="0" w:header="0"/>
        </w:sectPr>
      </w:pPr>
    </w:p>
    <w:bookmarkStart w:id="152" w:name="page153"/>
    <w:bookmarkEnd w:id="152"/>
    <w:p>
      <w:pPr>
        <w:ind w:left="3600"/>
        <w:spacing w:after="0"/>
        <w:rPr>
          <w:sz w:val="20"/>
          <w:szCs w:val="20"/>
          <w:color w:val="auto"/>
        </w:rPr>
      </w:pPr>
      <w:r>
        <w:rPr>
          <w:rFonts w:ascii="Courier New" w:cs="Courier New" w:eastAsia="Courier New" w:hAnsi="Courier New"/>
          <w:sz w:val="15"/>
          <w:szCs w:val="15"/>
          <w:color w:val="auto"/>
        </w:rPr>
        <w:t>Schedule 10.6</w:t>
      </w:r>
    </w:p>
    <w:p>
      <w:pPr>
        <w:spacing w:after="0" w:line="344"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Subsidiary Indebtedness</w:t>
      </w:r>
    </w:p>
    <w:p>
      <w:pPr>
        <w:sectPr>
          <w:pgSz w:w="11900" w:h="16838" w:orient="portrait"/>
          <w:cols w:equalWidth="0" w:num="1">
            <w:col w:w="10219"/>
          </w:cols>
          <w:pgMar w:left="240" w:top="7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Obligor</w:t>
      </w:r>
    </w:p>
    <w:p>
      <w:pPr>
        <w:spacing w:after="0" w:line="11"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Type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Expire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Currency</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Facility</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Size</w:t>
      </w:r>
    </w:p>
    <w:p>
      <w:pPr>
        <w:ind w:left="1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ectPr>
          <w:pgSz w:w="11900" w:h="16838" w:orient="portrait"/>
          <w:cols w:equalWidth="0" w:num="5">
            <w:col w:w="1480" w:space="720"/>
            <w:col w:w="1040" w:space="720"/>
            <w:col w:w="1040" w:space="720"/>
            <w:col w:w="780" w:space="720"/>
            <w:col w:w="2999"/>
          </w:cols>
          <w:pgMar w:left="240" w:top="79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Virgin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Revolver</w:t>
      </w:r>
    </w:p>
    <w:p>
      <w:pPr>
        <w:spacing w:after="0" w:line="20" w:lineRule="exact"/>
        <w:rPr>
          <w:sz w:val="20"/>
          <w:szCs w:val="20"/>
          <w:color w:val="auto"/>
        </w:rPr>
      </w:pPr>
      <w:r>
        <w:rPr>
          <w:sz w:val="20"/>
          <w:szCs w:val="20"/>
          <w:color w:val="auto"/>
        </w:rPr>
        <w:br w:type="column"/>
      </w:r>
    </w:p>
    <w:p>
      <w:pPr>
        <w:jc w:val="center"/>
        <w:ind w:right="600"/>
        <w:spacing w:after="0"/>
        <w:rPr>
          <w:sz w:val="20"/>
          <w:szCs w:val="20"/>
          <w:color w:val="auto"/>
        </w:rPr>
      </w:pPr>
      <w:r>
        <w:rPr>
          <w:rFonts w:ascii="Courier New" w:cs="Courier New" w:eastAsia="Courier New" w:hAnsi="Courier New"/>
          <w:sz w:val="14"/>
          <w:szCs w:val="14"/>
          <w:color w:val="auto"/>
        </w:rPr>
        <w:t>6/30/95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75,000,000</w:t>
      </w:r>
    </w:p>
    <w:p>
      <w:pPr>
        <w:spacing w:after="0" w:line="5" w:lineRule="exact"/>
        <w:rPr>
          <w:sz w:val="20"/>
          <w:szCs w:val="20"/>
          <w:color w:val="auto"/>
        </w:rPr>
      </w:pPr>
    </w:p>
    <w:p>
      <w:pPr>
        <w:sectPr>
          <w:pgSz w:w="11900" w:h="16838" w:orient="portrait"/>
          <w:cols w:equalWidth="0" w:num="5">
            <w:col w:w="1300" w:space="720"/>
            <w:col w:w="1220" w:space="720"/>
            <w:col w:w="1220" w:space="720"/>
            <w:col w:w="680" w:space="720"/>
            <w:col w:w="2919"/>
          </w:cols>
          <w:pgMar w:left="240" w:top="79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Interactive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Entertainment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w:t>
      </w:r>
    </w:p>
    <w:p>
      <w:pPr>
        <w:sectPr>
          <w:pgSz w:w="11900" w:h="16838" w:orient="portrait"/>
          <w:cols w:equalWidth="0" w:num="1">
            <w:col w:w="10219"/>
          </w:cols>
          <w:pgMar w:left="240" w:top="792"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Virgin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Revolver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10/31/94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Pounds Sterling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10,000,000*</w:t>
      </w:r>
    </w:p>
    <w:p>
      <w:pPr>
        <w:spacing w:after="0" w:line="7" w:lineRule="exact"/>
        <w:rPr>
          <w:sz w:val="20"/>
          <w:szCs w:val="20"/>
          <w:color w:val="auto"/>
        </w:rPr>
      </w:pPr>
    </w:p>
    <w:p>
      <w:pPr>
        <w:sectPr>
          <w:pgSz w:w="11900" w:h="16838" w:orient="portrait"/>
          <w:cols w:equalWidth="0" w:num="5">
            <w:col w:w="1300" w:space="720"/>
            <w:col w:w="1120" w:space="720"/>
            <w:col w:w="780" w:space="720"/>
            <w:col w:w="1320" w:space="540"/>
            <w:col w:w="2999"/>
          </w:cols>
          <w:pgMar w:left="240" w:top="79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Interactive</w:t>
      </w:r>
    </w:p>
    <w:p>
      <w:pPr>
        <w:spacing w:after="0" w:line="238" w:lineRule="auto"/>
        <w:rPr>
          <w:sz w:val="20"/>
          <w:szCs w:val="20"/>
          <w:color w:val="auto"/>
        </w:rPr>
      </w:pPr>
      <w:r>
        <w:rPr>
          <w:rFonts w:ascii="Courier New" w:cs="Courier New" w:eastAsia="Courier New" w:hAnsi="Courier New"/>
          <w:sz w:val="15"/>
          <w:szCs w:val="15"/>
          <w:color w:val="auto"/>
        </w:rPr>
        <w:t>Entertainment</w:t>
      </w:r>
    </w:p>
    <w:p>
      <w:pPr>
        <w:spacing w:after="0"/>
        <w:rPr>
          <w:sz w:val="20"/>
          <w:szCs w:val="20"/>
          <w:color w:val="auto"/>
        </w:rPr>
      </w:pPr>
      <w:r>
        <w:rPr>
          <w:rFonts w:ascii="Courier New" w:cs="Courier New" w:eastAsia="Courier New" w:hAnsi="Courier New"/>
          <w:sz w:val="15"/>
          <w:szCs w:val="15"/>
          <w:color w:val="auto"/>
        </w:rPr>
        <w:t>Inc.</w:t>
      </w:r>
    </w:p>
    <w:p>
      <w:pPr>
        <w:spacing w:after="0" w:line="200" w:lineRule="exact"/>
        <w:rPr>
          <w:sz w:val="20"/>
          <w:szCs w:val="20"/>
          <w:color w:val="auto"/>
        </w:rPr>
      </w:pPr>
    </w:p>
    <w:p>
      <w:pPr>
        <w:spacing w:after="0" w:line="31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Page 2</w:t>
      </w:r>
    </w:p>
    <w:p>
      <w:pPr>
        <w:sectPr>
          <w:pgSz w:w="11900" w:h="16838" w:orient="portrait"/>
          <w:cols w:equalWidth="0" w:num="1">
            <w:col w:w="10219"/>
          </w:cols>
          <w:pgMar w:left="240" w:top="792" w:right="1440" w:bottom="1440" w:gutter="0" w:footer="0" w:header="0"/>
          <w:type w:val="continuous"/>
        </w:sectPr>
      </w:pPr>
    </w:p>
    <w:bookmarkStart w:id="153" w:name="page154"/>
    <w:bookmarkEnd w:id="153"/>
    <w:p>
      <w:pPr>
        <w:ind w:left="3160"/>
        <w:spacing w:after="0"/>
        <w:rPr>
          <w:sz w:val="20"/>
          <w:szCs w:val="20"/>
          <w:color w:val="auto"/>
        </w:rPr>
      </w:pPr>
      <w:r>
        <w:rPr>
          <w:rFonts w:ascii="Courier New" w:cs="Courier New" w:eastAsia="Courier New" w:hAnsi="Courier New"/>
          <w:sz w:val="15"/>
          <w:szCs w:val="15"/>
          <w:color w:val="auto"/>
        </w:rPr>
        <w:t>AMENDMENT</w:t>
      </w:r>
    </w:p>
    <w:p>
      <w:pPr>
        <w:spacing w:after="0" w:line="33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This Amendment ("Amendment"), dated as of May 15, 1995, shall be:</w:t>
      </w:r>
    </w:p>
    <w:p>
      <w:pPr>
        <w:spacing w:after="0" w:line="175" w:lineRule="exact"/>
        <w:rPr>
          <w:sz w:val="20"/>
          <w:szCs w:val="20"/>
          <w:color w:val="auto"/>
        </w:rPr>
      </w:pPr>
    </w:p>
    <w:p>
      <w:pPr>
        <w:ind w:right="3179" w:firstLine="970"/>
        <w:spacing w:after="0" w:line="238" w:lineRule="auto"/>
        <w:rPr>
          <w:sz w:val="20"/>
          <w:szCs w:val="20"/>
          <w:color w:val="auto"/>
        </w:rPr>
      </w:pPr>
      <w:r>
        <w:rPr>
          <w:rFonts w:ascii="Courier New" w:cs="Courier New" w:eastAsia="Courier New" w:hAnsi="Courier New"/>
          <w:sz w:val="15"/>
          <w:szCs w:val="15"/>
          <w:color w:val="auto"/>
        </w:rPr>
        <w:t>AMENDMENT NO. 3 to the $6.489 BILLION CREDIT AGREEMENT, dated as of July 1, 1994, as amended as of August 5, 1994 by Amendment No. 1 and as of September 29, 1994 by Amendment No. 2 (the "Parent Facility"), among VIACOM INC., a Delaware corporation ("Viacom"), each of the several Banks, THE BANK OF NEW YORK, as a Managing Agent and as the Documentation Agent, CITIBANK, N.A., as a Managing Agent and as the Administrative Agent, MORGAN GUARANTY TRUST COMPANY OF NEW YORK, as a Managing Agent, JP MORGAN SECURITIES INC., as the Syndication Agent, BANK OF AMERICA NT&amp;SA, as a Managing Agent, the Banks identified as Agents on the signature pages thereof, as Agents, and the Banks identified as Co-Agents on the signature pages thereof, as Co-Agents; and</w:t>
      </w:r>
    </w:p>
    <w:p>
      <w:pPr>
        <w:spacing w:after="0" w:line="180" w:lineRule="exact"/>
        <w:rPr>
          <w:sz w:val="20"/>
          <w:szCs w:val="20"/>
          <w:color w:val="auto"/>
        </w:rPr>
      </w:pPr>
    </w:p>
    <w:p>
      <w:pPr>
        <w:ind w:right="3179" w:firstLine="970"/>
        <w:spacing w:after="0" w:line="257" w:lineRule="auto"/>
        <w:rPr>
          <w:sz w:val="20"/>
          <w:szCs w:val="20"/>
          <w:color w:val="auto"/>
        </w:rPr>
      </w:pPr>
      <w:r>
        <w:rPr>
          <w:rFonts w:ascii="Courier New" w:cs="Courier New" w:eastAsia="Courier New" w:hAnsi="Courier New"/>
          <w:sz w:val="14"/>
          <w:szCs w:val="14"/>
          <w:color w:val="auto"/>
        </w:rPr>
        <w:t>AMENDMENT NO. 2 to the $311 MILLION CREDIT AGREEMENT, dated as of July 1, 1994, as amended as of August 5, 1994 by Amendment No. 1 (the "Subsidiary Facility"), among VIACOM CABLEVISION OF DAYTON INC., WNYT INC., WMZQ INC., WVIT INC. and VIACOM INTERNATIONAL INC., each a Delaware corporation (collectively, "Subsidiary Borrowers"), each of the several Banks, THE BANK OF NEW YORK, as a Managing Agent and as the Documentation Agent, CITIBANK, N.A., as a Managing Agent and as the Administrative Agent, MORGAN GUARANTY TRUST COMPANY OF NEW YORK, as a Managing Agent, JP MORGAN SECURITIES INC., as the Syndication Agent, BANK OF AMERICA NT&amp;SA, as a Managing Agent, the Banks identified as Agents on the signature pages thereof, as Agents, and the Banks identified as Co-Agents on the signature pages thereof, as Co-Agents.</w:t>
      </w:r>
    </w:p>
    <w:p>
      <w:pPr>
        <w:spacing w:after="0" w:line="160"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 I T N E S S E T H:</w:t>
      </w:r>
    </w:p>
    <w:p>
      <w:pPr>
        <w:spacing w:after="0" w:line="175" w:lineRule="exact"/>
        <w:rPr>
          <w:sz w:val="20"/>
          <w:szCs w:val="20"/>
          <w:color w:val="auto"/>
        </w:rPr>
      </w:pPr>
    </w:p>
    <w:p>
      <w:pPr>
        <w:ind w:right="3359" w:firstLine="970"/>
        <w:spacing w:after="0" w:line="237" w:lineRule="auto"/>
        <w:rPr>
          <w:sz w:val="20"/>
          <w:szCs w:val="20"/>
          <w:color w:val="auto"/>
        </w:rPr>
      </w:pPr>
      <w:r>
        <w:rPr>
          <w:rFonts w:ascii="Courier New" w:cs="Courier New" w:eastAsia="Courier New" w:hAnsi="Courier New"/>
          <w:sz w:val="15"/>
          <w:szCs w:val="15"/>
          <w:color w:val="auto"/>
        </w:rPr>
        <w:t>WHEREAS, Viacom and the Subsidiary Borrowers have requested certain amendments to be made to certain provisions of the Parent Facility and the Subsidiary Facility, respectively; and</w:t>
      </w:r>
    </w:p>
    <w:p>
      <w:pPr>
        <w:spacing w:after="0" w:line="175" w:lineRule="exact"/>
        <w:rPr>
          <w:sz w:val="20"/>
          <w:szCs w:val="20"/>
          <w:color w:val="auto"/>
        </w:rPr>
      </w:pPr>
    </w:p>
    <w:p>
      <w:pPr>
        <w:ind w:right="3179" w:firstLine="970"/>
        <w:spacing w:after="0" w:line="237" w:lineRule="auto"/>
        <w:rPr>
          <w:sz w:val="20"/>
          <w:szCs w:val="20"/>
          <w:color w:val="auto"/>
        </w:rPr>
      </w:pPr>
      <w:r>
        <w:rPr>
          <w:rFonts w:ascii="Courier New" w:cs="Courier New" w:eastAsia="Courier New" w:hAnsi="Courier New"/>
          <w:sz w:val="15"/>
          <w:szCs w:val="15"/>
          <w:color w:val="auto"/>
        </w:rPr>
        <w:t>WHEREAS, the parties who have heretofore entered into the Parent Facility and the Subsidiary Facility now desire to amend such provisions of such agreements.</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NOW, THEREFORE, the parties hereto agree as follows:</w:t>
      </w:r>
    </w:p>
    <w:p>
      <w:pPr>
        <w:sectPr>
          <w:pgSz w:w="11900" w:h="16838" w:orient="portrait"/>
          <w:cols w:equalWidth="0" w:num="1">
            <w:col w:w="10219"/>
          </w:cols>
          <w:pgMar w:left="240" w:top="622" w:right="1440" w:bottom="1440" w:gutter="0" w:footer="0" w:header="0"/>
        </w:sectPr>
      </w:pPr>
    </w:p>
    <w:bookmarkStart w:id="154" w:name="page155"/>
    <w:bookmarkEnd w:id="154"/>
    <w:p>
      <w:pPr>
        <w:ind w:right="3259" w:firstLine="970"/>
        <w:spacing w:after="0" w:line="235" w:lineRule="auto"/>
        <w:rPr>
          <w:sz w:val="20"/>
          <w:szCs w:val="20"/>
          <w:color w:val="auto"/>
        </w:rPr>
      </w:pPr>
      <w:r>
        <w:rPr>
          <w:rFonts w:ascii="Courier New" w:cs="Courier New" w:eastAsia="Courier New" w:hAnsi="Courier New"/>
          <w:sz w:val="15"/>
          <w:szCs w:val="15"/>
          <w:color w:val="auto"/>
        </w:rPr>
        <w:t>SECTION 1. Amendments. (a) The definition of EBIDT in Section 1.1 of the Parent Facility is hereby amended by:</w:t>
      </w:r>
    </w:p>
    <w:p>
      <w:pPr>
        <w:spacing w:after="0" w:line="17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(i) deleting clause (a)(ii) in its entirety and replacing it with the</w:t>
      </w:r>
    </w:p>
    <w:p>
      <w:pPr>
        <w:spacing w:after="0"/>
        <w:rPr>
          <w:sz w:val="20"/>
          <w:szCs w:val="20"/>
          <w:color w:val="auto"/>
        </w:rPr>
      </w:pPr>
      <w:r>
        <w:rPr>
          <w:rFonts w:ascii="Courier New" w:cs="Courier New" w:eastAsia="Courier New" w:hAnsi="Courier New"/>
          <w:sz w:val="15"/>
          <w:szCs w:val="15"/>
          <w:color w:val="auto"/>
        </w:rPr>
        <w:t>following:</w:t>
      </w:r>
    </w:p>
    <w:p>
      <w:pPr>
        <w:spacing w:after="0" w:line="174" w:lineRule="exact"/>
        <w:rPr>
          <w:sz w:val="20"/>
          <w:szCs w:val="20"/>
          <w:color w:val="auto"/>
        </w:rPr>
      </w:pPr>
    </w:p>
    <w:p>
      <w:pPr>
        <w:ind w:left="960" w:right="3259" w:firstLine="441"/>
        <w:spacing w:after="0" w:line="237" w:lineRule="auto"/>
        <w:rPr>
          <w:sz w:val="20"/>
          <w:szCs w:val="20"/>
          <w:color w:val="auto"/>
        </w:rPr>
      </w:pPr>
      <w:r>
        <w:rPr>
          <w:rFonts w:ascii="Courier New" w:cs="Courier New" w:eastAsia="Courier New" w:hAnsi="Courier New"/>
          <w:sz w:val="15"/>
          <w:szCs w:val="15"/>
          <w:color w:val="auto"/>
        </w:rPr>
        <w:t>"(ii) amortization expense (including all amortization expenses recognized in accordance with APB 16 and 17 but excluding (A) all other amortization of programming, production and pre-publication costs and (B) amortization of videocassettes)";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w:t>
      </w:r>
    </w:p>
    <w:p>
      <w:pPr>
        <w:spacing w:after="0" w:line="175" w:lineRule="exact"/>
        <w:rPr>
          <w:sz w:val="20"/>
          <w:szCs w:val="20"/>
          <w:color w:val="auto"/>
        </w:rPr>
      </w:pPr>
    </w:p>
    <w:p>
      <w:pPr>
        <w:ind w:right="3259" w:firstLine="960"/>
        <w:spacing w:after="0" w:line="235" w:lineRule="auto"/>
        <w:tabs>
          <w:tab w:leader="none" w:pos="141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deleting the phrase ", less (c) Net Video Tape Purchases" after the word "definition" at the end of clause (b).</w:t>
      </w:r>
    </w:p>
    <w:p>
      <w:pPr>
        <w:spacing w:after="0" w:line="176" w:lineRule="exact"/>
        <w:rPr>
          <w:sz w:val="20"/>
          <w:szCs w:val="20"/>
          <w:color w:val="auto"/>
        </w:rPr>
      </w:pPr>
    </w:p>
    <w:p>
      <w:pPr>
        <w:ind w:right="3439" w:firstLine="960"/>
        <w:spacing w:after="0" w:line="235" w:lineRule="auto"/>
        <w:tabs>
          <w:tab w:leader="none" w:pos="1322"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1.1 of the Parent Facility is hereby amended to delete the definition of Net Video Tape Purchases.</w:t>
      </w:r>
    </w:p>
    <w:p>
      <w:pPr>
        <w:spacing w:after="0" w:line="175" w:lineRule="exact"/>
        <w:rPr>
          <w:rFonts w:ascii="Courier New" w:cs="Courier New" w:eastAsia="Courier New" w:hAnsi="Courier New"/>
          <w:sz w:val="15"/>
          <w:szCs w:val="15"/>
          <w:color w:val="auto"/>
        </w:rPr>
      </w:pPr>
    </w:p>
    <w:p>
      <w:pPr>
        <w:ind w:right="3179" w:firstLine="960"/>
        <w:spacing w:after="0" w:line="237" w:lineRule="auto"/>
        <w:tabs>
          <w:tab w:leader="none" w:pos="1322"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definition of "Applicable Eurodollar Rate Margin" in Section 1.1 of each of the Parent Facility and the Subsidiary Facility is hereby amended by deleting the first proviso in its entirety and replacing it with the following:</w:t>
      </w:r>
    </w:p>
    <w:p>
      <w:pPr>
        <w:spacing w:after="0" w:line="176" w:lineRule="exact"/>
        <w:rPr>
          <w:sz w:val="20"/>
          <w:szCs w:val="20"/>
          <w:color w:val="auto"/>
        </w:rPr>
      </w:pPr>
    </w:p>
    <w:p>
      <w:pPr>
        <w:ind w:left="960" w:right="3259" w:firstLine="441"/>
        <w:spacing w:after="0" w:line="237" w:lineRule="auto"/>
        <w:rPr>
          <w:sz w:val="20"/>
          <w:szCs w:val="20"/>
          <w:color w:val="auto"/>
        </w:rPr>
      </w:pPr>
      <w:r>
        <w:rPr>
          <w:rFonts w:ascii="Courier New" w:cs="Courier New" w:eastAsia="Courier New" w:hAnsi="Courier New"/>
          <w:sz w:val="15"/>
          <w:szCs w:val="15"/>
          <w:color w:val="auto"/>
        </w:rPr>
        <w:t>"provided, however, that if the ratings assigned by S&amp;P and Moody's shall differ, the Credit Rating shall be the rating which is the higher rating".</w:t>
      </w:r>
    </w:p>
    <w:p>
      <w:pPr>
        <w:spacing w:after="0" w:line="169" w:lineRule="exact"/>
        <w:rPr>
          <w:sz w:val="20"/>
          <w:szCs w:val="20"/>
          <w:color w:val="auto"/>
        </w:rPr>
      </w:pPr>
    </w:p>
    <w:p>
      <w:pPr>
        <w:ind w:left="1400" w:hanging="440"/>
        <w:spacing w:after="0"/>
        <w:tabs>
          <w:tab w:leader="none" w:pos="140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2.3 (b) of the Parent Facility is hereby amended by:</w:t>
      </w:r>
    </w:p>
    <w:p>
      <w:pPr>
        <w:spacing w:after="0" w:line="175" w:lineRule="exact"/>
        <w:rPr>
          <w:sz w:val="20"/>
          <w:szCs w:val="20"/>
          <w:color w:val="auto"/>
        </w:rPr>
      </w:pPr>
    </w:p>
    <w:p>
      <w:pPr>
        <w:ind w:right="3439" w:firstLine="960"/>
        <w:spacing w:after="0" w:line="235" w:lineRule="auto"/>
        <w:tabs>
          <w:tab w:leader="none" w:pos="1322"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inserting the words "or Capital Market Transaction date" after the words "related sale date" in clause (y) thereof;</w:t>
      </w:r>
    </w:p>
    <w:p>
      <w:pPr>
        <w:spacing w:after="0" w:line="175" w:lineRule="exact"/>
        <w:rPr>
          <w:rFonts w:ascii="Courier New" w:cs="Courier New" w:eastAsia="Courier New" w:hAnsi="Courier New"/>
          <w:sz w:val="15"/>
          <w:szCs w:val="15"/>
          <w:color w:val="auto"/>
        </w:rPr>
      </w:pPr>
    </w:p>
    <w:p>
      <w:pPr>
        <w:ind w:right="3359" w:firstLine="960"/>
        <w:spacing w:after="0" w:line="235" w:lineRule="auto"/>
        <w:tabs>
          <w:tab w:leader="none" w:pos="1498"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deleting the number $250 million in clause (y)(C) thereof and replacing it with the number $500 million;</w:t>
      </w:r>
    </w:p>
    <w:p>
      <w:pPr>
        <w:spacing w:after="0" w:line="175" w:lineRule="exact"/>
        <w:rPr>
          <w:rFonts w:ascii="Courier New" w:cs="Courier New" w:eastAsia="Courier New" w:hAnsi="Courier New"/>
          <w:sz w:val="15"/>
          <w:szCs w:val="15"/>
          <w:color w:val="auto"/>
        </w:rPr>
      </w:pPr>
    </w:p>
    <w:p>
      <w:pPr>
        <w:ind w:right="3359" w:firstLine="960"/>
        <w:spacing w:after="0" w:line="235" w:lineRule="auto"/>
        <w:tabs>
          <w:tab w:leader="none" w:pos="1498"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replacing the word "reinvested", wherever it appears therein, with the words "used to acquire assets";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7" w:right="1440" w:bottom="1440" w:gutter="0" w:footer="0" w:header="0"/>
        </w:sectPr>
      </w:pPr>
    </w:p>
    <w:bookmarkStart w:id="155" w:name="page156"/>
    <w:bookmarkEnd w:id="155"/>
    <w:p>
      <w:pPr>
        <w:ind w:left="10" w:right="3179" w:firstLine="960"/>
        <w:spacing w:after="0" w:line="235" w:lineRule="auto"/>
        <w:tabs>
          <w:tab w:leader="none" w:pos="14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replacing the word "reinvestment", in the first place it appears therein, with the words "use for acquisitions"; and</w:t>
      </w:r>
    </w:p>
    <w:p>
      <w:pPr>
        <w:spacing w:after="0" w:line="175" w:lineRule="exact"/>
        <w:rPr>
          <w:rFonts w:ascii="Courier New" w:cs="Courier New" w:eastAsia="Courier New" w:hAnsi="Courier New"/>
          <w:sz w:val="15"/>
          <w:szCs w:val="15"/>
          <w:color w:val="auto"/>
        </w:rPr>
      </w:pPr>
    </w:p>
    <w:p>
      <w:pPr>
        <w:ind w:left="10" w:right="3259" w:firstLine="960"/>
        <w:spacing w:after="0" w:line="235" w:lineRule="auto"/>
        <w:tabs>
          <w:tab w:leader="none" w:pos="1332"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replacing the words "reinvestment of Net Cash Proceeds" with the words "use of Net Cash Proceeds for acquisitions".</w:t>
      </w:r>
    </w:p>
    <w:p>
      <w:pPr>
        <w:spacing w:after="0" w:line="170" w:lineRule="exact"/>
        <w:rPr>
          <w:sz w:val="20"/>
          <w:szCs w:val="20"/>
          <w:color w:val="auto"/>
        </w:rPr>
      </w:pPr>
    </w:p>
    <w:p>
      <w:pPr>
        <w:ind w:left="1330" w:hanging="360"/>
        <w:spacing w:after="0"/>
        <w:tabs>
          <w:tab w:leader="none" w:pos="1330"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Section 5.4 (a) of the Parent Facility and Section 3.4</w:t>
      </w:r>
    </w:p>
    <w:p>
      <w:pPr>
        <w:spacing w:after="0" w:line="5" w:lineRule="exact"/>
        <w:rPr>
          <w:rFonts w:ascii="Courier New" w:cs="Courier New" w:eastAsia="Courier New" w:hAnsi="Courier New"/>
          <w:sz w:val="15"/>
          <w:szCs w:val="15"/>
          <w:color w:val="auto"/>
        </w:rPr>
      </w:pPr>
    </w:p>
    <w:p>
      <w:pPr>
        <w:ind w:left="10" w:right="3259" w:hanging="10"/>
        <w:spacing w:after="0" w:line="235" w:lineRule="auto"/>
        <w:tabs>
          <w:tab w:leader="none" w:pos="362"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Subsidiary Facility is hereby amended by deleting the proviso in its entirety and replacing it with the following:</w:t>
      </w:r>
    </w:p>
    <w:p>
      <w:pPr>
        <w:spacing w:after="0" w:line="176" w:lineRule="exact"/>
        <w:rPr>
          <w:sz w:val="20"/>
          <w:szCs w:val="20"/>
          <w:color w:val="auto"/>
        </w:rPr>
      </w:pPr>
    </w:p>
    <w:p>
      <w:pPr>
        <w:ind w:left="970" w:right="3259" w:firstLine="441"/>
        <w:spacing w:after="0" w:line="237" w:lineRule="auto"/>
        <w:rPr>
          <w:sz w:val="20"/>
          <w:szCs w:val="20"/>
          <w:color w:val="auto"/>
        </w:rPr>
      </w:pPr>
      <w:r>
        <w:rPr>
          <w:rFonts w:ascii="Courier New" w:cs="Courier New" w:eastAsia="Courier New" w:hAnsi="Courier New"/>
          <w:sz w:val="15"/>
          <w:szCs w:val="15"/>
          <w:color w:val="auto"/>
        </w:rPr>
        <w:t>"provided, however, that if the ratings assigned by S&amp;P and Moody's shall differ, the Credit Rating shall be the rating which is the higher rating".</w:t>
      </w:r>
    </w:p>
    <w:p>
      <w:pPr>
        <w:spacing w:after="0" w:line="175" w:lineRule="exact"/>
        <w:rPr>
          <w:sz w:val="20"/>
          <w:szCs w:val="20"/>
          <w:color w:val="auto"/>
        </w:rPr>
      </w:pPr>
    </w:p>
    <w:p>
      <w:pPr>
        <w:ind w:left="10" w:right="3979" w:firstLine="960"/>
        <w:spacing w:after="0" w:line="235" w:lineRule="auto"/>
        <w:tabs>
          <w:tab w:leader="none" w:pos="1332"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10.6 of the Parent Facility is hereby amended by replacing it in its entirety with the following:</w:t>
      </w:r>
    </w:p>
    <w:p>
      <w:pPr>
        <w:spacing w:after="0" w:line="176" w:lineRule="exact"/>
        <w:rPr>
          <w:sz w:val="20"/>
          <w:szCs w:val="20"/>
          <w:color w:val="auto"/>
        </w:rPr>
      </w:pPr>
    </w:p>
    <w:p>
      <w:pPr>
        <w:ind w:left="970" w:right="3259" w:firstLine="441"/>
        <w:spacing w:after="0" w:line="257" w:lineRule="auto"/>
        <w:rPr>
          <w:sz w:val="20"/>
          <w:szCs w:val="20"/>
          <w:color w:val="auto"/>
        </w:rPr>
      </w:pPr>
      <w:r>
        <w:rPr>
          <w:rFonts w:ascii="Courier New" w:cs="Courier New" w:eastAsia="Courier New" w:hAnsi="Courier New"/>
          <w:sz w:val="14"/>
          <w:szCs w:val="14"/>
          <w:color w:val="auto"/>
        </w:rPr>
        <w:t>"10.6. Subsidiary Indebtedness. The Borrower shall not permit any of its Subsidiaries, other than a Guarantor Subsidiary, to incur Indebtedness for borrowed money other than (a) the Subsidiary Loans (as defined in the Subsidiary Facility), (b) under existing facilities identified on Schedule 10.6 to Amendment No. 2 to this Agreement or any replacement facilities thereto which in the aggregate do not exceed the amounts of the commitments on such Schedule and (c) Indebtedness for borrowed money in an aggregate amount at any time outstanding of not more than $25 million for all of its Subsidiaries other than a Guarantor Subsidiary".</w:t>
      </w:r>
    </w:p>
    <w:p>
      <w:pPr>
        <w:spacing w:after="0" w:line="166" w:lineRule="exact"/>
        <w:rPr>
          <w:sz w:val="20"/>
          <w:szCs w:val="20"/>
          <w:color w:val="auto"/>
        </w:rPr>
      </w:pPr>
    </w:p>
    <w:p>
      <w:pPr>
        <w:ind w:left="10" w:right="3699" w:firstLine="960"/>
        <w:spacing w:after="0" w:line="237" w:lineRule="auto"/>
        <w:tabs>
          <w:tab w:leader="none" w:pos="1332"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7.4 of the Subsidiary Facility is hereby amended by adding after the word "Agreement" the phrase "and other than Indebtedness permitted pursuant to Section 10.6 of the Parent Facility".</w:t>
      </w:r>
    </w:p>
    <w:p>
      <w:pPr>
        <w:spacing w:after="0" w:line="174" w:lineRule="exact"/>
        <w:rPr>
          <w:rFonts w:ascii="Courier New" w:cs="Courier New" w:eastAsia="Courier New" w:hAnsi="Courier New"/>
          <w:sz w:val="15"/>
          <w:szCs w:val="15"/>
          <w:color w:val="auto"/>
        </w:rPr>
      </w:pPr>
    </w:p>
    <w:p>
      <w:pPr>
        <w:ind w:left="10" w:right="3359" w:firstLine="960"/>
        <w:spacing w:after="0" w:line="237" w:lineRule="auto"/>
        <w:tabs>
          <w:tab w:leader="none" w:pos="1332"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Section 10.7 of the Parent Facility and Section 7.5 of the Subsidiary Facility is hereby amended by inserting the following after the words "Commercial Paper" in the parentheses:</w:t>
      </w:r>
    </w:p>
    <w:p>
      <w:pPr>
        <w:spacing w:after="0" w:line="175" w:lineRule="exact"/>
        <w:rPr>
          <w:sz w:val="20"/>
          <w:szCs w:val="20"/>
          <w:color w:val="auto"/>
        </w:rPr>
      </w:pPr>
    </w:p>
    <w:p>
      <w:pPr>
        <w:ind w:left="970" w:right="3359" w:firstLine="441"/>
        <w:spacing w:after="0" w:line="265" w:lineRule="auto"/>
        <w:rPr>
          <w:sz w:val="20"/>
          <w:szCs w:val="20"/>
          <w:color w:val="auto"/>
        </w:rPr>
      </w:pPr>
      <w:r>
        <w:rPr>
          <w:rFonts w:ascii="Courier New" w:cs="Courier New" w:eastAsia="Courier New" w:hAnsi="Courier New"/>
          <w:sz w:val="14"/>
          <w:szCs w:val="14"/>
          <w:color w:val="auto"/>
        </w:rPr>
        <w:t>"and up to $500 million of Indebtedness with maturities of no less than seven years from the date such Indebtedness is incurred".</w:t>
      </w:r>
    </w:p>
    <w:p>
      <w:pPr>
        <w:spacing w:after="0" w:line="15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627" w:right="1440" w:bottom="1440" w:gutter="0" w:footer="0" w:header="0"/>
        </w:sectPr>
      </w:pPr>
    </w:p>
    <w:bookmarkStart w:id="156" w:name="page157"/>
    <w:bookmarkEnd w:id="156"/>
    <w:p>
      <w:pPr>
        <w:ind w:right="3359" w:firstLine="970"/>
        <w:spacing w:after="0" w:line="237" w:lineRule="auto"/>
        <w:rPr>
          <w:sz w:val="20"/>
          <w:szCs w:val="20"/>
          <w:color w:val="auto"/>
        </w:rPr>
      </w:pPr>
      <w:r>
        <w:rPr>
          <w:rFonts w:ascii="Courier New" w:cs="Courier New" w:eastAsia="Courier New" w:hAnsi="Courier New"/>
          <w:sz w:val="15"/>
          <w:szCs w:val="15"/>
          <w:color w:val="auto"/>
        </w:rPr>
        <w:t>SECTION 2. Effectiveness. This Amendment will be effective upon the execution hereof by each of Viacom, each Subsidiary Borrower, the Guarantor Subsidiary and (i) except in the case of the amendments contained in Sections 1(c) and (e) hereof, the Majority Banks and (ii) in the case of the amendments contained in Sections 1(c) and (e) hereof, each of the Banks.</w:t>
      </w:r>
    </w:p>
    <w:p>
      <w:pPr>
        <w:spacing w:after="0" w:line="348" w:lineRule="exact"/>
        <w:rPr>
          <w:sz w:val="20"/>
          <w:szCs w:val="20"/>
          <w:color w:val="auto"/>
        </w:rPr>
      </w:pPr>
    </w:p>
    <w:p>
      <w:pPr>
        <w:ind w:right="3179" w:firstLine="970"/>
        <w:spacing w:after="0" w:line="237" w:lineRule="auto"/>
        <w:rPr>
          <w:sz w:val="20"/>
          <w:szCs w:val="20"/>
          <w:color w:val="auto"/>
        </w:rPr>
      </w:pPr>
      <w:r>
        <w:rPr>
          <w:rFonts w:ascii="Courier New" w:cs="Courier New" w:eastAsia="Courier New" w:hAnsi="Courier New"/>
          <w:sz w:val="15"/>
          <w:szCs w:val="15"/>
          <w:color w:val="auto"/>
        </w:rPr>
        <w:t>SECTION 3. Representations and Warranties. Each of Viacom, the Subsidiary Borrowers and the Guarantor Subsidiary hereby represents and warrants that as of the date hereof, both before and after giving effect to this Amendment, no Default or Event of Default shall exist or be continuing under the Parent Facility or the Subsidiary Facility.</w:t>
      </w:r>
    </w:p>
    <w:p>
      <w:pPr>
        <w:spacing w:after="0" w:line="348" w:lineRule="exact"/>
        <w:rPr>
          <w:sz w:val="20"/>
          <w:szCs w:val="20"/>
          <w:color w:val="auto"/>
        </w:rPr>
      </w:pPr>
    </w:p>
    <w:p>
      <w:pPr>
        <w:jc w:val="both"/>
        <w:ind w:right="3179" w:firstLine="970"/>
        <w:spacing w:after="0" w:line="237" w:lineRule="auto"/>
        <w:rPr>
          <w:sz w:val="20"/>
          <w:szCs w:val="20"/>
          <w:color w:val="auto"/>
        </w:rPr>
      </w:pPr>
      <w:r>
        <w:rPr>
          <w:rFonts w:ascii="Courier New" w:cs="Courier New" w:eastAsia="Courier New" w:hAnsi="Courier New"/>
          <w:sz w:val="15"/>
          <w:szCs w:val="15"/>
          <w:color w:val="auto"/>
        </w:rPr>
        <w:t>SECTION 4. Miscellaneous. (a) Capitalized terms used herein and not otherwise defined herein shall have the meanings ascribed to them in each of the Parent Facility and the Subsidiary Facility.</w:t>
      </w:r>
    </w:p>
    <w:p>
      <w:pPr>
        <w:spacing w:after="0" w:line="175" w:lineRule="exact"/>
        <w:rPr>
          <w:sz w:val="20"/>
          <w:szCs w:val="20"/>
          <w:color w:val="auto"/>
        </w:rPr>
      </w:pPr>
    </w:p>
    <w:p>
      <w:pPr>
        <w:ind w:right="3179" w:firstLine="960"/>
        <w:spacing w:after="0" w:line="237" w:lineRule="auto"/>
        <w:tabs>
          <w:tab w:leader="none" w:pos="1322"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amended hereby, all of the terms of each of the Parent Facility and the Subsidiary Facility shall remain and continue in full force and effect and are hereby confirmed in all respects.</w:t>
      </w:r>
    </w:p>
    <w:p>
      <w:pPr>
        <w:spacing w:after="0" w:line="174" w:lineRule="exact"/>
        <w:rPr>
          <w:rFonts w:ascii="Courier New" w:cs="Courier New" w:eastAsia="Courier New" w:hAnsi="Courier New"/>
          <w:sz w:val="15"/>
          <w:szCs w:val="15"/>
          <w:color w:val="auto"/>
        </w:rPr>
      </w:pPr>
    </w:p>
    <w:p>
      <w:pPr>
        <w:ind w:right="3359" w:firstLine="960"/>
        <w:spacing w:after="0" w:line="235" w:lineRule="auto"/>
        <w:tabs>
          <w:tab w:leader="none" w:pos="1322"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shall be a Loan Document for the purposes of the Parent Facility and the Subsidiary Facility.</w:t>
      </w:r>
    </w:p>
    <w:p>
      <w:pPr>
        <w:spacing w:after="0" w:line="175" w:lineRule="exact"/>
        <w:rPr>
          <w:rFonts w:ascii="Courier New" w:cs="Courier New" w:eastAsia="Courier New" w:hAnsi="Courier New"/>
          <w:sz w:val="15"/>
          <w:szCs w:val="15"/>
          <w:color w:val="auto"/>
        </w:rPr>
      </w:pPr>
    </w:p>
    <w:p>
      <w:pPr>
        <w:ind w:right="3179" w:firstLine="960"/>
        <w:spacing w:after="0" w:line="237" w:lineRule="auto"/>
        <w:tabs>
          <w:tab w:leader="none" w:pos="1322"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may be signed in any number of counterparts, each of which shall be an original, with the same effect as if the signatures thereto were upon the same instrument. Delivery of an executed counterpart of a signature page of this Amendment by telecopier shall be effective as delivery of a manually executed counterpart of this Amendment.</w:t>
      </w:r>
    </w:p>
    <w:p>
      <w:pPr>
        <w:spacing w:after="0" w:line="178" w:lineRule="exact"/>
        <w:rPr>
          <w:rFonts w:ascii="Courier New" w:cs="Courier New" w:eastAsia="Courier New" w:hAnsi="Courier New"/>
          <w:sz w:val="15"/>
          <w:szCs w:val="15"/>
          <w:color w:val="auto"/>
        </w:rPr>
      </w:pPr>
    </w:p>
    <w:p>
      <w:pPr>
        <w:ind w:right="3359" w:firstLine="960"/>
        <w:spacing w:after="0" w:line="237" w:lineRule="auto"/>
        <w:tabs>
          <w:tab w:leader="none" w:pos="1322"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AND THE RIGHTS AND OBLIGATIONS OF THE PARTIES HERETO SHALL BE GOVERNED BY, AND CONSTRUED IN ACCORDANCE WITH, THE LAWS OF THE STATE OF NEW YORK.</w:t>
      </w:r>
    </w:p>
    <w:p>
      <w:pPr>
        <w:spacing w:after="0" w:line="175" w:lineRule="exact"/>
        <w:rPr>
          <w:sz w:val="20"/>
          <w:szCs w:val="20"/>
          <w:color w:val="auto"/>
        </w:rPr>
      </w:pPr>
    </w:p>
    <w:p>
      <w:pPr>
        <w:jc w:val="both"/>
        <w:ind w:right="3359" w:firstLine="970"/>
        <w:spacing w:after="0" w:line="260" w:lineRule="auto"/>
        <w:rPr>
          <w:sz w:val="20"/>
          <w:szCs w:val="20"/>
          <w:color w:val="auto"/>
        </w:rPr>
      </w:pPr>
      <w:r>
        <w:rPr>
          <w:rFonts w:ascii="Courier New" w:cs="Courier New" w:eastAsia="Courier New" w:hAnsi="Courier New"/>
          <w:sz w:val="14"/>
          <w:szCs w:val="14"/>
          <w:color w:val="auto"/>
        </w:rPr>
        <w:t>SECTION 5. Guarantor Subsidiary Confirmation. By signing below, the Guarantor Subsidiary hereby agrees to the terms of the foregoing Amendment and confirms that the VII Guarantee remains in full force and effect.</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7" w:right="1440" w:bottom="1440" w:gutter="0" w:footer="0" w:header="0"/>
        </w:sectPr>
      </w:pPr>
    </w:p>
    <w:bookmarkStart w:id="157" w:name="page158"/>
    <w:bookmarkEnd w:id="157"/>
    <w:p>
      <w:pPr>
        <w:ind w:right="3359" w:firstLine="970"/>
        <w:spacing w:after="0" w:line="237" w:lineRule="auto"/>
        <w:rPr>
          <w:sz w:val="20"/>
          <w:szCs w:val="20"/>
          <w:color w:val="auto"/>
        </w:rPr>
      </w:pPr>
      <w:r>
        <w:rPr>
          <w:rFonts w:ascii="Courier New" w:cs="Courier New" w:eastAsia="Courier New" w:hAnsi="Courier New"/>
          <w:sz w:val="15"/>
          <w:szCs w:val="15"/>
          <w:color w:val="auto"/>
        </w:rPr>
        <w:t>SECTION 6. Viacom Inc. Confirmation. By signing below, Viacom Inc., as guarantor under the Parent Guarantee ("Parent Guarantor"), hereby agrees to the terms of the foregoing Amendment and confirms that the Parent Guarantee remains in full force and effect.</w:t>
      </w:r>
    </w:p>
    <w:p>
      <w:pPr>
        <w:spacing w:after="0" w:line="176" w:lineRule="exact"/>
        <w:rPr>
          <w:sz w:val="20"/>
          <w:szCs w:val="20"/>
          <w:color w:val="auto"/>
        </w:rPr>
      </w:pPr>
    </w:p>
    <w:p>
      <w:pPr>
        <w:ind w:right="3259" w:firstLine="970"/>
        <w:spacing w:after="0" w:line="235" w:lineRule="auto"/>
        <w:rPr>
          <w:sz w:val="20"/>
          <w:szCs w:val="20"/>
          <w:color w:val="auto"/>
        </w:rPr>
      </w:pPr>
      <w:r>
        <w:rPr>
          <w:rFonts w:ascii="Courier New" w:cs="Courier New" w:eastAsia="Courier New" w:hAnsi="Courier New"/>
          <w:sz w:val="15"/>
          <w:szCs w:val="15"/>
          <w:color w:val="auto"/>
        </w:rPr>
        <w:t>IN WITNESS WHEREOF, the parties hereto have caused this Amendment to be duly executed as of the date first above written.</w:t>
      </w:r>
    </w:p>
    <w:p>
      <w:pPr>
        <w:spacing w:after="0" w:line="170"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5"/>
          <w:szCs w:val="15"/>
          <w:color w:val="auto"/>
        </w:rPr>
        <w:t>VIACOM INC., as Borrower and as Parent Guarantor</w:t>
      </w:r>
    </w:p>
    <w:p>
      <w:pPr>
        <w:spacing w:after="0" w:line="33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Vaughn A. Clark</w:t>
      </w:r>
    </w:p>
    <w:p>
      <w:pPr>
        <w:ind w:left="2980"/>
        <w:spacing w:after="0"/>
        <w:rPr>
          <w:sz w:val="20"/>
          <w:szCs w:val="20"/>
          <w:color w:val="auto"/>
        </w:rPr>
      </w:pPr>
      <w:r>
        <w:rPr>
          <w:rFonts w:ascii="Courier New" w:cs="Courier New" w:eastAsia="Courier New" w:hAnsi="Courier New"/>
          <w:sz w:val="15"/>
          <w:szCs w:val="15"/>
          <w:color w:val="auto"/>
        </w:rPr>
        <w:t>----------------------------</w:t>
      </w:r>
    </w:p>
    <w:p>
      <w:pPr>
        <w:ind w:left="2980"/>
        <w:spacing w:after="0"/>
        <w:rPr>
          <w:sz w:val="20"/>
          <w:szCs w:val="20"/>
          <w:color w:val="auto"/>
        </w:rPr>
      </w:pPr>
      <w:r>
        <w:rPr>
          <w:rFonts w:ascii="Courier New" w:cs="Courier New" w:eastAsia="Courier New" w:hAnsi="Courier New"/>
          <w:sz w:val="15"/>
          <w:szCs w:val="15"/>
          <w:color w:val="auto"/>
        </w:rPr>
        <w:t>Name: Vaughn A. Clark</w:t>
      </w:r>
    </w:p>
    <w:p>
      <w:pPr>
        <w:ind w:left="2980"/>
        <w:spacing w:after="0" w:line="238" w:lineRule="auto"/>
        <w:rPr>
          <w:sz w:val="20"/>
          <w:szCs w:val="20"/>
          <w:color w:val="auto"/>
        </w:rPr>
      </w:pPr>
      <w:r>
        <w:rPr>
          <w:rFonts w:ascii="Courier New" w:cs="Courier New" w:eastAsia="Courier New" w:hAnsi="Courier New"/>
          <w:sz w:val="15"/>
          <w:szCs w:val="15"/>
          <w:color w:val="auto"/>
        </w:rPr>
        <w:t>Title: Senior Vice President,</w:t>
      </w:r>
    </w:p>
    <w:p>
      <w:pPr>
        <w:ind w:left="3600"/>
        <w:spacing w:after="0"/>
        <w:rPr>
          <w:sz w:val="20"/>
          <w:szCs w:val="20"/>
          <w:color w:val="auto"/>
        </w:rPr>
      </w:pPr>
      <w:r>
        <w:rPr>
          <w:rFonts w:ascii="Courier New" w:cs="Courier New" w:eastAsia="Courier New" w:hAnsi="Courier New"/>
          <w:sz w:val="15"/>
          <w:szCs w:val="15"/>
          <w:color w:val="auto"/>
        </w:rPr>
        <w:t>Treasurer</w:t>
      </w:r>
    </w:p>
    <w:p>
      <w:pPr>
        <w:spacing w:after="0" w:line="338"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VIACOM INTERNATIONAL INC., as a Subsidiary</w:t>
      </w:r>
    </w:p>
    <w:p>
      <w:pPr>
        <w:ind w:left="2720"/>
        <w:spacing w:after="0"/>
        <w:rPr>
          <w:sz w:val="20"/>
          <w:szCs w:val="20"/>
          <w:color w:val="auto"/>
        </w:rPr>
      </w:pPr>
      <w:r>
        <w:rPr>
          <w:rFonts w:ascii="Courier New" w:cs="Courier New" w:eastAsia="Courier New" w:hAnsi="Courier New"/>
          <w:sz w:val="15"/>
          <w:szCs w:val="15"/>
          <w:color w:val="auto"/>
        </w:rPr>
        <w:t>Borrower and as a Guarantor Subsidiary</w:t>
      </w:r>
    </w:p>
    <w:p>
      <w:pPr>
        <w:spacing w:after="0" w:line="338"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Vaughn A. Clark</w:t>
      </w:r>
    </w:p>
    <w:p>
      <w:pPr>
        <w:ind w:left="2980"/>
        <w:spacing w:after="0"/>
        <w:rPr>
          <w:sz w:val="20"/>
          <w:szCs w:val="20"/>
          <w:color w:val="auto"/>
        </w:rPr>
      </w:pPr>
      <w:r>
        <w:rPr>
          <w:rFonts w:ascii="Courier New" w:cs="Courier New" w:eastAsia="Courier New" w:hAnsi="Courier New"/>
          <w:sz w:val="15"/>
          <w:szCs w:val="15"/>
          <w:color w:val="auto"/>
        </w:rPr>
        <w:t>----------------------------</w:t>
      </w:r>
    </w:p>
    <w:p>
      <w:pPr>
        <w:ind w:left="2980"/>
        <w:spacing w:after="0"/>
        <w:rPr>
          <w:sz w:val="20"/>
          <w:szCs w:val="20"/>
          <w:color w:val="auto"/>
        </w:rPr>
      </w:pPr>
      <w:r>
        <w:rPr>
          <w:rFonts w:ascii="Courier New" w:cs="Courier New" w:eastAsia="Courier New" w:hAnsi="Courier New"/>
          <w:sz w:val="15"/>
          <w:szCs w:val="15"/>
          <w:color w:val="auto"/>
        </w:rPr>
        <w:t>Name: Vaughn A. Clark</w:t>
      </w:r>
    </w:p>
    <w:p>
      <w:pPr>
        <w:ind w:left="2980"/>
        <w:spacing w:after="0" w:line="238" w:lineRule="auto"/>
        <w:rPr>
          <w:sz w:val="20"/>
          <w:szCs w:val="20"/>
          <w:color w:val="auto"/>
        </w:rPr>
      </w:pPr>
      <w:r>
        <w:rPr>
          <w:rFonts w:ascii="Courier New" w:cs="Courier New" w:eastAsia="Courier New" w:hAnsi="Courier New"/>
          <w:sz w:val="15"/>
          <w:szCs w:val="15"/>
          <w:color w:val="auto"/>
        </w:rPr>
        <w:t>Title: Senior Vice President,</w:t>
      </w:r>
    </w:p>
    <w:p>
      <w:pPr>
        <w:ind w:left="3600"/>
        <w:spacing w:after="0"/>
        <w:rPr>
          <w:sz w:val="20"/>
          <w:szCs w:val="20"/>
          <w:color w:val="auto"/>
        </w:rPr>
      </w:pPr>
      <w:r>
        <w:rPr>
          <w:rFonts w:ascii="Courier New" w:cs="Courier New" w:eastAsia="Courier New" w:hAnsi="Courier New"/>
          <w:sz w:val="15"/>
          <w:szCs w:val="15"/>
          <w:color w:val="auto"/>
        </w:rPr>
        <w:t>Treasurer</w:t>
      </w:r>
    </w:p>
    <w:p>
      <w:pPr>
        <w:spacing w:after="0" w:line="344"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On behalf of the following Subsidiary Borrowers:</w:t>
      </w:r>
    </w:p>
    <w:p>
      <w:pPr>
        <w:spacing w:after="0" w:line="17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VIACOM CABLEVISION OF DAYTON INC.,</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WNYT INC.,</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WMZQ INC. and</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WVIT INC.</w:t>
      </w:r>
    </w:p>
    <w:p>
      <w:pPr>
        <w:spacing w:after="0" w:line="33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Vaughn A. Clark</w:t>
      </w:r>
    </w:p>
    <w:p>
      <w:pPr>
        <w:ind w:left="2980"/>
        <w:spacing w:after="0"/>
        <w:rPr>
          <w:sz w:val="20"/>
          <w:szCs w:val="20"/>
          <w:color w:val="auto"/>
        </w:rPr>
      </w:pPr>
      <w:r>
        <w:rPr>
          <w:rFonts w:ascii="Courier New" w:cs="Courier New" w:eastAsia="Courier New" w:hAnsi="Courier New"/>
          <w:sz w:val="15"/>
          <w:szCs w:val="15"/>
          <w:color w:val="auto"/>
        </w:rPr>
        <w:t>----------------------------</w:t>
      </w:r>
    </w:p>
    <w:p>
      <w:pPr>
        <w:ind w:left="2980"/>
        <w:spacing w:after="0"/>
        <w:rPr>
          <w:sz w:val="20"/>
          <w:szCs w:val="20"/>
          <w:color w:val="auto"/>
        </w:rPr>
      </w:pPr>
      <w:r>
        <w:rPr>
          <w:rFonts w:ascii="Courier New" w:cs="Courier New" w:eastAsia="Courier New" w:hAnsi="Courier New"/>
          <w:sz w:val="15"/>
          <w:szCs w:val="15"/>
          <w:color w:val="auto"/>
        </w:rPr>
        <w:t>Name: Vaughn A. Clark</w:t>
      </w:r>
    </w:p>
    <w:p>
      <w:pPr>
        <w:ind w:left="2980"/>
        <w:spacing w:after="0" w:line="238" w:lineRule="auto"/>
        <w:rPr>
          <w:sz w:val="20"/>
          <w:szCs w:val="20"/>
          <w:color w:val="auto"/>
        </w:rPr>
      </w:pPr>
      <w:r>
        <w:rPr>
          <w:rFonts w:ascii="Courier New" w:cs="Courier New" w:eastAsia="Courier New" w:hAnsi="Courier New"/>
          <w:sz w:val="15"/>
          <w:szCs w:val="15"/>
          <w:color w:val="auto"/>
        </w:rPr>
        <w:t>Title: Senior Vice President,</w:t>
      </w:r>
    </w:p>
    <w:p>
      <w:pPr>
        <w:ind w:left="3600"/>
        <w:spacing w:after="0"/>
        <w:rPr>
          <w:sz w:val="20"/>
          <w:szCs w:val="20"/>
          <w:color w:val="auto"/>
        </w:rPr>
      </w:pPr>
      <w:r>
        <w:rPr>
          <w:rFonts w:ascii="Courier New" w:cs="Courier New" w:eastAsia="Courier New" w:hAnsi="Courier New"/>
          <w:sz w:val="15"/>
          <w:szCs w:val="15"/>
          <w:color w:val="auto"/>
        </w:rPr>
        <w:t>Treasurer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8" w:right="1440" w:bottom="1440" w:gutter="0" w:footer="0" w:header="0"/>
        </w:sectPr>
      </w:pPr>
    </w:p>
    <w:bookmarkStart w:id="158" w:name="page159"/>
    <w:bookmarkEnd w:id="158"/>
    <w:p>
      <w:pPr>
        <w:ind w:left="1520"/>
        <w:spacing w:after="0"/>
        <w:rPr>
          <w:sz w:val="20"/>
          <w:szCs w:val="20"/>
          <w:color w:val="auto"/>
        </w:rPr>
      </w:pPr>
      <w:r>
        <w:rPr>
          <w:rFonts w:ascii="Courier New" w:cs="Courier New" w:eastAsia="Courier New" w:hAnsi="Courier New"/>
          <w:sz w:val="15"/>
          <w:szCs w:val="15"/>
          <w:color w:val="auto"/>
        </w:rPr>
        <w:t>Managing Agents</w:t>
      </w:r>
    </w:p>
    <w:p>
      <w:pPr>
        <w:spacing w:after="0" w:line="16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THE BANK OF NEW YORK, as Managing Agent, the</w:t>
      </w:r>
    </w:p>
    <w:p>
      <w:pPr>
        <w:ind w:left="1520"/>
        <w:spacing w:after="0"/>
        <w:rPr>
          <w:sz w:val="20"/>
          <w:szCs w:val="20"/>
          <w:color w:val="auto"/>
        </w:rPr>
      </w:pPr>
      <w:r>
        <w:rPr>
          <w:rFonts w:ascii="Courier New" w:cs="Courier New" w:eastAsia="Courier New" w:hAnsi="Courier New"/>
          <w:sz w:val="15"/>
          <w:szCs w:val="15"/>
          <w:color w:val="auto"/>
        </w:rPr>
        <w:t>Documentation Agent and a Bank</w:t>
      </w:r>
    </w:p>
    <w:p>
      <w:pPr>
        <w:spacing w:after="0" w:line="33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Geoffrey C. Brooks</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Geoffrey C. Brooks</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CITIBANK, N.A., as Managing Agent, the</w:t>
      </w:r>
    </w:p>
    <w:p>
      <w:pPr>
        <w:ind w:left="1520"/>
        <w:spacing w:after="0"/>
        <w:rPr>
          <w:sz w:val="20"/>
          <w:szCs w:val="20"/>
          <w:color w:val="auto"/>
        </w:rPr>
      </w:pPr>
      <w:r>
        <w:rPr>
          <w:rFonts w:ascii="Courier New" w:cs="Courier New" w:eastAsia="Courier New" w:hAnsi="Courier New"/>
          <w:sz w:val="15"/>
          <w:szCs w:val="15"/>
          <w:color w:val="auto"/>
        </w:rPr>
        <w:t>Administrative Agent and a Bank</w:t>
      </w:r>
    </w:p>
    <w:p>
      <w:pPr>
        <w:spacing w:after="0" w:line="33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Margaret C. Ullrich</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Margaret C. Ullrich</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MORGAN GUARANTY TRUST COMPANY OF NEW YORK, as</w:t>
      </w:r>
    </w:p>
    <w:p>
      <w:pPr>
        <w:ind w:left="1520"/>
        <w:spacing w:after="0"/>
        <w:rPr>
          <w:sz w:val="20"/>
          <w:szCs w:val="20"/>
          <w:color w:val="auto"/>
        </w:rPr>
      </w:pPr>
      <w:r>
        <w:rPr>
          <w:rFonts w:ascii="Courier New" w:cs="Courier New" w:eastAsia="Courier New" w:hAnsi="Courier New"/>
          <w:sz w:val="15"/>
          <w:szCs w:val="15"/>
          <w:color w:val="auto"/>
        </w:rPr>
        <w:t>Managing Agent and a Bank</w:t>
      </w:r>
    </w:p>
    <w:p>
      <w:pPr>
        <w:spacing w:after="0" w:line="33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Mathias Blumschein</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Mathias Blumschein</w:t>
      </w:r>
    </w:p>
    <w:p>
      <w:pPr>
        <w:ind w:left="1780"/>
        <w:spacing w:after="0" w:line="238" w:lineRule="auto"/>
        <w:rPr>
          <w:sz w:val="20"/>
          <w:szCs w:val="20"/>
          <w:color w:val="auto"/>
        </w:rPr>
      </w:pPr>
      <w:r>
        <w:rPr>
          <w:rFonts w:ascii="Courier New" w:cs="Courier New" w:eastAsia="Courier New" w:hAnsi="Courier New"/>
          <w:sz w:val="15"/>
          <w:szCs w:val="15"/>
          <w:color w:val="auto"/>
        </w:rPr>
        <w:t>Title: Associate</w:t>
      </w:r>
    </w:p>
    <w:p>
      <w:pPr>
        <w:spacing w:after="0" w:line="200" w:lineRule="exact"/>
        <w:rPr>
          <w:sz w:val="20"/>
          <w:szCs w:val="20"/>
          <w:color w:val="auto"/>
        </w:rPr>
      </w:pPr>
    </w:p>
    <w:p>
      <w:pPr>
        <w:spacing w:after="0" w:line="314"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BANK OF AMERICA NT&amp;SA, as Managing Agent and a</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Bank</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By:/s/ Amy S. Trapp</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Amy S. Trapp</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019"/>
          </w:cols>
          <w:pgMar w:left="1440" w:top="622" w:right="1440" w:bottom="1440" w:gutter="0" w:footer="0" w:header="0"/>
        </w:sectPr>
      </w:pPr>
    </w:p>
    <w:bookmarkStart w:id="159" w:name="page160"/>
    <w:bookmarkEnd w:id="159"/>
    <w:p>
      <w:pPr>
        <w:ind w:left="1520"/>
        <w:spacing w:after="0"/>
        <w:rPr>
          <w:sz w:val="20"/>
          <w:szCs w:val="20"/>
          <w:color w:val="auto"/>
        </w:rPr>
      </w:pPr>
      <w:r>
        <w:rPr>
          <w:rFonts w:ascii="Courier New" w:cs="Courier New" w:eastAsia="Courier New" w:hAnsi="Courier New"/>
          <w:sz w:val="15"/>
          <w:szCs w:val="15"/>
          <w:color w:val="auto"/>
        </w:rPr>
        <w:t>Agents</w:t>
      </w:r>
    </w:p>
    <w:p>
      <w:pPr>
        <w:spacing w:after="0" w:line="16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BANK OF MONTREAL, as Agent and a Bank</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Yvonne Bos</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Yvonne Bos</w:t>
      </w:r>
    </w:p>
    <w:p>
      <w:pPr>
        <w:ind w:left="1780"/>
        <w:spacing w:after="0" w:line="238" w:lineRule="auto"/>
        <w:rPr>
          <w:sz w:val="20"/>
          <w:szCs w:val="20"/>
          <w:color w:val="auto"/>
        </w:rPr>
      </w:pPr>
      <w:r>
        <w:rPr>
          <w:rFonts w:ascii="Courier New" w:cs="Courier New" w:eastAsia="Courier New" w:hAnsi="Courier New"/>
          <w:sz w:val="15"/>
          <w:szCs w:val="15"/>
          <w:color w:val="auto"/>
        </w:rPr>
        <w:t>Title:Managing Director</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THE BANK OF NOVA SCOTIA, as Agent and a Bank</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Vince J. Fitzgerald</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Vince J. Fitzgerald</w:t>
      </w:r>
    </w:p>
    <w:p>
      <w:pPr>
        <w:ind w:left="1780"/>
        <w:spacing w:after="0" w:line="238" w:lineRule="auto"/>
        <w:rPr>
          <w:sz w:val="20"/>
          <w:szCs w:val="20"/>
          <w:color w:val="auto"/>
        </w:rPr>
      </w:pPr>
      <w:r>
        <w:rPr>
          <w:rFonts w:ascii="Courier New" w:cs="Courier New" w:eastAsia="Courier New" w:hAnsi="Courier New"/>
          <w:sz w:val="15"/>
          <w:szCs w:val="15"/>
          <w:color w:val="auto"/>
        </w:rPr>
        <w:t>Title: Senior Relationship Mgr.</w:t>
      </w:r>
    </w:p>
    <w:p>
      <w:pPr>
        <w:spacing w:after="0" w:line="344"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BANK OF TOKYO TRUST COMPANY, as Agent and a Bank</w:t>
      </w:r>
    </w:p>
    <w:p>
      <w:pPr>
        <w:spacing w:after="0" w:line="34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Charles Poer</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Charles Poer</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 &amp; Manager</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BARCLAYS BANK PLC, as Agent and a 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Michael W. Ballard</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Michael W. Ballard</w:t>
      </w:r>
    </w:p>
    <w:p>
      <w:pPr>
        <w:ind w:left="1780"/>
        <w:spacing w:after="0" w:line="238" w:lineRule="auto"/>
        <w:rPr>
          <w:sz w:val="20"/>
          <w:szCs w:val="20"/>
          <w:color w:val="auto"/>
        </w:rPr>
      </w:pPr>
      <w:r>
        <w:rPr>
          <w:rFonts w:ascii="Courier New" w:cs="Courier New" w:eastAsia="Courier New" w:hAnsi="Courier New"/>
          <w:sz w:val="15"/>
          <w:szCs w:val="15"/>
          <w:color w:val="auto"/>
        </w:rPr>
        <w:t>Title:Associate Director</w:t>
      </w:r>
    </w:p>
    <w:p>
      <w:pPr>
        <w:spacing w:after="0" w:line="344"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CANADIAN IMPERIAL BANK OF COMMERCE, as Agent and</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a Bank</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By:/s/ John Tyler</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John Tyler</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16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019"/>
          </w:cols>
          <w:pgMar w:left="1440" w:top="622" w:right="1440" w:bottom="1440" w:gutter="0" w:footer="0" w:header="0"/>
        </w:sectPr>
      </w:pPr>
    </w:p>
    <w:bookmarkStart w:id="160" w:name="page161"/>
    <w:bookmarkEnd w:id="160"/>
    <w:p>
      <w:pPr>
        <w:ind w:left="1520"/>
        <w:spacing w:after="0"/>
        <w:rPr>
          <w:sz w:val="20"/>
          <w:szCs w:val="20"/>
          <w:color w:val="auto"/>
        </w:rPr>
      </w:pPr>
      <w:r>
        <w:rPr>
          <w:rFonts w:ascii="Courier New" w:cs="Courier New" w:eastAsia="Courier New" w:hAnsi="Courier New"/>
          <w:sz w:val="14"/>
          <w:szCs w:val="14"/>
          <w:color w:val="auto"/>
        </w:rPr>
        <w:t>THE CHASE MANHATTAN BANK (NATIONAL ASSOCIATION),</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as Agent and a Bank</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Bruce Longenkamp</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Bruce Longenkamp</w:t>
      </w:r>
    </w:p>
    <w:p>
      <w:pPr>
        <w:ind w:left="1780"/>
        <w:spacing w:after="0" w:line="238" w:lineRule="auto"/>
        <w:rPr>
          <w:sz w:val="20"/>
          <w:szCs w:val="20"/>
          <w:color w:val="auto"/>
        </w:rPr>
      </w:pPr>
      <w:r>
        <w:rPr>
          <w:rFonts w:ascii="Courier New" w:cs="Courier New" w:eastAsia="Courier New" w:hAnsi="Courier New"/>
          <w:sz w:val="15"/>
          <w:szCs w:val="15"/>
          <w:color w:val="auto"/>
        </w:rPr>
        <w:t>Title:Vice President</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CREDIT LYONNAIS CAYMAN ISLAND BRANCH, as Agent</w:t>
      </w:r>
    </w:p>
    <w:p>
      <w:pPr>
        <w:ind w:left="1520"/>
        <w:spacing w:after="0"/>
        <w:rPr>
          <w:sz w:val="20"/>
          <w:szCs w:val="20"/>
          <w:color w:val="auto"/>
        </w:rPr>
      </w:pPr>
      <w:r>
        <w:rPr>
          <w:rFonts w:ascii="Courier New" w:cs="Courier New" w:eastAsia="Courier New" w:hAnsi="Courier New"/>
          <w:sz w:val="15"/>
          <w:szCs w:val="15"/>
          <w:color w:val="auto"/>
        </w:rPr>
        <w:t>and a Bank</w:t>
      </w:r>
    </w:p>
    <w:p>
      <w:pPr>
        <w:spacing w:after="0" w:line="33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M. Bernadette Collins</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M. Bernadette Collins</w:t>
      </w:r>
    </w:p>
    <w:p>
      <w:pPr>
        <w:ind w:left="1780"/>
        <w:spacing w:after="0" w:line="238" w:lineRule="auto"/>
        <w:rPr>
          <w:sz w:val="20"/>
          <w:szCs w:val="20"/>
          <w:color w:val="auto"/>
        </w:rPr>
      </w:pPr>
      <w:r>
        <w:rPr>
          <w:rFonts w:ascii="Courier New" w:cs="Courier New" w:eastAsia="Courier New" w:hAnsi="Courier New"/>
          <w:sz w:val="15"/>
          <w:szCs w:val="15"/>
          <w:color w:val="auto"/>
        </w:rPr>
        <w:t>Title:Authorized Signature</w:t>
      </w:r>
    </w:p>
    <w:p>
      <w:pPr>
        <w:spacing w:after="0" w:line="344"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THE FIRST NATIONAL BANK OF BOSTON, as Agent and a</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Bank</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Mary M. Barcus</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Mary M. Barcus</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THE FUJI BANK, LIMITED, as Agent and a Bank</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Kazuaki Kitabatake</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Kazuaki Kitabatake</w:t>
      </w:r>
    </w:p>
    <w:p>
      <w:pPr>
        <w:ind w:left="1780"/>
        <w:spacing w:after="0" w:line="238" w:lineRule="auto"/>
        <w:rPr>
          <w:sz w:val="20"/>
          <w:szCs w:val="20"/>
          <w:color w:val="auto"/>
        </w:rPr>
      </w:pPr>
      <w:r>
        <w:rPr>
          <w:rFonts w:ascii="Courier New" w:cs="Courier New" w:eastAsia="Courier New" w:hAnsi="Courier New"/>
          <w:sz w:val="15"/>
          <w:szCs w:val="15"/>
          <w:color w:val="auto"/>
        </w:rPr>
        <w:t>Title:Joint General Manager</w:t>
      </w:r>
    </w:p>
    <w:p>
      <w:pPr>
        <w:spacing w:after="0" w:line="344"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THE INDUSTRIAL BANK OF JAPAN, LTD., as Agent and</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a Bank</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Jeffrey Cole</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Jeffrey Cole</w:t>
      </w:r>
    </w:p>
    <w:p>
      <w:pPr>
        <w:ind w:left="1780"/>
        <w:spacing w:after="0" w:line="238" w:lineRule="auto"/>
        <w:rPr>
          <w:sz w:val="20"/>
          <w:szCs w:val="20"/>
          <w:color w:val="auto"/>
        </w:rPr>
      </w:pPr>
      <w:r>
        <w:rPr>
          <w:rFonts w:ascii="Courier New" w:cs="Courier New" w:eastAsia="Courier New" w:hAnsi="Courier New"/>
          <w:sz w:val="15"/>
          <w:szCs w:val="15"/>
          <w:color w:val="auto"/>
        </w:rPr>
        <w:t>Title:Senior Vice President</w:t>
      </w:r>
    </w:p>
    <w:p>
      <w:pPr>
        <w:spacing w:after="0" w:line="16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019"/>
          </w:cols>
          <w:pgMar w:left="1440" w:top="628" w:right="1440" w:bottom="1440" w:gutter="0" w:footer="0" w:header="0"/>
        </w:sectPr>
      </w:pPr>
    </w:p>
    <w:bookmarkStart w:id="161" w:name="page162"/>
    <w:bookmarkEnd w:id="161"/>
    <w:p>
      <w:pPr>
        <w:ind w:left="1520"/>
        <w:spacing w:after="0"/>
        <w:rPr>
          <w:sz w:val="20"/>
          <w:szCs w:val="20"/>
          <w:color w:val="auto"/>
        </w:rPr>
      </w:pPr>
      <w:r>
        <w:rPr>
          <w:rFonts w:ascii="Courier New" w:cs="Courier New" w:eastAsia="Courier New" w:hAnsi="Courier New"/>
          <w:sz w:val="15"/>
          <w:szCs w:val="15"/>
          <w:color w:val="auto"/>
        </w:rPr>
        <w:t>LTCB TRUST COMPANY, as Agent and a Bank</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John A. Krob</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John A. Krob</w:t>
      </w:r>
    </w:p>
    <w:p>
      <w:pPr>
        <w:ind w:left="178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MELLON BANK, N.A., as Agent and a Bank</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G. Luis Ashley</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G. Luis Ashley</w:t>
      </w:r>
    </w:p>
    <w:p>
      <w:pPr>
        <w:ind w:left="1780"/>
        <w:spacing w:after="0" w:line="238" w:lineRule="auto"/>
        <w:rPr>
          <w:sz w:val="20"/>
          <w:szCs w:val="20"/>
          <w:color w:val="auto"/>
        </w:rPr>
      </w:pPr>
      <w:r>
        <w:rPr>
          <w:rFonts w:ascii="Courier New" w:cs="Courier New" w:eastAsia="Courier New" w:hAnsi="Courier New"/>
          <w:sz w:val="15"/>
          <w:szCs w:val="15"/>
          <w:color w:val="auto"/>
        </w:rPr>
        <w:t>Title: First Vice President</w:t>
      </w:r>
    </w:p>
    <w:p>
      <w:pPr>
        <w:spacing w:after="0" w:line="200" w:lineRule="exact"/>
        <w:rPr>
          <w:sz w:val="20"/>
          <w:szCs w:val="20"/>
          <w:color w:val="auto"/>
        </w:rPr>
      </w:pPr>
    </w:p>
    <w:p>
      <w:pPr>
        <w:spacing w:after="0" w:line="314"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NATIONSBANK OF TEXAS, N.A., as Agent and a Bank</w:t>
      </w:r>
    </w:p>
    <w:p>
      <w:pPr>
        <w:spacing w:after="0" w:line="34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Chad E. Coben</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Chad E. Coben</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SOCIETE GENERALE, as Agent and a Bank</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Pascale Hainline</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Pascale Hainline</w:t>
      </w:r>
    </w:p>
    <w:p>
      <w:pPr>
        <w:ind w:left="1780"/>
        <w:spacing w:after="0" w:line="238" w:lineRule="auto"/>
        <w:rPr>
          <w:sz w:val="20"/>
          <w:szCs w:val="20"/>
          <w:color w:val="auto"/>
        </w:rPr>
      </w:pPr>
      <w:r>
        <w:rPr>
          <w:rFonts w:ascii="Courier New" w:cs="Courier New" w:eastAsia="Courier New" w:hAnsi="Courier New"/>
          <w:sz w:val="15"/>
          <w:szCs w:val="15"/>
          <w:color w:val="auto"/>
        </w:rPr>
        <w:t>Title:Vice President</w:t>
      </w:r>
    </w:p>
    <w:p>
      <w:pPr>
        <w:spacing w:after="0" w:line="33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019"/>
          </w:cols>
          <w:pgMar w:left="1440" w:top="622" w:right="1440" w:bottom="1440" w:gutter="0" w:footer="0" w:header="0"/>
        </w:sectPr>
      </w:pPr>
    </w:p>
    <w:bookmarkStart w:id="162" w:name="page163"/>
    <w:bookmarkEnd w:id="162"/>
    <w:p>
      <w:pPr>
        <w:ind w:left="1520"/>
        <w:spacing w:after="0"/>
        <w:rPr>
          <w:sz w:val="20"/>
          <w:szCs w:val="20"/>
          <w:color w:val="auto"/>
        </w:rPr>
      </w:pPr>
      <w:r>
        <w:rPr>
          <w:rFonts w:ascii="Courier New" w:cs="Courier New" w:eastAsia="Courier New" w:hAnsi="Courier New"/>
          <w:sz w:val="14"/>
          <w:szCs w:val="14"/>
          <w:color w:val="auto"/>
        </w:rPr>
        <w:t>THE TORONTO-DOMINION BANK, as Agent and a Bank</w:t>
      </w:r>
    </w:p>
    <w:p>
      <w:pPr>
        <w:spacing w:after="0" w:line="34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Neva Nesbitt</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Neva Nesbitt</w:t>
      </w:r>
    </w:p>
    <w:p>
      <w:pPr>
        <w:ind w:left="1780"/>
        <w:spacing w:after="0" w:line="238" w:lineRule="auto"/>
        <w:rPr>
          <w:sz w:val="20"/>
          <w:szCs w:val="20"/>
          <w:color w:val="auto"/>
        </w:rPr>
      </w:pPr>
      <w:r>
        <w:rPr>
          <w:rFonts w:ascii="Courier New" w:cs="Courier New" w:eastAsia="Courier New" w:hAnsi="Courier New"/>
          <w:sz w:val="15"/>
          <w:szCs w:val="15"/>
          <w:color w:val="auto"/>
        </w:rPr>
        <w:t>Title:Manager Credit Admin.</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UNION BANK, as Agent and a Bank</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J. Kevin Sampson</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J. Kevin Sampson</w:t>
      </w:r>
    </w:p>
    <w:p>
      <w:pPr>
        <w:ind w:left="1780"/>
        <w:spacing w:after="0" w:line="238" w:lineRule="auto"/>
        <w:rPr>
          <w:sz w:val="20"/>
          <w:szCs w:val="20"/>
          <w:color w:val="auto"/>
        </w:rPr>
      </w:pPr>
      <w:r>
        <w:rPr>
          <w:rFonts w:ascii="Courier New" w:cs="Courier New" w:eastAsia="Courier New" w:hAnsi="Courier New"/>
          <w:sz w:val="15"/>
          <w:szCs w:val="15"/>
          <w:color w:val="auto"/>
        </w:rPr>
        <w:t>Title:</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Co-Agents</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CREDIT SUISSE, as Co-Agent and a Bank</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Michael C. Mast</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Michael C. Mast</w:t>
      </w:r>
    </w:p>
    <w:p>
      <w:pPr>
        <w:ind w:left="1780"/>
        <w:spacing w:after="0" w:line="238" w:lineRule="auto"/>
        <w:rPr>
          <w:sz w:val="20"/>
          <w:szCs w:val="20"/>
          <w:color w:val="auto"/>
        </w:rPr>
      </w:pPr>
      <w:r>
        <w:rPr>
          <w:rFonts w:ascii="Courier New" w:cs="Courier New" w:eastAsia="Courier New" w:hAnsi="Courier New"/>
          <w:sz w:val="15"/>
          <w:szCs w:val="15"/>
          <w:color w:val="auto"/>
        </w:rPr>
        <w:t>Title: Member of Senior</w:t>
      </w:r>
    </w:p>
    <w:p>
      <w:pPr>
        <w:ind w:left="2580"/>
        <w:spacing w:after="0"/>
        <w:rPr>
          <w:sz w:val="20"/>
          <w:szCs w:val="20"/>
          <w:color w:val="auto"/>
        </w:rPr>
      </w:pPr>
      <w:r>
        <w:rPr>
          <w:rFonts w:ascii="Courier New" w:cs="Courier New" w:eastAsia="Courier New" w:hAnsi="Courier New"/>
          <w:sz w:val="15"/>
          <w:szCs w:val="15"/>
          <w:color w:val="auto"/>
        </w:rPr>
        <w:t>Management</w:t>
      </w:r>
    </w:p>
    <w:p>
      <w:pPr>
        <w:spacing w:after="0" w:line="33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Kristina Catlin</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Kristina Catlin</w:t>
      </w:r>
    </w:p>
    <w:p>
      <w:pPr>
        <w:ind w:left="1780"/>
        <w:spacing w:after="0" w:line="238" w:lineRule="auto"/>
        <w:rPr>
          <w:sz w:val="20"/>
          <w:szCs w:val="20"/>
          <w:color w:val="auto"/>
        </w:rPr>
      </w:pPr>
      <w:r>
        <w:rPr>
          <w:rFonts w:ascii="Courier New" w:cs="Courier New" w:eastAsia="Courier New" w:hAnsi="Courier New"/>
          <w:sz w:val="15"/>
          <w:szCs w:val="15"/>
          <w:color w:val="auto"/>
        </w:rPr>
        <w:t>Title: Associate</w:t>
      </w:r>
    </w:p>
    <w:p>
      <w:pPr>
        <w:spacing w:after="0" w:line="344"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THE DAI-ICHI KANGYO BANK LTD., NEW YORK BRANCH,</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as Co-Agent and a Bank</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Shinya Wako</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Shinya Wako</w:t>
      </w:r>
    </w:p>
    <w:p>
      <w:pPr>
        <w:ind w:left="1780"/>
        <w:spacing w:after="0" w:line="238" w:lineRule="auto"/>
        <w:rPr>
          <w:sz w:val="20"/>
          <w:szCs w:val="20"/>
          <w:color w:val="auto"/>
        </w:rPr>
      </w:pPr>
      <w:r>
        <w:rPr>
          <w:rFonts w:ascii="Courier New" w:cs="Courier New" w:eastAsia="Courier New" w:hAnsi="Courier New"/>
          <w:sz w:val="15"/>
          <w:szCs w:val="15"/>
          <w:color w:val="auto"/>
        </w:rPr>
        <w:t>Title:Senior Vice President</w:t>
      </w:r>
    </w:p>
    <w:p>
      <w:pPr>
        <w:ind w:left="2500"/>
        <w:spacing w:after="0"/>
        <w:rPr>
          <w:sz w:val="20"/>
          <w:szCs w:val="20"/>
          <w:color w:val="auto"/>
        </w:rPr>
      </w:pPr>
      <w:r>
        <w:rPr>
          <w:rFonts w:ascii="Courier New" w:cs="Courier New" w:eastAsia="Courier New" w:hAnsi="Courier New"/>
          <w:sz w:val="15"/>
          <w:szCs w:val="15"/>
          <w:color w:val="auto"/>
        </w:rPr>
        <w:t>and Department Head</w:t>
      </w:r>
    </w:p>
    <w:p>
      <w:pPr>
        <w:spacing w:after="0" w:line="33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019"/>
          </w:cols>
          <w:pgMar w:left="1440" w:top="628" w:right="1440" w:bottom="1440" w:gutter="0" w:footer="0" w:header="0"/>
        </w:sectPr>
      </w:pPr>
    </w:p>
    <w:bookmarkStart w:id="163" w:name="page164"/>
    <w:bookmarkEnd w:id="163"/>
    <w:p>
      <w:pPr>
        <w:ind w:left="1520"/>
        <w:spacing w:after="0"/>
        <w:rPr>
          <w:sz w:val="20"/>
          <w:szCs w:val="20"/>
          <w:color w:val="auto"/>
        </w:rPr>
      </w:pPr>
      <w:r>
        <w:rPr>
          <w:rFonts w:ascii="Courier New" w:cs="Courier New" w:eastAsia="Courier New" w:hAnsi="Courier New"/>
          <w:sz w:val="14"/>
          <w:szCs w:val="14"/>
          <w:color w:val="auto"/>
        </w:rPr>
        <w:t>THE MITSUBISHI BANK, LIMITED, as Co-Agent and a</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Bank</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Paula Mueller</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Paula Mueller</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44"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THE MITSUBISHI TRUST &amp; BANKING CORPORATION, as</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Co-Agent and a Bank</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Patricia Loret de Mola</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Patricia Loret de Mola</w:t>
      </w:r>
    </w:p>
    <w:p>
      <w:pPr>
        <w:ind w:left="178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ROYAL BANK OF CANADA, as Co-Agent and a Bank</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Eduardo Salazar</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Eduardo Salazar</w:t>
      </w:r>
    </w:p>
    <w:p>
      <w:pPr>
        <w:ind w:left="1780"/>
        <w:spacing w:after="0" w:line="238" w:lineRule="auto"/>
        <w:rPr>
          <w:sz w:val="20"/>
          <w:szCs w:val="20"/>
          <w:color w:val="auto"/>
        </w:rPr>
      </w:pPr>
      <w:r>
        <w:rPr>
          <w:rFonts w:ascii="Courier New" w:cs="Courier New" w:eastAsia="Courier New" w:hAnsi="Courier New"/>
          <w:sz w:val="15"/>
          <w:szCs w:val="15"/>
          <w:color w:val="auto"/>
        </w:rPr>
        <w:t>Title: Senior Manager</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THE SANWA BANK, LTD., as Co-Agent and a Bank</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Dominic J. Sorresso</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Dominic J. Sorresso</w:t>
      </w:r>
    </w:p>
    <w:p>
      <w:pPr>
        <w:ind w:left="1780"/>
        <w:spacing w:after="0" w:line="238" w:lineRule="auto"/>
        <w:rPr>
          <w:sz w:val="20"/>
          <w:szCs w:val="20"/>
          <w:color w:val="auto"/>
        </w:rPr>
      </w:pPr>
      <w:r>
        <w:rPr>
          <w:rFonts w:ascii="Courier New" w:cs="Courier New" w:eastAsia="Courier New" w:hAnsi="Courier New"/>
          <w:sz w:val="15"/>
          <w:szCs w:val="15"/>
          <w:color w:val="auto"/>
        </w:rPr>
        <w:t>Title:Vice President</w:t>
      </w:r>
    </w:p>
    <w:p>
      <w:pPr>
        <w:spacing w:after="0" w:line="344"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THE SUMITOMO BANK, LIMITED, NEW YORK BRANCH, as</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Co-Agent and a Bank</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Shuntaro Hisashi</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Shuntaro Hisashi</w:t>
      </w:r>
    </w:p>
    <w:p>
      <w:pPr>
        <w:ind w:left="1780"/>
        <w:spacing w:after="0" w:line="238" w:lineRule="auto"/>
        <w:rPr>
          <w:sz w:val="20"/>
          <w:szCs w:val="20"/>
          <w:color w:val="auto"/>
        </w:rPr>
      </w:pPr>
      <w:r>
        <w:rPr>
          <w:rFonts w:ascii="Courier New" w:cs="Courier New" w:eastAsia="Courier New" w:hAnsi="Courier New"/>
          <w:sz w:val="15"/>
          <w:szCs w:val="15"/>
          <w:color w:val="auto"/>
        </w:rPr>
        <w:t>Title: Joint General Manager</w:t>
      </w:r>
    </w:p>
    <w:p>
      <w:pPr>
        <w:spacing w:after="0" w:line="16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019"/>
          </w:cols>
          <w:pgMar w:left="1440" w:top="627" w:right="1440" w:bottom="1440" w:gutter="0" w:footer="0" w:header="0"/>
        </w:sectPr>
      </w:pPr>
    </w:p>
    <w:bookmarkStart w:id="164" w:name="page165"/>
    <w:bookmarkEnd w:id="164"/>
    <w:p>
      <w:pPr>
        <w:ind w:left="1520"/>
        <w:spacing w:after="0"/>
        <w:rPr>
          <w:sz w:val="20"/>
          <w:szCs w:val="20"/>
          <w:color w:val="auto"/>
        </w:rPr>
      </w:pPr>
      <w:r>
        <w:rPr>
          <w:rFonts w:ascii="Courier New" w:cs="Courier New" w:eastAsia="Courier New" w:hAnsi="Courier New"/>
          <w:sz w:val="14"/>
          <w:szCs w:val="14"/>
          <w:color w:val="auto"/>
        </w:rPr>
        <w:t>UNION BANK OF SWITZERLAND, as Co-Agent and a Bank</w:t>
      </w:r>
    </w:p>
    <w:p>
      <w:pPr>
        <w:spacing w:after="0" w:line="34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James P. Kelleher</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James P. Kelleher</w:t>
      </w:r>
    </w:p>
    <w:p>
      <w:pPr>
        <w:ind w:left="1780"/>
        <w:spacing w:after="0" w:line="238" w:lineRule="auto"/>
        <w:rPr>
          <w:sz w:val="20"/>
          <w:szCs w:val="20"/>
          <w:color w:val="auto"/>
        </w:rPr>
      </w:pPr>
      <w:r>
        <w:rPr>
          <w:rFonts w:ascii="Courier New" w:cs="Courier New" w:eastAsia="Courier New" w:hAnsi="Courier New"/>
          <w:sz w:val="15"/>
          <w:szCs w:val="15"/>
          <w:color w:val="auto"/>
        </w:rPr>
        <w:t>Title: Assistant Vice</w:t>
      </w:r>
    </w:p>
    <w:p>
      <w:pPr>
        <w:ind w:left="2400"/>
        <w:spacing w:after="0"/>
        <w:rPr>
          <w:sz w:val="20"/>
          <w:szCs w:val="20"/>
          <w:color w:val="auto"/>
        </w:rPr>
      </w:pPr>
      <w:r>
        <w:rPr>
          <w:rFonts w:ascii="Courier New" w:cs="Courier New" w:eastAsia="Courier New" w:hAnsi="Courier New"/>
          <w:sz w:val="15"/>
          <w:szCs w:val="15"/>
          <w:color w:val="auto"/>
        </w:rPr>
        <w:t>President</w:t>
      </w:r>
    </w:p>
    <w:p>
      <w:pPr>
        <w:spacing w:after="0" w:line="33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Peter B. Yearley</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Peter B. Yearley</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Syndication Agent</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JP MORGAN SECURITIES INC., as the Syndication</w:t>
      </w:r>
    </w:p>
    <w:p>
      <w:pPr>
        <w:ind w:left="1520"/>
        <w:spacing w:after="0"/>
        <w:rPr>
          <w:sz w:val="20"/>
          <w:szCs w:val="20"/>
          <w:color w:val="auto"/>
        </w:rPr>
      </w:pPr>
      <w:r>
        <w:rPr>
          <w:rFonts w:ascii="Courier New" w:cs="Courier New" w:eastAsia="Courier New" w:hAnsi="Courier New"/>
          <w:sz w:val="15"/>
          <w:szCs w:val="15"/>
          <w:color w:val="auto"/>
        </w:rPr>
        <w:t>Agent</w:t>
      </w:r>
    </w:p>
    <w:p>
      <w:pPr>
        <w:spacing w:after="0" w:line="33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Barbara J. Asch</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Barbara J. Asch</w:t>
      </w:r>
    </w:p>
    <w:p>
      <w:pPr>
        <w:ind w:left="1780"/>
        <w:spacing w:after="0" w:line="238" w:lineRule="auto"/>
        <w:rPr>
          <w:sz w:val="20"/>
          <w:szCs w:val="20"/>
          <w:color w:val="auto"/>
        </w:rPr>
      </w:pPr>
      <w:r>
        <w:rPr>
          <w:rFonts w:ascii="Courier New" w:cs="Courier New" w:eastAsia="Courier New" w:hAnsi="Courier New"/>
          <w:sz w:val="15"/>
          <w:szCs w:val="15"/>
          <w:color w:val="auto"/>
        </w:rPr>
        <w:t>Title:Vice President</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Lead Managers</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CHEMICAL BANK, as Lead Manager and a Bank</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Mary E. Cameron</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Mary E. Cameron</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019"/>
          </w:cols>
          <w:pgMar w:left="1440" w:top="628" w:right="1440" w:bottom="1440" w:gutter="0" w:footer="0" w:header="0"/>
        </w:sectPr>
      </w:pPr>
    </w:p>
    <w:bookmarkStart w:id="165" w:name="page166"/>
    <w:bookmarkEnd w:id="165"/>
    <w:p>
      <w:pPr>
        <w:ind w:left="1520"/>
        <w:spacing w:after="0"/>
        <w:rPr>
          <w:sz w:val="20"/>
          <w:szCs w:val="20"/>
          <w:color w:val="auto"/>
        </w:rPr>
      </w:pPr>
      <w:r>
        <w:rPr>
          <w:rFonts w:ascii="Courier New" w:cs="Courier New" w:eastAsia="Courier New" w:hAnsi="Courier New"/>
          <w:sz w:val="15"/>
          <w:szCs w:val="15"/>
          <w:color w:val="auto"/>
        </w:rPr>
        <w:t>DEUTSCHE BANK AG, through its New York and/or</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Cayman Islands Branch, as Lead Manager and a Bank</w:t>
      </w:r>
    </w:p>
    <w:p>
      <w:pPr>
        <w:spacing w:after="0" w:line="34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Steven M. Godeke</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Steven M. Godeke</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Bina R. Dabbah</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Bina R. Dabbah</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16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Participants</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THE SAKURA BANK, LIMITED</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Hiroshi Shimazaki</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Hiroshi Shimazaki</w:t>
      </w:r>
    </w:p>
    <w:p>
      <w:pPr>
        <w:ind w:left="1780"/>
        <w:spacing w:after="0" w:line="238" w:lineRule="auto"/>
        <w:rPr>
          <w:sz w:val="20"/>
          <w:szCs w:val="20"/>
          <w:color w:val="auto"/>
        </w:rPr>
      </w:pPr>
      <w:r>
        <w:rPr>
          <w:rFonts w:ascii="Courier New" w:cs="Courier New" w:eastAsia="Courier New" w:hAnsi="Courier New"/>
          <w:sz w:val="15"/>
          <w:szCs w:val="15"/>
          <w:color w:val="auto"/>
        </w:rPr>
        <w:t>Title: Senior Vice President</w:t>
      </w:r>
    </w:p>
    <w:p>
      <w:pPr>
        <w:ind w:left="2580"/>
        <w:spacing w:after="0"/>
        <w:rPr>
          <w:sz w:val="20"/>
          <w:szCs w:val="20"/>
          <w:color w:val="auto"/>
        </w:rPr>
      </w:pPr>
      <w:r>
        <w:rPr>
          <w:rFonts w:ascii="Courier New" w:cs="Courier New" w:eastAsia="Courier New" w:hAnsi="Courier New"/>
          <w:sz w:val="15"/>
          <w:szCs w:val="15"/>
          <w:color w:val="auto"/>
        </w:rPr>
        <w:t>and Manager</w:t>
      </w:r>
    </w:p>
    <w:p>
      <w:pPr>
        <w:spacing w:after="0" w:line="33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COMPAGNIE FINANCIERE DE CIC ET DE L'UNION</w:t>
      </w:r>
    </w:p>
    <w:p>
      <w:pPr>
        <w:ind w:left="1520"/>
        <w:spacing w:after="0"/>
        <w:rPr>
          <w:sz w:val="20"/>
          <w:szCs w:val="20"/>
          <w:color w:val="auto"/>
        </w:rPr>
      </w:pPr>
      <w:r>
        <w:rPr>
          <w:rFonts w:ascii="Courier New" w:cs="Courier New" w:eastAsia="Courier New" w:hAnsi="Courier New"/>
          <w:sz w:val="15"/>
          <w:szCs w:val="15"/>
          <w:color w:val="auto"/>
        </w:rPr>
        <w:t>EUROPEENNE, NEW YORK BRANCH</w:t>
      </w:r>
    </w:p>
    <w:p>
      <w:pPr>
        <w:spacing w:after="0" w:line="33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By:/s/ Brian O'Leary/Marcus Edward</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Brian O'Leary/Marcus Edward</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Presidents</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PNC BANK N.A.</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Karen M. Wolters</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Karen M. Wolters</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019"/>
          </w:cols>
          <w:pgMar w:left="1440" w:top="791" w:right="1440" w:bottom="1440" w:gutter="0" w:footer="0" w:header="0"/>
        </w:sectPr>
      </w:pPr>
    </w:p>
    <w:bookmarkStart w:id="166" w:name="page167"/>
    <w:bookmarkEnd w:id="166"/>
    <w:p>
      <w:pPr>
        <w:ind w:left="1520"/>
        <w:spacing w:after="0"/>
        <w:rPr>
          <w:sz w:val="20"/>
          <w:szCs w:val="20"/>
          <w:color w:val="auto"/>
        </w:rPr>
      </w:pPr>
      <w:r>
        <w:rPr>
          <w:rFonts w:ascii="Courier New" w:cs="Courier New" w:eastAsia="Courier New" w:hAnsi="Courier New"/>
          <w:sz w:val="15"/>
          <w:szCs w:val="15"/>
          <w:color w:val="auto"/>
        </w:rPr>
        <w:t>FIRST INTERSTATE BANK OF WASHINGTON, N.A.</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By:/s/ Susan Hendrixson</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Susan Hendrixson</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GULF INTERNATIONAL BANK</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By:/s/ Abdel-Fattah Tahoun</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Abdel-Fattah Tahoun</w:t>
      </w:r>
    </w:p>
    <w:p>
      <w:pPr>
        <w:ind w:left="178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16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By:/s/ Haytham F. Khalil</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Haytham F. Khalil</w:t>
      </w:r>
    </w:p>
    <w:p>
      <w:pPr>
        <w:ind w:left="1780"/>
        <w:spacing w:after="0" w:line="238" w:lineRule="auto"/>
        <w:rPr>
          <w:sz w:val="20"/>
          <w:szCs w:val="20"/>
          <w:color w:val="auto"/>
        </w:rPr>
      </w:pPr>
      <w:r>
        <w:rPr>
          <w:rFonts w:ascii="Courier New" w:cs="Courier New" w:eastAsia="Courier New" w:hAnsi="Courier New"/>
          <w:sz w:val="15"/>
          <w:szCs w:val="15"/>
          <w:color w:val="auto"/>
        </w:rPr>
        <w:t>Title: Assistant Vice President</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THE TOKAI BANK, LIMITED, NEW YORK BRANCH</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Masaharu Muto</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Masaharu Muto</w:t>
      </w:r>
    </w:p>
    <w:p>
      <w:pPr>
        <w:ind w:left="1780"/>
        <w:spacing w:after="0" w:line="238" w:lineRule="auto"/>
        <w:rPr>
          <w:sz w:val="20"/>
          <w:szCs w:val="20"/>
          <w:color w:val="auto"/>
        </w:rPr>
      </w:pPr>
      <w:r>
        <w:rPr>
          <w:rFonts w:ascii="Courier New" w:cs="Courier New" w:eastAsia="Courier New" w:hAnsi="Courier New"/>
          <w:sz w:val="15"/>
          <w:szCs w:val="15"/>
          <w:color w:val="auto"/>
        </w:rPr>
        <w:t>Title: Deputy General Manager</w:t>
      </w:r>
    </w:p>
    <w:p>
      <w:pPr>
        <w:spacing w:after="0" w:line="344"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THE YASUDA TRUST AND BANKING CO., LTD., NEW YORK</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BRANCH</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By:/s/ Neil T. Chau</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Neil T. Chau</w:t>
      </w:r>
    </w:p>
    <w:p>
      <w:pPr>
        <w:ind w:left="1780"/>
        <w:spacing w:after="0" w:line="238" w:lineRule="auto"/>
        <w:rPr>
          <w:sz w:val="20"/>
          <w:szCs w:val="20"/>
          <w:color w:val="auto"/>
        </w:rPr>
      </w:pPr>
      <w:r>
        <w:rPr>
          <w:rFonts w:ascii="Courier New" w:cs="Courier New" w:eastAsia="Courier New" w:hAnsi="Courier New"/>
          <w:sz w:val="15"/>
          <w:szCs w:val="15"/>
          <w:color w:val="auto"/>
        </w:rPr>
        <w:t>Title: First Vice President</w:t>
      </w:r>
    </w:p>
    <w:p>
      <w:pPr>
        <w:spacing w:after="0" w:line="33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019"/>
          </w:cols>
          <w:pgMar w:left="1440" w:top="622" w:right="1440" w:bottom="1440" w:gutter="0" w:footer="0" w:header="0"/>
        </w:sectPr>
      </w:pPr>
    </w:p>
    <w:bookmarkStart w:id="167" w:name="page168"/>
    <w:bookmarkEnd w:id="167"/>
    <w:p>
      <w:pPr>
        <w:ind w:left="2720"/>
        <w:spacing w:after="0"/>
        <w:rPr>
          <w:sz w:val="20"/>
          <w:szCs w:val="20"/>
          <w:color w:val="auto"/>
        </w:rPr>
      </w:pPr>
      <w:r>
        <w:rPr>
          <w:rFonts w:ascii="Courier New" w:cs="Courier New" w:eastAsia="Courier New" w:hAnsi="Courier New"/>
          <w:sz w:val="14"/>
          <w:szCs w:val="14"/>
          <w:color w:val="auto"/>
        </w:rPr>
        <w:t>BANK BRUSSELS LAMBERT, NEW YORK BRANCH</w:t>
      </w:r>
    </w:p>
    <w:p>
      <w:pPr>
        <w:sectPr>
          <w:pgSz w:w="11900" w:h="16838" w:orient="portrait"/>
          <w:cols w:equalWidth="0" w:num="1">
            <w:col w:w="10219"/>
          </w:cols>
          <w:pgMar w:left="240" w:top="628" w:right="1440" w:bottom="1440" w:gutter="0" w:footer="0" w:header="0"/>
        </w:sect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Denise Isherwood</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60"/>
        <w:spacing w:after="0"/>
        <w:tabs>
          <w:tab w:leader="none" w:pos="8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Denise Isherwood</w:t>
      </w:r>
    </w:p>
    <w:p>
      <w:pPr>
        <w:ind w:left="260"/>
        <w:spacing w:after="0"/>
        <w:rPr>
          <w:sz w:val="20"/>
          <w:szCs w:val="20"/>
          <w:color w:val="auto"/>
        </w:rPr>
      </w:pPr>
      <w:r>
        <w:rPr>
          <w:rFonts w:ascii="Courier New" w:cs="Courier New" w:eastAsia="Courier New" w:hAnsi="Courier New"/>
          <w:sz w:val="15"/>
          <w:szCs w:val="15"/>
          <w:color w:val="auto"/>
        </w:rPr>
        <w:t>Title: Assistant Vice</w:t>
      </w:r>
    </w:p>
    <w:p>
      <w:pPr>
        <w:ind w:left="1140"/>
        <w:spacing w:after="0"/>
        <w:rPr>
          <w:sz w:val="20"/>
          <w:szCs w:val="20"/>
          <w:color w:val="auto"/>
        </w:rPr>
      </w:pPr>
      <w:r>
        <w:rPr>
          <w:rFonts w:ascii="Courier New" w:cs="Courier New" w:eastAsia="Courier New" w:hAnsi="Courier New"/>
          <w:sz w:val="15"/>
          <w:szCs w:val="15"/>
          <w:color w:val="auto"/>
        </w:rPr>
        <w:t>President</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Eric Hollanders</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60"/>
        <w:spacing w:after="0"/>
        <w:tabs>
          <w:tab w:leader="none" w:pos="8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Eric Hollanders</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Title: Senior Vice President</w:t>
      </w:r>
    </w:p>
    <w:p>
      <w:pPr>
        <w:spacing w:after="0" w:line="5"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Credit Department</w:t>
      </w:r>
    </w:p>
    <w:p>
      <w:pPr>
        <w:spacing w:after="0" w:line="174" w:lineRule="exact"/>
        <w:rPr>
          <w:sz w:val="20"/>
          <w:szCs w:val="20"/>
          <w:color w:val="auto"/>
        </w:rPr>
      </w:pPr>
    </w:p>
    <w:p>
      <w:pPr>
        <w:sectPr>
          <w:pgSz w:w="11900" w:h="16838" w:orient="portrait"/>
          <w:cols w:equalWidth="0" w:num="2">
            <w:col w:w="2280" w:space="440"/>
            <w:col w:w="7499"/>
          </w:cols>
          <w:pgMar w:left="240" w:top="628" w:right="1440" w:bottom="1440" w:gutter="0" w:footer="0" w:header="0"/>
          <w:type w:val="continuous"/>
        </w:sectPr>
      </w:pPr>
    </w:p>
    <w:p>
      <w:pPr>
        <w:ind w:left="2720"/>
        <w:spacing w:after="0"/>
        <w:rPr>
          <w:sz w:val="20"/>
          <w:szCs w:val="20"/>
          <w:color w:val="auto"/>
        </w:rPr>
      </w:pPr>
      <w:r>
        <w:rPr>
          <w:rFonts w:ascii="Courier New" w:cs="Courier New" w:eastAsia="Courier New" w:hAnsi="Courier New"/>
          <w:sz w:val="14"/>
          <w:szCs w:val="14"/>
          <w:color w:val="auto"/>
        </w:rPr>
        <w:t>BANQUE FRANCAISE DU COMMERCE EXTERIEUR, NEW YORK</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BRANCH</w:t>
      </w:r>
    </w:p>
    <w:p>
      <w:pPr>
        <w:spacing w:after="0" w:line="33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Peter K. Harris</w:t>
      </w:r>
    </w:p>
    <w:p>
      <w:pPr>
        <w:ind w:left="2980"/>
        <w:spacing w:after="0"/>
        <w:rPr>
          <w:sz w:val="20"/>
          <w:szCs w:val="20"/>
          <w:color w:val="auto"/>
        </w:rPr>
      </w:pPr>
      <w:r>
        <w:rPr>
          <w:rFonts w:ascii="Courier New" w:cs="Courier New" w:eastAsia="Courier New" w:hAnsi="Courier New"/>
          <w:sz w:val="15"/>
          <w:szCs w:val="15"/>
          <w:color w:val="auto"/>
        </w:rPr>
        <w:t>----------------------------</w:t>
      </w:r>
    </w:p>
    <w:p>
      <w:pPr>
        <w:ind w:left="2980"/>
        <w:spacing w:after="0"/>
        <w:rPr>
          <w:sz w:val="20"/>
          <w:szCs w:val="20"/>
          <w:color w:val="auto"/>
        </w:rPr>
      </w:pPr>
      <w:r>
        <w:rPr>
          <w:rFonts w:ascii="Courier New" w:cs="Courier New" w:eastAsia="Courier New" w:hAnsi="Courier New"/>
          <w:sz w:val="15"/>
          <w:szCs w:val="15"/>
          <w:color w:val="auto"/>
        </w:rPr>
        <w:t>Name: Peter K. Harris</w:t>
      </w:r>
    </w:p>
    <w:p>
      <w:pPr>
        <w:ind w:left="29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William Marer</w:t>
      </w:r>
    </w:p>
    <w:p>
      <w:pPr>
        <w:ind w:left="2980"/>
        <w:spacing w:after="0"/>
        <w:rPr>
          <w:sz w:val="20"/>
          <w:szCs w:val="20"/>
          <w:color w:val="auto"/>
        </w:rPr>
      </w:pPr>
      <w:r>
        <w:rPr>
          <w:rFonts w:ascii="Courier New" w:cs="Courier New" w:eastAsia="Courier New" w:hAnsi="Courier New"/>
          <w:sz w:val="15"/>
          <w:szCs w:val="15"/>
          <w:color w:val="auto"/>
        </w:rPr>
        <w:t>----------------------------</w:t>
      </w:r>
    </w:p>
    <w:p>
      <w:pPr>
        <w:ind w:left="2980"/>
        <w:spacing w:after="0"/>
        <w:rPr>
          <w:sz w:val="20"/>
          <w:szCs w:val="20"/>
          <w:color w:val="auto"/>
        </w:rPr>
      </w:pPr>
      <w:r>
        <w:rPr>
          <w:rFonts w:ascii="Courier New" w:cs="Courier New" w:eastAsia="Courier New" w:hAnsi="Courier New"/>
          <w:sz w:val="15"/>
          <w:szCs w:val="15"/>
          <w:color w:val="auto"/>
        </w:rPr>
        <w:t>Name: William Marer</w:t>
      </w:r>
    </w:p>
    <w:p>
      <w:pPr>
        <w:ind w:left="2980"/>
        <w:spacing w:after="0" w:line="238" w:lineRule="auto"/>
        <w:rPr>
          <w:sz w:val="20"/>
          <w:szCs w:val="20"/>
          <w:color w:val="auto"/>
        </w:rPr>
      </w:pPr>
      <w:r>
        <w:rPr>
          <w:rFonts w:ascii="Courier New" w:cs="Courier New" w:eastAsia="Courier New" w:hAnsi="Courier New"/>
          <w:sz w:val="15"/>
          <w:szCs w:val="15"/>
          <w:color w:val="auto"/>
        </w:rPr>
        <w:t>Title: Vice President/Manager</w:t>
      </w:r>
    </w:p>
    <w:p>
      <w:pPr>
        <w:spacing w:after="0" w:line="33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DEN DANSKE BANK</w:t>
      </w:r>
    </w:p>
    <w:p>
      <w:pPr>
        <w:spacing w:after="0" w:line="33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George Wendell</w:t>
      </w:r>
    </w:p>
    <w:p>
      <w:pPr>
        <w:ind w:left="2980"/>
        <w:spacing w:after="0"/>
        <w:rPr>
          <w:sz w:val="20"/>
          <w:szCs w:val="20"/>
          <w:color w:val="auto"/>
        </w:rPr>
      </w:pPr>
      <w:r>
        <w:rPr>
          <w:rFonts w:ascii="Courier New" w:cs="Courier New" w:eastAsia="Courier New" w:hAnsi="Courier New"/>
          <w:sz w:val="15"/>
          <w:szCs w:val="15"/>
          <w:color w:val="auto"/>
        </w:rPr>
        <w:t>----------------------------</w:t>
      </w:r>
    </w:p>
    <w:p>
      <w:pPr>
        <w:ind w:left="2980"/>
        <w:spacing w:after="0"/>
        <w:rPr>
          <w:sz w:val="20"/>
          <w:szCs w:val="20"/>
          <w:color w:val="auto"/>
        </w:rPr>
      </w:pPr>
      <w:r>
        <w:rPr>
          <w:rFonts w:ascii="Courier New" w:cs="Courier New" w:eastAsia="Courier New" w:hAnsi="Courier New"/>
          <w:sz w:val="15"/>
          <w:szCs w:val="15"/>
          <w:color w:val="auto"/>
        </w:rPr>
        <w:t>Name: George Wendell</w:t>
      </w:r>
    </w:p>
    <w:p>
      <w:pPr>
        <w:ind w:left="29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Mogens Sondergaard</w:t>
      </w:r>
    </w:p>
    <w:p>
      <w:pPr>
        <w:ind w:left="2980"/>
        <w:spacing w:after="0"/>
        <w:rPr>
          <w:sz w:val="20"/>
          <w:szCs w:val="20"/>
          <w:color w:val="auto"/>
        </w:rPr>
      </w:pPr>
      <w:r>
        <w:rPr>
          <w:rFonts w:ascii="Courier New" w:cs="Courier New" w:eastAsia="Courier New" w:hAnsi="Courier New"/>
          <w:sz w:val="15"/>
          <w:szCs w:val="15"/>
          <w:color w:val="auto"/>
        </w:rPr>
        <w:t>----------------------------</w:t>
      </w:r>
    </w:p>
    <w:p>
      <w:pPr>
        <w:ind w:left="2980"/>
        <w:spacing w:after="0"/>
        <w:rPr>
          <w:sz w:val="20"/>
          <w:szCs w:val="20"/>
          <w:color w:val="auto"/>
        </w:rPr>
      </w:pPr>
      <w:r>
        <w:rPr>
          <w:rFonts w:ascii="Courier New" w:cs="Courier New" w:eastAsia="Courier New" w:hAnsi="Courier New"/>
          <w:sz w:val="15"/>
          <w:szCs w:val="15"/>
          <w:color w:val="auto"/>
        </w:rPr>
        <w:t>Name: Mogens Sondergaard</w:t>
      </w:r>
    </w:p>
    <w:p>
      <w:pPr>
        <w:ind w:left="29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FIRST UNION NATIONAL BANK OF NORTH CAROLINA</w:t>
      </w:r>
    </w:p>
    <w:p>
      <w:pPr>
        <w:spacing w:after="0" w:line="33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William F. Laponte, III</w:t>
      </w:r>
    </w:p>
    <w:p>
      <w:pPr>
        <w:ind w:left="2980"/>
        <w:spacing w:after="0"/>
        <w:rPr>
          <w:sz w:val="20"/>
          <w:szCs w:val="20"/>
          <w:color w:val="auto"/>
        </w:rPr>
      </w:pPr>
      <w:r>
        <w:rPr>
          <w:rFonts w:ascii="Courier New" w:cs="Courier New" w:eastAsia="Courier New" w:hAnsi="Courier New"/>
          <w:sz w:val="15"/>
          <w:szCs w:val="15"/>
          <w:color w:val="auto"/>
        </w:rPr>
        <w:t>----------------------------</w:t>
      </w:r>
    </w:p>
    <w:p>
      <w:pPr>
        <w:ind w:left="2980"/>
        <w:spacing w:after="0"/>
        <w:rPr>
          <w:sz w:val="20"/>
          <w:szCs w:val="20"/>
          <w:color w:val="auto"/>
        </w:rPr>
      </w:pPr>
      <w:r>
        <w:rPr>
          <w:rFonts w:ascii="Courier New" w:cs="Courier New" w:eastAsia="Courier New" w:hAnsi="Courier New"/>
          <w:sz w:val="15"/>
          <w:szCs w:val="15"/>
          <w:color w:val="auto"/>
        </w:rPr>
        <w:t>Name: William F. Laponte, III</w:t>
      </w:r>
    </w:p>
    <w:p>
      <w:pPr>
        <w:ind w:left="29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28" w:right="1440" w:bottom="1440" w:gutter="0" w:footer="0" w:header="0"/>
          <w:type w:val="continuous"/>
        </w:sectPr>
      </w:pPr>
    </w:p>
    <w:bookmarkStart w:id="168" w:name="page169"/>
    <w:bookmarkEnd w:id="168"/>
    <w:p>
      <w:pPr>
        <w:ind w:left="1520"/>
        <w:spacing w:after="0"/>
        <w:rPr>
          <w:sz w:val="20"/>
          <w:szCs w:val="20"/>
          <w:color w:val="auto"/>
        </w:rPr>
      </w:pPr>
      <w:r>
        <w:rPr>
          <w:rFonts w:ascii="Courier New" w:cs="Courier New" w:eastAsia="Courier New" w:hAnsi="Courier New"/>
          <w:sz w:val="14"/>
          <w:szCs w:val="14"/>
          <w:color w:val="auto"/>
        </w:rPr>
        <w:t>NIPPON CREDIT BANK, LTD., LOS ANGELES AGENCY</w:t>
      </w:r>
    </w:p>
    <w:p>
      <w:pPr>
        <w:spacing w:after="0" w:line="34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Bernardo E. Correa-Henschke</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tabs>
          <w:tab w:leader="none" w:pos="23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Bernardo E. Correa-Henschke</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 and Manager</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SHAWMUT BANK CONNECTICUT, N.A.</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Robert F. West</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Robert F. West</w:t>
      </w:r>
    </w:p>
    <w:p>
      <w:pPr>
        <w:ind w:left="1780"/>
        <w:spacing w:after="0" w:line="238" w:lineRule="auto"/>
        <w:rPr>
          <w:sz w:val="20"/>
          <w:szCs w:val="20"/>
          <w:color w:val="auto"/>
        </w:rPr>
      </w:pPr>
      <w:r>
        <w:rPr>
          <w:rFonts w:ascii="Courier New" w:cs="Courier New" w:eastAsia="Courier New" w:hAnsi="Courier New"/>
          <w:sz w:val="15"/>
          <w:szCs w:val="15"/>
          <w:color w:val="auto"/>
        </w:rPr>
        <w:t>Title: Director</w:t>
      </w:r>
    </w:p>
    <w:p>
      <w:pPr>
        <w:spacing w:after="0" w:line="16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VAN KAMPEN PRIME RATE INCOME TRUST</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Jeffrey W. Maillet</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Jeffrey W. Maillet</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w:t>
      </w:r>
    </w:p>
    <w:p>
      <w:pPr>
        <w:ind w:left="2760" w:hanging="179"/>
        <w:spacing w:after="0"/>
        <w:tabs>
          <w:tab w:leader="none" w:pos="27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Portfolio Mgr.</w:t>
      </w:r>
    </w:p>
    <w:p>
      <w:pPr>
        <w:spacing w:after="0" w:line="338" w:lineRule="exact"/>
        <w:rPr>
          <w:rFonts w:ascii="Courier New" w:cs="Courier New" w:eastAsia="Courier New" w:hAnsi="Courier New"/>
          <w:sz w:val="15"/>
          <w:szCs w:val="15"/>
          <w:color w:val="auto"/>
        </w:rPr>
      </w:pPr>
    </w:p>
    <w:p>
      <w:pPr>
        <w:ind w:left="15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FIRST HAWAIIAN BANK</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William B. Schink</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William B. Schink</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BAYERISCHE VEREINS BANK, A.G.</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John Carlson</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John Carlson</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16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Sylvia Cheng</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Sylvia Cheng</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BANK OF HAWAII</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J. Bryan Scearce</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J. Bryan Scearce</w:t>
      </w:r>
    </w:p>
    <w:p>
      <w:pPr>
        <w:ind w:left="1780"/>
        <w:spacing w:after="0" w:line="238" w:lineRule="auto"/>
        <w:rPr>
          <w:sz w:val="20"/>
          <w:szCs w:val="20"/>
          <w:color w:val="auto"/>
        </w:rPr>
      </w:pPr>
      <w:r>
        <w:rPr>
          <w:rFonts w:ascii="Courier New" w:cs="Courier New" w:eastAsia="Courier New" w:hAnsi="Courier New"/>
          <w:sz w:val="15"/>
          <w:szCs w:val="15"/>
          <w:color w:val="auto"/>
        </w:rPr>
        <w:t>Title: Associate Vice President</w:t>
      </w:r>
    </w:p>
    <w:p>
      <w:pPr>
        <w:spacing w:after="0" w:line="33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019"/>
          </w:cols>
          <w:pgMar w:left="1440" w:top="627" w:right="1440" w:bottom="1440" w:gutter="0" w:footer="0" w:header="0"/>
        </w:sectPr>
      </w:pPr>
    </w:p>
    <w:bookmarkStart w:id="169" w:name="page170"/>
    <w:bookmarkEnd w:id="169"/>
    <w:p>
      <w:pPr>
        <w:ind w:left="1520"/>
        <w:spacing w:after="0"/>
        <w:rPr>
          <w:sz w:val="20"/>
          <w:szCs w:val="20"/>
          <w:color w:val="auto"/>
        </w:rPr>
      </w:pPr>
      <w:r>
        <w:rPr>
          <w:rFonts w:ascii="Courier New" w:cs="Courier New" w:eastAsia="Courier New" w:hAnsi="Courier New"/>
          <w:sz w:val="14"/>
          <w:szCs w:val="14"/>
          <w:color w:val="auto"/>
        </w:rPr>
        <w:t>THE SUMITOMO TRUST BANKING COMPANY, LTD.</w:t>
      </w:r>
    </w:p>
    <w:p>
      <w:pPr>
        <w:spacing w:after="0" w:line="200" w:lineRule="exact"/>
        <w:rPr>
          <w:sz w:val="20"/>
          <w:szCs w:val="20"/>
          <w:color w:val="auto"/>
        </w:rPr>
      </w:pPr>
    </w:p>
    <w:p>
      <w:pPr>
        <w:spacing w:after="0" w:line="31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Suraj P. Bhatia</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Suraj P. Bhatia</w:t>
      </w:r>
    </w:p>
    <w:p>
      <w:pPr>
        <w:ind w:left="1780"/>
        <w:spacing w:after="0" w:line="238" w:lineRule="auto"/>
        <w:rPr>
          <w:sz w:val="20"/>
          <w:szCs w:val="20"/>
          <w:color w:val="auto"/>
        </w:rPr>
      </w:pPr>
      <w:r>
        <w:rPr>
          <w:rFonts w:ascii="Courier New" w:cs="Courier New" w:eastAsia="Courier New" w:hAnsi="Courier New"/>
          <w:sz w:val="15"/>
          <w:szCs w:val="15"/>
          <w:color w:val="auto"/>
        </w:rPr>
        <w:t>Title: Senior Vice President</w:t>
      </w:r>
    </w:p>
    <w:p>
      <w:pPr>
        <w:ind w:left="2400"/>
        <w:spacing w:after="0"/>
        <w:rPr>
          <w:sz w:val="20"/>
          <w:szCs w:val="20"/>
          <w:color w:val="auto"/>
        </w:rPr>
      </w:pPr>
      <w:r>
        <w:rPr>
          <w:rFonts w:ascii="Courier New" w:cs="Courier New" w:eastAsia="Courier New" w:hAnsi="Courier New"/>
          <w:sz w:val="15"/>
          <w:szCs w:val="15"/>
          <w:color w:val="auto"/>
        </w:rPr>
        <w:t>Manager, Corp.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019"/>
          </w:cols>
          <w:pgMar w:left="1440" w:top="628" w:right="1440" w:bottom="1440" w:gutter="0" w:footer="0" w:header="0"/>
        </w:sectPr>
      </w:pPr>
    </w:p>
    <w:bookmarkStart w:id="170" w:name="page171"/>
    <w:bookmarkEnd w:id="170"/>
    <w:p>
      <w:pPr>
        <w:ind w:left="3160"/>
        <w:spacing w:after="0"/>
        <w:rPr>
          <w:sz w:val="20"/>
          <w:szCs w:val="20"/>
          <w:color w:val="auto"/>
        </w:rPr>
      </w:pPr>
      <w:r>
        <w:rPr>
          <w:rFonts w:ascii="Courier New" w:cs="Courier New" w:eastAsia="Courier New" w:hAnsi="Courier New"/>
          <w:sz w:val="15"/>
          <w:szCs w:val="15"/>
          <w:color w:val="auto"/>
        </w:rPr>
        <w:t>AMENDMENT</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This Amendment ("Amendment"), dated as of November 17, 1995, shall</w:t>
      </w:r>
    </w:p>
    <w:p>
      <w:pPr>
        <w:spacing w:after="0"/>
        <w:rPr>
          <w:sz w:val="20"/>
          <w:szCs w:val="20"/>
          <w:color w:val="auto"/>
        </w:rPr>
      </w:pPr>
      <w:r>
        <w:rPr>
          <w:rFonts w:ascii="Courier New" w:cs="Courier New" w:eastAsia="Courier New" w:hAnsi="Courier New"/>
          <w:sz w:val="15"/>
          <w:szCs w:val="15"/>
          <w:color w:val="auto"/>
        </w:rPr>
        <w:t>be:</w:t>
      </w:r>
    </w:p>
    <w:p>
      <w:pPr>
        <w:spacing w:after="0" w:line="174" w:lineRule="exact"/>
        <w:rPr>
          <w:sz w:val="20"/>
          <w:szCs w:val="20"/>
          <w:color w:val="auto"/>
        </w:rPr>
      </w:pPr>
    </w:p>
    <w:p>
      <w:pPr>
        <w:ind w:right="3179" w:firstLine="970"/>
        <w:spacing w:after="0" w:line="238" w:lineRule="auto"/>
        <w:rPr>
          <w:sz w:val="20"/>
          <w:szCs w:val="20"/>
          <w:color w:val="auto"/>
        </w:rPr>
      </w:pPr>
      <w:r>
        <w:rPr>
          <w:rFonts w:ascii="Courier New" w:cs="Courier New" w:eastAsia="Courier New" w:hAnsi="Courier New"/>
          <w:sz w:val="15"/>
          <w:szCs w:val="15"/>
          <w:color w:val="auto"/>
        </w:rPr>
        <w:t>AMENDMENT NO. 4 to the $6.489 BILLION CREDIT AGREEMENT, dated as of July 1, 1994, as amended, ("Parent Facility") among VIACOM INC., a Delaware corporation ("Viacom"), each of the several Banks, THE BANK OF NEW YORK, as a Managing Agent and as the Documentation Agent, CITIBANK, N.A., as a Managing Agent and as the Administrative Agent, MORGAN GUARANTY TRUST COMPANY OF NEW YORK, as a Managing Agent, JP MORGAN SECURITIES INC., as the Syndication Agent, BANK OF AMERICA NT&amp;SA, as a Managing Agent, the Banks identified as Agents on the signature pages thereof, as Agents, and the Banks identified as Co-Agents on the signature pages thereof, as Co-Agents.</w:t>
      </w:r>
    </w:p>
    <w:p>
      <w:pPr>
        <w:spacing w:after="0" w:line="179" w:lineRule="exact"/>
        <w:rPr>
          <w:sz w:val="20"/>
          <w:szCs w:val="20"/>
          <w:color w:val="auto"/>
        </w:rPr>
      </w:pPr>
    </w:p>
    <w:p>
      <w:pPr>
        <w:ind w:right="3179" w:firstLine="970"/>
        <w:spacing w:after="0" w:line="238" w:lineRule="auto"/>
        <w:rPr>
          <w:sz w:val="20"/>
          <w:szCs w:val="20"/>
          <w:color w:val="auto"/>
        </w:rPr>
      </w:pPr>
      <w:r>
        <w:rPr>
          <w:rFonts w:ascii="Courier New" w:cs="Courier New" w:eastAsia="Courier New" w:hAnsi="Courier New"/>
          <w:sz w:val="15"/>
          <w:szCs w:val="15"/>
          <w:color w:val="auto"/>
        </w:rPr>
        <w:t>AMENDMENT NO. 3 to the $311 MILLION CREDIT AGREEMENT, dated as of July 1, 1994, as amended, (the "Subsidiary Facility") among VIACOM CABLEVISION OF DAYTON INC., WNYT INC., WMZQ INC., WVIT INC., AND VIACOM INTERNATIONAL INC., each a Delaware corporation (collectively "Subsidiary Borrowers"), each of the several Banks, THE BANK OF NEW YORK, as a Managing Agent and as the Documentation Agent, CITIBANK, N.A., as a Managing Agent and as the Administrative Agent, MORGAN GUARANTY TRUST COMPANY OF NEW YORK, as a Managing Agent, JP MORGAN SECURITIES INC., as the Syndication Agent, BANK OF AMERICA NT&amp;SA, as a Managing Agent, the Banks identified as Agents of the signature pages thereof, as Agents, and the Banks identified as Co-Agents on the signature pages thereof, as Co-Agents.</w:t>
      </w:r>
    </w:p>
    <w:p>
      <w:pPr>
        <w:spacing w:after="0" w:line="17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WITNESSETH:</w:t>
      </w:r>
    </w:p>
    <w:p>
      <w:pPr>
        <w:spacing w:after="0" w:line="175" w:lineRule="exact"/>
        <w:rPr>
          <w:sz w:val="20"/>
          <w:szCs w:val="20"/>
          <w:color w:val="auto"/>
        </w:rPr>
      </w:pPr>
    </w:p>
    <w:p>
      <w:pPr>
        <w:ind w:right="3179" w:firstLine="970"/>
        <w:spacing w:after="0" w:line="257" w:lineRule="auto"/>
        <w:rPr>
          <w:sz w:val="20"/>
          <w:szCs w:val="20"/>
          <w:color w:val="auto"/>
        </w:rPr>
      </w:pPr>
      <w:r>
        <w:rPr>
          <w:rFonts w:ascii="Courier New" w:cs="Courier New" w:eastAsia="Courier New" w:hAnsi="Courier New"/>
          <w:sz w:val="14"/>
          <w:szCs w:val="14"/>
          <w:color w:val="auto"/>
        </w:rPr>
        <w:t>WHEREAS, Viacom, Viacom International Inc., a wholly-owned subsidiary of Viacom ("VII"), Viacom International Services Inc., a wholly-owned subsidiary of VII ("VII Services"), Tele-Communications Inc. ("TCI"), and TCI Communications Inc. ("TCI Sub"), a wholly-owned subsidiary of TCI, have entered into a series of agreements ("the Transaction Documents", which are listed on Schedule I attached hereto) pursuant to which (i) VII will convey to VII Services proceeds from the $1.7 billion bank debt described below and all of its assets relating to business operations other than the cable television business (the "Non Cable Businesses"), and VII Services will assume all of VII's liabilities (including its existing public debt and bank debt) other than the $1.7 Billion bank debt described below and liabilities relating to the cable television business (the "Cable Business"), (ii) VII will distribute the stock of VII Services to Viacom (the "First Distribution"), (iii) VII, after giving</w:t>
      </w:r>
    </w:p>
    <w:p>
      <w:pPr>
        <w:sectPr>
          <w:pgSz w:w="11900" w:h="16838" w:orient="portrait"/>
          <w:cols w:equalWidth="0" w:num="1">
            <w:col w:w="10219"/>
          </w:cols>
          <w:pgMar w:left="240" w:top="622" w:right="1440" w:bottom="1440" w:gutter="0" w:footer="0" w:header="0"/>
        </w:sectPr>
      </w:pPr>
    </w:p>
    <w:bookmarkStart w:id="171" w:name="page172"/>
    <w:bookmarkEnd w:id="171"/>
    <w:p>
      <w:pPr>
        <w:ind w:right="3179"/>
        <w:spacing w:after="0" w:line="257" w:lineRule="auto"/>
        <w:rPr>
          <w:sz w:val="20"/>
          <w:szCs w:val="20"/>
          <w:color w:val="auto"/>
        </w:rPr>
      </w:pPr>
      <w:r>
        <w:rPr>
          <w:rFonts w:ascii="Courier New" w:cs="Courier New" w:eastAsia="Courier New" w:hAnsi="Courier New"/>
          <w:sz w:val="14"/>
          <w:szCs w:val="14"/>
          <w:color w:val="auto"/>
        </w:rPr>
        <w:t>effect to the First Distribution, will be solely engaged in the Cable Business and VII will be recapitalized with new VII Class A common stock, (iv) the Class A common stock of VII will be split off to the shareholders of Viacom in an exchange offer (the "Exchange Offer") in which shares of Viacom common stock will be exchanged for shares of VII Class A common stock, (v) VII prior to the expiration of the Exchange Offer will borrow $1.7 billion from a syndicate of lenders, the proceeds of which will be deposited in a secured collateral account until the date of consummation of the Exchange Offer when VII will transfer such proceeds to VII Services as described above, and (vi) immediately after the split off, TCI has agreed to purchase Class B common stock of VII and the Class A common stock will be automatically converted upon such purchase into preferred stock, and (vii) VII will no longer be a subsidiary of Viacom and will be renamed TCI Pacific Communications Inc. and VII Services will be renamed Viacom International Inc. (collectively the "Cable Transaction"); and</w:t>
      </w:r>
    </w:p>
    <w:p>
      <w:pPr>
        <w:spacing w:after="0" w:line="165" w:lineRule="exact"/>
        <w:rPr>
          <w:sz w:val="20"/>
          <w:szCs w:val="20"/>
          <w:color w:val="auto"/>
        </w:rPr>
      </w:pPr>
    </w:p>
    <w:p>
      <w:pPr>
        <w:ind w:right="3179" w:firstLine="970"/>
        <w:spacing w:after="0" w:line="260" w:lineRule="auto"/>
        <w:rPr>
          <w:sz w:val="20"/>
          <w:szCs w:val="20"/>
          <w:color w:val="auto"/>
        </w:rPr>
      </w:pPr>
      <w:r>
        <w:rPr>
          <w:rFonts w:ascii="Courier New" w:cs="Courier New" w:eastAsia="Courier New" w:hAnsi="Courier New"/>
          <w:sz w:val="14"/>
          <w:szCs w:val="14"/>
          <w:color w:val="auto"/>
        </w:rPr>
        <w:t>WHEREAS, Viacom and the Subsidiary Borrowers have requested certain amendments to be made to and certain consents obtained with respect to certain provisions of the Parent Facility and the Subsidiary Facility, respectively; and</w:t>
      </w:r>
    </w:p>
    <w:p>
      <w:pPr>
        <w:spacing w:after="0" w:line="163" w:lineRule="exact"/>
        <w:rPr>
          <w:sz w:val="20"/>
          <w:szCs w:val="20"/>
          <w:color w:val="auto"/>
        </w:rPr>
      </w:pPr>
    </w:p>
    <w:p>
      <w:pPr>
        <w:ind w:right="3359" w:firstLine="970"/>
        <w:spacing w:after="0" w:line="237" w:lineRule="auto"/>
        <w:rPr>
          <w:sz w:val="20"/>
          <w:szCs w:val="20"/>
          <w:color w:val="auto"/>
        </w:rPr>
      </w:pPr>
      <w:r>
        <w:rPr>
          <w:rFonts w:ascii="Courier New" w:cs="Courier New" w:eastAsia="Courier New" w:hAnsi="Courier New"/>
          <w:sz w:val="15"/>
          <w:szCs w:val="15"/>
          <w:color w:val="auto"/>
        </w:rPr>
        <w:t>WHEREAS, the parties who have heretofore entered into the Parent Facility and the Subsidiary Facility now desire to amend certain provisions of such agreements and for the Majority Banks to consent to the waiver of the application of certain other provisions in connection with the Cable Transaction,</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NOW THEREFORE, the parties hereto agree as follows:</w:t>
      </w:r>
    </w:p>
    <w:p>
      <w:pPr>
        <w:spacing w:after="0" w:line="169" w:lineRule="exact"/>
        <w:rPr>
          <w:sz w:val="20"/>
          <w:szCs w:val="20"/>
          <w:color w:val="auto"/>
        </w:rPr>
      </w:pPr>
    </w:p>
    <w:p>
      <w:pPr>
        <w:ind w:left="960"/>
        <w:spacing w:after="0"/>
        <w:tabs>
          <w:tab w:leader="none" w:pos="200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4"/>
          <w:szCs w:val="14"/>
          <w:color w:val="auto"/>
        </w:rPr>
        <w:t>Amendments.</w:t>
      </w:r>
    </w:p>
    <w:p>
      <w:pPr>
        <w:spacing w:after="0" w:line="175" w:lineRule="exact"/>
        <w:rPr>
          <w:sz w:val="20"/>
          <w:szCs w:val="20"/>
          <w:color w:val="auto"/>
        </w:rPr>
      </w:pPr>
    </w:p>
    <w:p>
      <w:pPr>
        <w:ind w:right="3259" w:firstLine="1401"/>
        <w:spacing w:after="0" w:line="238" w:lineRule="auto"/>
        <w:tabs>
          <w:tab w:leader="none" w:pos="1763"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definition of Net Cash Proceeds in Section 1.1 of the Parent Facility is hereby amended by adding the following provisions: "(v) with reference to proceeds from any sale of Spelling Entertainment Group Inc., the net amount paid by the Borrower for the portion of Virgin Interactive Entertainment Limited ("VIEL") not theretofore directly or indirectly owned by the Borrower, and (vi) with reference to proceeds from any sale of Spelling Entertainment Group Inc., that portion of the Net Cash Proceeds attributable to repayment of Indebtedness owed by Spelling Entertainment Group Inc. to the Borrower;"</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8" w:right="1440" w:bottom="1440" w:gutter="0" w:footer="0" w:header="0"/>
        </w:sectPr>
      </w:pPr>
    </w:p>
    <w:bookmarkStart w:id="172" w:name="page173"/>
    <w:bookmarkEnd w:id="172"/>
    <w:p>
      <w:pPr>
        <w:ind w:right="3259" w:firstLine="1401"/>
        <w:spacing w:after="0" w:line="235" w:lineRule="auto"/>
        <w:tabs>
          <w:tab w:leader="none" w:pos="1763"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2.3 (b) of the Parent Facility is hereby amended by replacing it in its entirety with the following:</w:t>
      </w:r>
    </w:p>
    <w:p>
      <w:pPr>
        <w:spacing w:after="0" w:line="176" w:lineRule="exact"/>
        <w:rPr>
          <w:sz w:val="20"/>
          <w:szCs w:val="20"/>
          <w:color w:val="auto"/>
        </w:rPr>
      </w:pPr>
    </w:p>
    <w:p>
      <w:pPr>
        <w:ind w:right="3179" w:firstLine="1851"/>
        <w:spacing w:after="0" w:line="238" w:lineRule="auto"/>
        <w:rPr>
          <w:sz w:val="20"/>
          <w:szCs w:val="20"/>
          <w:color w:val="auto"/>
        </w:rPr>
      </w:pPr>
      <w:r>
        <w:rPr>
          <w:rFonts w:ascii="Courier New" w:cs="Courier New" w:eastAsia="Courier New" w:hAnsi="Courier New"/>
          <w:sz w:val="15"/>
          <w:szCs w:val="15"/>
          <w:color w:val="auto"/>
        </w:rPr>
        <w:t>"2.3(b) Mandatory Reductions. The Borrower shall reduce the Short-Term Loan Commitment of each Bank by (i) each Bank's Ratable Portion of the amount received by the Borrower from VII Services representing the loan proceeds from VII in connection with the consummation of the Exchange Offer (the "Cable Transaction Effective Date") and (ii) in the event that the Cable Transaction Effective Date has not occurred by May 31, 1996, by each Bank's Ratable Portion of the amount by which any Net Cash Proceeds received by the Borrower from the sale of Spelling Entertainment Group Inc. (or any of its subsidiaries other than VIEL) exceed $150 million. After the Short-Term Loan Commitments have been reduced to $0 and all Short-Term Loans have been repaid, no mandatory reductions of any Commitment shall be required from Net Cash Proceeds".</w:t>
      </w:r>
    </w:p>
    <w:p>
      <w:pPr>
        <w:spacing w:after="0" w:line="182" w:lineRule="exact"/>
        <w:rPr>
          <w:sz w:val="20"/>
          <w:szCs w:val="20"/>
          <w:color w:val="auto"/>
        </w:rPr>
      </w:pPr>
    </w:p>
    <w:p>
      <w:pPr>
        <w:ind w:right="3539" w:firstLine="1401"/>
        <w:spacing w:after="0" w:line="235" w:lineRule="auto"/>
        <w:tabs>
          <w:tab w:leader="none" w:pos="1763"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10.6 of the Parent Facility is hereby amended by replacing it in its entirety with the following:</w:t>
      </w:r>
    </w:p>
    <w:p>
      <w:pPr>
        <w:spacing w:after="0" w:line="176" w:lineRule="exact"/>
        <w:rPr>
          <w:sz w:val="20"/>
          <w:szCs w:val="20"/>
          <w:color w:val="auto"/>
        </w:rPr>
      </w:pPr>
    </w:p>
    <w:p>
      <w:pPr>
        <w:ind w:right="3179" w:firstLine="1851"/>
        <w:spacing w:after="0" w:line="257" w:lineRule="auto"/>
        <w:rPr>
          <w:sz w:val="20"/>
          <w:szCs w:val="20"/>
          <w:color w:val="auto"/>
        </w:rPr>
      </w:pPr>
      <w:r>
        <w:rPr>
          <w:rFonts w:ascii="Courier New" w:cs="Courier New" w:eastAsia="Courier New" w:hAnsi="Courier New"/>
          <w:sz w:val="14"/>
          <w:szCs w:val="14"/>
          <w:color w:val="auto"/>
        </w:rPr>
        <w:t>"10.6. Subsidiary Indebtedness. The Borrower shall not permit any of its Subsidiaries, other than the Guarantor Subsidiary, to incur Indebtedness for borrowed money other than (a) the Subsidiary Loans (as defined in the Subsidiary Facility), (b) under existing facilities identified on Schedule 10.6 to this Amendment No. 4 or any replacement facilities thereto which in the aggregate do not exceed the amounts of the commitments on such Schedule and (c) Indebtedness for borrowed money in an aggregate amount at any time outstanding of not more than $300 million; provided, however, the aggregate amount of Indebtedness for borrowed money scheduled to mature earlier than six months after the Commitment Termination Date at any time permitted to be outstanding under 10.6(c) and 10.7(b) may not exceed $300 million."</w:t>
      </w:r>
    </w:p>
    <w:p>
      <w:pPr>
        <w:spacing w:after="0" w:line="166" w:lineRule="exact"/>
        <w:rPr>
          <w:sz w:val="20"/>
          <w:szCs w:val="20"/>
          <w:color w:val="auto"/>
        </w:rPr>
      </w:pPr>
    </w:p>
    <w:p>
      <w:pPr>
        <w:ind w:right="3539" w:firstLine="1401"/>
        <w:spacing w:after="0" w:line="235" w:lineRule="auto"/>
        <w:tabs>
          <w:tab w:leader="none" w:pos="1763"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10.7 of the Parent Facility is hereby amended by replacing it in its entirety with the following:</w:t>
      </w:r>
    </w:p>
    <w:p>
      <w:pPr>
        <w:spacing w:after="0" w:line="176" w:lineRule="exact"/>
        <w:rPr>
          <w:sz w:val="20"/>
          <w:szCs w:val="20"/>
          <w:color w:val="auto"/>
        </w:rPr>
      </w:pPr>
    </w:p>
    <w:p>
      <w:pPr>
        <w:ind w:right="3259" w:firstLine="1851"/>
        <w:spacing w:after="0" w:line="258" w:lineRule="auto"/>
        <w:rPr>
          <w:sz w:val="20"/>
          <w:szCs w:val="20"/>
          <w:color w:val="auto"/>
        </w:rPr>
      </w:pPr>
      <w:r>
        <w:rPr>
          <w:rFonts w:ascii="Courier New" w:cs="Courier New" w:eastAsia="Courier New" w:hAnsi="Courier New"/>
          <w:sz w:val="14"/>
          <w:szCs w:val="14"/>
          <w:color w:val="auto"/>
        </w:rPr>
        <w:t>"10.7. Other Restrictions on Indebtedness. The Borrower shall not, and shall not permit the Guarantor Subsidiary to, incur Indebtedness for borrowed money maturing earlier than six months after the Commitment Termination Date other than (a) Commercial Paper and (b) up to $300 million at any time outstanding (less the aggregate amount outstanding under 10.6(c)</w:t>
      </w:r>
    </w:p>
    <w:p>
      <w:pPr>
        <w:spacing w:after="0" w:line="32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8" w:right="1440" w:bottom="1440" w:gutter="0" w:footer="0" w:header="0"/>
        </w:sectPr>
      </w:pPr>
    </w:p>
    <w:bookmarkStart w:id="173" w:name="page174"/>
    <w:bookmarkEnd w:id="173"/>
    <w:p>
      <w:pPr>
        <w:ind w:left="10" w:right="3539"/>
        <w:spacing w:after="0" w:line="235" w:lineRule="auto"/>
        <w:rPr>
          <w:sz w:val="20"/>
          <w:szCs w:val="20"/>
          <w:color w:val="auto"/>
        </w:rPr>
      </w:pPr>
      <w:r>
        <w:rPr>
          <w:rFonts w:ascii="Courier New" w:cs="Courier New" w:eastAsia="Courier New" w:hAnsi="Courier New"/>
          <w:sz w:val="15"/>
          <w:szCs w:val="15"/>
          <w:color w:val="auto"/>
        </w:rPr>
        <w:t>scheduled to mature earlier than six months after the Commitment Termination Date) and on terms no more onerous than the terms hereof".</w:t>
      </w:r>
    </w:p>
    <w:p>
      <w:pPr>
        <w:spacing w:after="0" w:line="176" w:lineRule="exact"/>
        <w:rPr>
          <w:sz w:val="20"/>
          <w:szCs w:val="20"/>
          <w:color w:val="auto"/>
        </w:rPr>
      </w:pPr>
    </w:p>
    <w:p>
      <w:pPr>
        <w:ind w:left="10" w:right="3259" w:firstLine="1401"/>
        <w:spacing w:after="0" w:line="235" w:lineRule="auto"/>
        <w:tabs>
          <w:tab w:leader="none" w:pos="1772"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7.5 of the Subsidiary Facility is hereby amended by replacing it in its entirety with the following:</w:t>
      </w:r>
    </w:p>
    <w:p>
      <w:pPr>
        <w:spacing w:after="0" w:line="176" w:lineRule="exact"/>
        <w:rPr>
          <w:sz w:val="20"/>
          <w:szCs w:val="20"/>
          <w:color w:val="auto"/>
        </w:rPr>
      </w:pPr>
    </w:p>
    <w:p>
      <w:pPr>
        <w:ind w:left="10" w:right="3179" w:firstLine="1851"/>
        <w:spacing w:after="0" w:line="256" w:lineRule="auto"/>
        <w:rPr>
          <w:sz w:val="20"/>
          <w:szCs w:val="20"/>
          <w:color w:val="auto"/>
        </w:rPr>
      </w:pPr>
      <w:r>
        <w:rPr>
          <w:rFonts w:ascii="Courier New" w:cs="Courier New" w:eastAsia="Courier New" w:hAnsi="Courier New"/>
          <w:sz w:val="14"/>
          <w:szCs w:val="14"/>
          <w:color w:val="auto"/>
        </w:rPr>
        <w:t>"7.5 Other Restrictions on Indebtedness. No Subsidiary Borrower shall incur Indebtedness for borrowed money maturing earlier than six months after the Commitment Termination Date other than (a) Commercial Paper and</w:t>
      </w:r>
    </w:p>
    <w:p>
      <w:pPr>
        <w:spacing w:after="0" w:line="1" w:lineRule="exact"/>
        <w:rPr>
          <w:sz w:val="20"/>
          <w:szCs w:val="20"/>
          <w:color w:val="auto"/>
        </w:rPr>
      </w:pPr>
    </w:p>
    <w:p>
      <w:pPr>
        <w:ind w:left="10" w:right="3539" w:hanging="10"/>
        <w:spacing w:after="0" w:line="237" w:lineRule="auto"/>
        <w:tabs>
          <w:tab w:leader="none" w:pos="362"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$300 million at any time outstanding (less the aggregate amount outstanding scheduled to mature earlier than six months after the Commitment Termination Date under 10.6(c) of the Parent Facility)".</w:t>
      </w:r>
    </w:p>
    <w:p>
      <w:pPr>
        <w:spacing w:after="0" w:line="174" w:lineRule="exact"/>
        <w:rPr>
          <w:rFonts w:ascii="Courier New" w:cs="Courier New" w:eastAsia="Courier New" w:hAnsi="Courier New"/>
          <w:sz w:val="15"/>
          <w:szCs w:val="15"/>
          <w:color w:val="auto"/>
        </w:rPr>
      </w:pPr>
    </w:p>
    <w:p>
      <w:pPr>
        <w:ind w:left="10" w:right="3259" w:firstLine="1401"/>
        <w:spacing w:after="0" w:line="237" w:lineRule="auto"/>
        <w:tabs>
          <w:tab w:leader="none" w:pos="1772"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13.1 of the Parent Facility is hereby amended by deleting the word "or" preceding clause (f) thereof and inserting the following new clause (g): "or (g) amend clause (i) of Section 13.6".</w:t>
      </w:r>
    </w:p>
    <w:p>
      <w:pPr>
        <w:spacing w:after="0" w:line="174" w:lineRule="exact"/>
        <w:rPr>
          <w:rFonts w:ascii="Courier New" w:cs="Courier New" w:eastAsia="Courier New" w:hAnsi="Courier New"/>
          <w:sz w:val="15"/>
          <w:szCs w:val="15"/>
          <w:color w:val="auto"/>
        </w:rPr>
      </w:pPr>
    </w:p>
    <w:p>
      <w:pPr>
        <w:ind w:left="10" w:right="3179" w:firstLine="1401"/>
        <w:spacing w:after="0" w:line="237" w:lineRule="auto"/>
        <w:tabs>
          <w:tab w:leader="none" w:pos="1772"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10.1 of the Subsidiary Facility is hereby amended by deleting the word "or" preceding clause (f) and inserting the following new clause (g): "or (g) amend clause (i) of Section 10.6".</w:t>
      </w:r>
    </w:p>
    <w:p>
      <w:pPr>
        <w:spacing w:after="0" w:line="174" w:lineRule="exact"/>
        <w:rPr>
          <w:rFonts w:ascii="Courier New" w:cs="Courier New" w:eastAsia="Courier New" w:hAnsi="Courier New"/>
          <w:sz w:val="15"/>
          <w:szCs w:val="15"/>
          <w:color w:val="auto"/>
        </w:rPr>
      </w:pPr>
    </w:p>
    <w:p>
      <w:pPr>
        <w:ind w:left="10" w:right="3179" w:firstLine="1401"/>
        <w:spacing w:after="0" w:line="238" w:lineRule="auto"/>
        <w:tabs>
          <w:tab w:leader="none" w:pos="1772"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Clause (i) of Section 13.6 of the Parent Facility is hereby amended to read in its entirety as follows: "the Borrower shall have no right to assign its rights or obligations hereunder or any interest herein (and any such purported assignment shall be void) without the prior consent of the Banks except in connection with any (x) merger or consolidation permitted under Section 10.2 or (y) merger, consolidation or sale of assets consented to by the Majority Banks".</w:t>
      </w:r>
    </w:p>
    <w:p>
      <w:pPr>
        <w:spacing w:after="0" w:line="176" w:lineRule="exact"/>
        <w:rPr>
          <w:rFonts w:ascii="Courier New" w:cs="Courier New" w:eastAsia="Courier New" w:hAnsi="Courier New"/>
          <w:sz w:val="15"/>
          <w:szCs w:val="15"/>
          <w:color w:val="auto"/>
        </w:rPr>
      </w:pPr>
    </w:p>
    <w:p>
      <w:pPr>
        <w:ind w:left="10" w:right="3179" w:firstLine="1401"/>
        <w:spacing w:after="0" w:line="238" w:lineRule="auto"/>
        <w:tabs>
          <w:tab w:leader="none" w:pos="1772"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Clause (i) of Section 10.6 of the Subsidiary Facility is hereby amended to read in its entirety as follows: "no Subsidiary Borrower shall have the right to assign its rights or obligations hereunder or any interest herein (and any such purported assignment shall be void) without the prior consent of the Banks, except in connection with any (x) merger or consolidation permitted under Section 10.2 of the Parent Facility or (y) merger, consolidation or sale of assets consented to by the Majority Banks".</w:t>
      </w:r>
    </w:p>
    <w:p>
      <w:pPr>
        <w:spacing w:after="0" w:line="171" w:lineRule="exact"/>
        <w:rPr>
          <w:sz w:val="20"/>
          <w:szCs w:val="20"/>
          <w:color w:val="auto"/>
        </w:rPr>
      </w:pPr>
    </w:p>
    <w:p>
      <w:pPr>
        <w:ind w:left="970"/>
        <w:spacing w:after="0"/>
        <w:tabs>
          <w:tab w:leader="none" w:pos="2009" w:val="left"/>
          <w:tab w:leader="none" w:pos="2969" w:val="left"/>
        </w:tabs>
        <w:rPr>
          <w:sz w:val="20"/>
          <w:szCs w:val="20"/>
          <w:color w:val="auto"/>
        </w:rPr>
      </w:pPr>
      <w:r>
        <w:rPr>
          <w:rFonts w:ascii="Courier New" w:cs="Courier New" w:eastAsia="Courier New" w:hAnsi="Courier New"/>
          <w:sz w:val="15"/>
          <w:szCs w:val="15"/>
          <w:color w:val="auto"/>
        </w:rPr>
        <w:t>SECTION 2.</w:t>
        <w:tab/>
        <w:t>Consents.</w:t>
      </w:r>
      <w:r>
        <w:rPr>
          <w:sz w:val="20"/>
          <w:szCs w:val="20"/>
          <w:color w:val="auto"/>
        </w:rPr>
        <w:tab/>
      </w:r>
      <w:r>
        <w:rPr>
          <w:rFonts w:ascii="Courier New" w:cs="Courier New" w:eastAsia="Courier New" w:hAnsi="Courier New"/>
          <w:sz w:val="14"/>
          <w:szCs w:val="14"/>
          <w:color w:val="auto"/>
        </w:rPr>
        <w:t>In connection with the Cable Transaction:</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9"/>
          </w:cols>
          <w:pgMar w:left="230" w:top="628" w:right="1440" w:bottom="1440" w:gutter="0" w:footer="0" w:header="0"/>
        </w:sectPr>
      </w:pPr>
    </w:p>
    <w:bookmarkStart w:id="174" w:name="page175"/>
    <w:bookmarkEnd w:id="174"/>
    <w:p>
      <w:pPr>
        <w:ind w:right="3259" w:firstLine="1401"/>
        <w:spacing w:after="0" w:line="238" w:lineRule="auto"/>
        <w:tabs>
          <w:tab w:leader="none" w:pos="1763"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Cable Transaction Effective Date, the Guarantor Subsidiary may assign all of its rights and obligations under the VII Guaranty to VII Services (which will change its name to Viacom International Inc.) if in connection therewith VII Services (i) assumes all of the obligations of VII under the VII Guaranty and (ii) receives an assignment of the Non Cable Businesses. VII Services will become the Guarantor Subsidiary and VII will be released from all of its obligations thereunder.</w:t>
      </w:r>
    </w:p>
    <w:p>
      <w:pPr>
        <w:spacing w:after="0" w:line="176" w:lineRule="exact"/>
        <w:rPr>
          <w:rFonts w:ascii="Courier New" w:cs="Courier New" w:eastAsia="Courier New" w:hAnsi="Courier New"/>
          <w:sz w:val="15"/>
          <w:szCs w:val="15"/>
          <w:color w:val="auto"/>
        </w:rPr>
      </w:pPr>
    </w:p>
    <w:p>
      <w:pPr>
        <w:ind w:right="3179" w:firstLine="1401"/>
        <w:spacing w:after="0" w:line="258" w:lineRule="auto"/>
        <w:tabs>
          <w:tab w:leader="none" w:pos="1763"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Cable Transaction Effective Date, the Subsidiary Loan made to VII under the Subsidiary Facility may be assigned to VII Services if in connection therewith VII Services (i) assumes all of the obligations of VII under the Subsidiary Loan and (ii) receives an assignment of the Non Cable Businesses. VII Services will become a Subsidiary Borrower under the Subsidiary Facility and VII will be released from all of its obligations thereunder.</w:t>
      </w:r>
    </w:p>
    <w:p>
      <w:pPr>
        <w:spacing w:after="0" w:line="163" w:lineRule="exact"/>
        <w:rPr>
          <w:rFonts w:ascii="Courier New" w:cs="Courier New" w:eastAsia="Courier New" w:hAnsi="Courier New"/>
          <w:sz w:val="14"/>
          <w:szCs w:val="14"/>
          <w:color w:val="auto"/>
        </w:rPr>
      </w:pPr>
    </w:p>
    <w:p>
      <w:pPr>
        <w:ind w:right="3179" w:firstLine="1401"/>
        <w:spacing w:after="0" w:line="238" w:lineRule="auto"/>
        <w:tabs>
          <w:tab w:leader="none" w:pos="1763"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expiration of the Exchange Offer, VII may borrow $1.7 billion from a syndicate of banks on terms permitted pursuant to the Transaction Documents substantially in the form of those in effect at the date hereof and may grant such banks a Lien on such funds until they are released to VII Services on the date of consummation of the Exchange Offer and a lien on rights under the Subscription Agreement referred to in Schedule I.</w:t>
      </w:r>
    </w:p>
    <w:p>
      <w:pPr>
        <w:spacing w:after="0" w:line="175" w:lineRule="exact"/>
        <w:rPr>
          <w:rFonts w:ascii="Courier New" w:cs="Courier New" w:eastAsia="Courier New" w:hAnsi="Courier New"/>
          <w:sz w:val="15"/>
          <w:szCs w:val="15"/>
          <w:color w:val="auto"/>
        </w:rPr>
      </w:pPr>
    </w:p>
    <w:p>
      <w:pPr>
        <w:ind w:right="3179" w:firstLine="1401"/>
        <w:spacing w:after="0" w:line="237" w:lineRule="auto"/>
        <w:tabs>
          <w:tab w:leader="none" w:pos="1763"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Cable Transaction Effective Date, VII Services may hold certain cable franchises for the benefit of VII until regulatory approvals are obtained and may assign the receivables related to such franchises to the banks lending to VII.</w:t>
      </w:r>
    </w:p>
    <w:p>
      <w:pPr>
        <w:spacing w:after="0" w:line="176" w:lineRule="exact"/>
        <w:rPr>
          <w:rFonts w:ascii="Courier New" w:cs="Courier New" w:eastAsia="Courier New" w:hAnsi="Courier New"/>
          <w:sz w:val="15"/>
          <w:szCs w:val="15"/>
          <w:color w:val="auto"/>
        </w:rPr>
      </w:pPr>
    </w:p>
    <w:p>
      <w:pPr>
        <w:ind w:right="3359" w:firstLine="1401"/>
        <w:spacing w:after="0" w:line="237" w:lineRule="auto"/>
        <w:tabs>
          <w:tab w:leader="none" w:pos="1763"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the Parent Facility and the Subsidiary Facility, the $1.7 Billion loan to VII shall not be considered Indebtedness of the Borrower or a Subsidiary Borrower.</w:t>
      </w:r>
    </w:p>
    <w:p>
      <w:pPr>
        <w:spacing w:after="0" w:line="175" w:lineRule="exact"/>
        <w:rPr>
          <w:sz w:val="20"/>
          <w:szCs w:val="20"/>
          <w:color w:val="auto"/>
        </w:rPr>
      </w:pPr>
    </w:p>
    <w:p>
      <w:pPr>
        <w:ind w:right="3179" w:firstLine="970"/>
        <w:spacing w:after="0" w:line="238" w:lineRule="auto"/>
        <w:rPr>
          <w:sz w:val="20"/>
          <w:szCs w:val="20"/>
          <w:color w:val="auto"/>
        </w:rPr>
      </w:pPr>
      <w:r>
        <w:rPr>
          <w:rFonts w:ascii="Courier New" w:cs="Courier New" w:eastAsia="Courier New" w:hAnsi="Courier New"/>
          <w:sz w:val="15"/>
          <w:szCs w:val="15"/>
          <w:color w:val="auto"/>
        </w:rPr>
        <w:t>Upon the execution and delivery hereof of the Majority Banks, the Majority Banks shall have consented to each of the foregoing relating to the Cable Transaction and, to the extent any of the matters described in (a) - (e) above are otherwise inconsistent with the terms of the Parent Facility or Subsidiary Facility, as hereby amended, this Amendment shall constitute a waiver of the provisions thereof to the extent necessary to permit the Cable Transaction.</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7" w:right="1440" w:bottom="1440" w:gutter="0" w:footer="0" w:header="0"/>
        </w:sectPr>
      </w:pPr>
    </w:p>
    <w:bookmarkStart w:id="175" w:name="page176"/>
    <w:bookmarkEnd w:id="175"/>
    <w:p>
      <w:pPr>
        <w:ind w:right="3179" w:firstLine="970"/>
        <w:spacing w:after="0" w:line="237" w:lineRule="auto"/>
        <w:rPr>
          <w:sz w:val="20"/>
          <w:szCs w:val="20"/>
          <w:color w:val="auto"/>
        </w:rPr>
      </w:pPr>
      <w:r>
        <w:rPr>
          <w:rFonts w:ascii="Courier New" w:cs="Courier New" w:eastAsia="Courier New" w:hAnsi="Courier New"/>
          <w:sz w:val="15"/>
          <w:szCs w:val="15"/>
          <w:color w:val="auto"/>
        </w:rPr>
        <w:t>SECTION 3. Assumption of Liabilities. As of the Cable Transaction Effective Date, VII Services hereby expressly assumes and agrees to pay, satisfy and perform when due all liabilities of VII under each Loan Document to which VII is a party. For purposes of clarity, VII's obligations under the $1.7 billion of bank debt described above will not be assumed by VII Services.</w:t>
      </w:r>
    </w:p>
    <w:p>
      <w:pPr>
        <w:spacing w:after="0" w:line="178" w:lineRule="exact"/>
        <w:rPr>
          <w:sz w:val="20"/>
          <w:szCs w:val="20"/>
          <w:color w:val="auto"/>
        </w:rPr>
      </w:pPr>
    </w:p>
    <w:p>
      <w:pPr>
        <w:ind w:right="3359" w:firstLine="970"/>
        <w:spacing w:after="0" w:line="237" w:lineRule="auto"/>
        <w:rPr>
          <w:sz w:val="20"/>
          <w:szCs w:val="20"/>
          <w:color w:val="auto"/>
        </w:rPr>
      </w:pPr>
      <w:r>
        <w:rPr>
          <w:rFonts w:ascii="Courier New" w:cs="Courier New" w:eastAsia="Courier New" w:hAnsi="Courier New"/>
          <w:sz w:val="15"/>
          <w:szCs w:val="15"/>
          <w:color w:val="auto"/>
        </w:rPr>
        <w:t>SECTION 4. Effectiveness. This Amendment will be effective upon the execution hereof by each of Viacom, each Subsidiary Borrower, VII and VII Services and the Majority Banks.</w:t>
      </w:r>
    </w:p>
    <w:p>
      <w:pPr>
        <w:spacing w:after="0" w:line="175" w:lineRule="exact"/>
        <w:rPr>
          <w:sz w:val="20"/>
          <w:szCs w:val="20"/>
          <w:color w:val="auto"/>
        </w:rPr>
      </w:pPr>
    </w:p>
    <w:p>
      <w:pPr>
        <w:ind w:right="3179" w:firstLine="970"/>
        <w:spacing w:after="0" w:line="238" w:lineRule="auto"/>
        <w:rPr>
          <w:sz w:val="20"/>
          <w:szCs w:val="20"/>
          <w:color w:val="auto"/>
        </w:rPr>
      </w:pPr>
      <w:r>
        <w:rPr>
          <w:rFonts w:ascii="Courier New" w:cs="Courier New" w:eastAsia="Courier New" w:hAnsi="Courier New"/>
          <w:sz w:val="15"/>
          <w:szCs w:val="15"/>
          <w:color w:val="auto"/>
        </w:rPr>
        <w:t>SECTION 5. Representations and Warranties. Each of Viacom, the Subsidiary Borrowers and the Guarantor Subsidiary hereby represents and warrants that (i) as of the date hereof, both before and after giving effect to this Amendment, and (ii) as of the date of, and after giving effect to consummation of, the Cable Transaction, no Default or Event of Default shall exist or be continuing under the Parent Facility or the Subsidiary Facility.</w:t>
      </w:r>
    </w:p>
    <w:p>
      <w:pPr>
        <w:spacing w:after="0" w:line="176" w:lineRule="exact"/>
        <w:rPr>
          <w:sz w:val="20"/>
          <w:szCs w:val="20"/>
          <w:color w:val="auto"/>
        </w:rPr>
      </w:pPr>
    </w:p>
    <w:p>
      <w:pPr>
        <w:ind w:right="3179" w:firstLine="970"/>
        <w:spacing w:after="0" w:line="237" w:lineRule="auto"/>
        <w:rPr>
          <w:sz w:val="20"/>
          <w:szCs w:val="20"/>
          <w:color w:val="auto"/>
        </w:rPr>
      </w:pPr>
      <w:r>
        <w:rPr>
          <w:rFonts w:ascii="Courier New" w:cs="Courier New" w:eastAsia="Courier New" w:hAnsi="Courier New"/>
          <w:sz w:val="15"/>
          <w:szCs w:val="15"/>
          <w:color w:val="auto"/>
        </w:rPr>
        <w:t>SECTION 6. Miscellaneous. (a) Capitalized terms used herein and not otherwise defined herein shall have the meanings ascribed to them in each of the Parent Facility and the Subsidiary Facility.</w:t>
      </w:r>
    </w:p>
    <w:p>
      <w:pPr>
        <w:spacing w:after="0" w:line="175" w:lineRule="exact"/>
        <w:rPr>
          <w:sz w:val="20"/>
          <w:szCs w:val="20"/>
          <w:color w:val="auto"/>
        </w:rPr>
      </w:pPr>
    </w:p>
    <w:p>
      <w:pPr>
        <w:ind w:right="3179" w:firstLine="1401"/>
        <w:spacing w:after="0" w:line="237" w:lineRule="auto"/>
        <w:tabs>
          <w:tab w:leader="none" w:pos="1763"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amended or waived hereby, all of the terms of each of the Parent Facility and the Subsidiary Facility shall remain and continue in full force and effect and are hereby confirmed in all respects.</w:t>
      </w:r>
    </w:p>
    <w:p>
      <w:pPr>
        <w:spacing w:after="0" w:line="174" w:lineRule="exact"/>
        <w:rPr>
          <w:rFonts w:ascii="Courier New" w:cs="Courier New" w:eastAsia="Courier New" w:hAnsi="Courier New"/>
          <w:sz w:val="15"/>
          <w:szCs w:val="15"/>
          <w:color w:val="auto"/>
        </w:rPr>
      </w:pPr>
    </w:p>
    <w:p>
      <w:pPr>
        <w:ind w:right="3259" w:firstLine="1401"/>
        <w:spacing w:after="0" w:line="235" w:lineRule="auto"/>
        <w:tabs>
          <w:tab w:leader="none" w:pos="1763"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shall be a Loan Document for the purposes of the Parent Facility and the Subsidiary Facility.</w:t>
      </w:r>
    </w:p>
    <w:p>
      <w:pPr>
        <w:spacing w:after="0" w:line="175" w:lineRule="exact"/>
        <w:rPr>
          <w:rFonts w:ascii="Courier New" w:cs="Courier New" w:eastAsia="Courier New" w:hAnsi="Courier New"/>
          <w:sz w:val="15"/>
          <w:szCs w:val="15"/>
          <w:color w:val="auto"/>
        </w:rPr>
      </w:pPr>
    </w:p>
    <w:p>
      <w:pPr>
        <w:ind w:right="3179" w:firstLine="1401"/>
        <w:spacing w:after="0" w:line="237" w:lineRule="auto"/>
        <w:tabs>
          <w:tab w:leader="none" w:pos="1763"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may be signed in any number of counterparts, each of which shall be an original, with the same effect as if the signatures thereto were upon the same instrument. Delivery of an executed counterpart of a signature page of this Amendment by telecopier shall be effective as delivery of a manually executed counterpart of this Amendment.</w:t>
      </w:r>
    </w:p>
    <w:p>
      <w:pPr>
        <w:spacing w:after="0" w:line="178" w:lineRule="exact"/>
        <w:rPr>
          <w:rFonts w:ascii="Courier New" w:cs="Courier New" w:eastAsia="Courier New" w:hAnsi="Courier New"/>
          <w:sz w:val="15"/>
          <w:szCs w:val="15"/>
          <w:color w:val="auto"/>
        </w:rPr>
      </w:pPr>
    </w:p>
    <w:p>
      <w:pPr>
        <w:ind w:right="3179" w:firstLine="1401"/>
        <w:spacing w:after="0" w:line="237" w:lineRule="auto"/>
        <w:tabs>
          <w:tab w:leader="none" w:pos="1763"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AND THE RIGHTS AND OBLIGATIONS OF THE PARTIES HERETO SHALL BE GOVERNED BY, AND CONSTRUED IN ACCORDANCE WITH, THE LAWS OF THE STATE OF NEW YORK.</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SECTION 7. Covenant. Viacom shall within two Business Days following</w:t>
      </w:r>
    </w:p>
    <w:p>
      <w:pPr>
        <w:spacing w:after="0" w:line="34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7" w:right="1440" w:bottom="1440" w:gutter="0" w:footer="0" w:header="0"/>
        </w:sectPr>
      </w:pPr>
    </w:p>
    <w:bookmarkStart w:id="176" w:name="page177"/>
    <w:bookmarkEnd w:id="176"/>
    <w:p>
      <w:pPr>
        <w:ind w:right="3359"/>
        <w:spacing w:after="0" w:line="235" w:lineRule="auto"/>
        <w:rPr>
          <w:sz w:val="20"/>
          <w:szCs w:val="20"/>
          <w:color w:val="auto"/>
        </w:rPr>
      </w:pPr>
      <w:r>
        <w:rPr>
          <w:rFonts w:ascii="Courier New" w:cs="Courier New" w:eastAsia="Courier New" w:hAnsi="Courier New"/>
          <w:sz w:val="15"/>
          <w:szCs w:val="15"/>
          <w:color w:val="auto"/>
        </w:rPr>
        <w:t>the Cable Transaction Effective Date deliver to the Documentation Agent, dated as of the Cable Transaction Effective Date, as to VII Services only:</w:t>
      </w:r>
    </w:p>
    <w:p>
      <w:pPr>
        <w:spacing w:after="0" w:line="176" w:lineRule="exact"/>
        <w:rPr>
          <w:sz w:val="20"/>
          <w:szCs w:val="20"/>
          <w:color w:val="auto"/>
        </w:rPr>
      </w:pPr>
    </w:p>
    <w:p>
      <w:pPr>
        <w:ind w:right="3179" w:firstLine="1048"/>
        <w:spacing w:after="0" w:line="235" w:lineRule="auto"/>
        <w:tabs>
          <w:tab w:leader="none" w:pos="141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documents referred to in Section 6.1(a), (b) and (c) of the Parent Facility;</w:t>
      </w:r>
    </w:p>
    <w:p>
      <w:pPr>
        <w:spacing w:after="0" w:line="175" w:lineRule="exact"/>
        <w:rPr>
          <w:rFonts w:ascii="Courier New" w:cs="Courier New" w:eastAsia="Courier New" w:hAnsi="Courier New"/>
          <w:sz w:val="15"/>
          <w:szCs w:val="15"/>
          <w:color w:val="auto"/>
        </w:rPr>
      </w:pPr>
    </w:p>
    <w:p>
      <w:pPr>
        <w:ind w:right="3179" w:firstLine="960"/>
        <w:spacing w:after="0" w:line="235" w:lineRule="auto"/>
        <w:tabs>
          <w:tab w:leader="none" w:pos="141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documents referred to in Section 4.1(a), (b) and (c) of the Subsidiary Facility;</w:t>
      </w:r>
    </w:p>
    <w:p>
      <w:pPr>
        <w:spacing w:after="0" w:line="175" w:lineRule="exact"/>
        <w:rPr>
          <w:rFonts w:ascii="Courier New" w:cs="Courier New" w:eastAsia="Courier New" w:hAnsi="Courier New"/>
          <w:sz w:val="15"/>
          <w:szCs w:val="15"/>
          <w:color w:val="auto"/>
        </w:rPr>
      </w:pPr>
    </w:p>
    <w:p>
      <w:pPr>
        <w:ind w:right="3179" w:firstLine="872"/>
        <w:spacing w:after="0" w:line="237" w:lineRule="auto"/>
        <w:tabs>
          <w:tab w:leader="none" w:pos="141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favorable opinion of Shearman &amp; Sterling, special counsel to the Loan Parties, with respect to this Amendment substantially to the same effect as contemplated by paragraph 1 of Exhibit E-1 to the Parent Agreement and paragraph 1 of Exhibit E-1 to the Subsidiary Agreement; and</w:t>
      </w:r>
    </w:p>
    <w:p>
      <w:pPr>
        <w:spacing w:after="0" w:line="176" w:lineRule="exact"/>
        <w:rPr>
          <w:rFonts w:ascii="Courier New" w:cs="Courier New" w:eastAsia="Courier New" w:hAnsi="Courier New"/>
          <w:sz w:val="15"/>
          <w:szCs w:val="15"/>
          <w:color w:val="auto"/>
        </w:rPr>
      </w:pPr>
    </w:p>
    <w:p>
      <w:pPr>
        <w:ind w:right="3439" w:firstLine="960"/>
        <w:spacing w:after="0" w:line="259" w:lineRule="auto"/>
        <w:tabs>
          <w:tab w:leader="none" w:pos="141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favorable opinion of Philippe P. Dauman, General Counsel to the Loan Parties, with respect to this Amendment substantially to the same effect as contemplated by paragraphs 1 - 6 of Exhibit E-2 to the Parent Agreement and paragraphs 1 - 6 of Exhibit E-2 to the Subsidiary Agreement.</w:t>
      </w:r>
    </w:p>
    <w:p>
      <w:pPr>
        <w:spacing w:after="0" w:line="163" w:lineRule="exact"/>
        <w:rPr>
          <w:sz w:val="20"/>
          <w:szCs w:val="20"/>
          <w:color w:val="auto"/>
        </w:rPr>
      </w:pPr>
    </w:p>
    <w:p>
      <w:pPr>
        <w:jc w:val="both"/>
        <w:ind w:right="3359" w:firstLine="970"/>
        <w:spacing w:after="0" w:line="260" w:lineRule="auto"/>
        <w:rPr>
          <w:sz w:val="20"/>
          <w:szCs w:val="20"/>
          <w:color w:val="auto"/>
        </w:rPr>
      </w:pPr>
      <w:r>
        <w:rPr>
          <w:rFonts w:ascii="Courier New" w:cs="Courier New" w:eastAsia="Courier New" w:hAnsi="Courier New"/>
          <w:sz w:val="14"/>
          <w:szCs w:val="14"/>
          <w:color w:val="auto"/>
        </w:rPr>
        <w:t>SECTION 8. Guarantor Subsidiary Confirmation. By signing below, the Guarantor Subsidiary hereby agrees to the terms of the foregoing Amendment and confirms that the VII Guarantee remains in full force and effect.</w:t>
      </w:r>
    </w:p>
    <w:p>
      <w:pPr>
        <w:spacing w:after="0" w:line="163" w:lineRule="exact"/>
        <w:rPr>
          <w:sz w:val="20"/>
          <w:szCs w:val="20"/>
          <w:color w:val="auto"/>
        </w:rPr>
      </w:pPr>
    </w:p>
    <w:p>
      <w:pPr>
        <w:ind w:right="3359" w:firstLine="970"/>
        <w:spacing w:after="0" w:line="237" w:lineRule="auto"/>
        <w:rPr>
          <w:sz w:val="20"/>
          <w:szCs w:val="20"/>
          <w:color w:val="auto"/>
        </w:rPr>
      </w:pPr>
      <w:r>
        <w:rPr>
          <w:rFonts w:ascii="Courier New" w:cs="Courier New" w:eastAsia="Courier New" w:hAnsi="Courier New"/>
          <w:sz w:val="15"/>
          <w:szCs w:val="15"/>
          <w:color w:val="auto"/>
        </w:rPr>
        <w:t>SECTION 9. Viacom Inc. Confirmation. By signing below, Viacom Inc., as guarantor under the Parent Guaranty ("Parent Guarantor"), hereby agrees to the terms of the foregoing Amendment and confirms that the Parent Guaranty remains in full force and effect.</w:t>
      </w:r>
    </w:p>
    <w:p>
      <w:pPr>
        <w:spacing w:after="0" w:line="176" w:lineRule="exact"/>
        <w:rPr>
          <w:sz w:val="20"/>
          <w:szCs w:val="20"/>
          <w:color w:val="auto"/>
        </w:rPr>
      </w:pPr>
    </w:p>
    <w:p>
      <w:pPr>
        <w:ind w:right="3259" w:firstLine="970"/>
        <w:spacing w:after="0" w:line="235" w:lineRule="auto"/>
        <w:rPr>
          <w:sz w:val="20"/>
          <w:szCs w:val="20"/>
          <w:color w:val="auto"/>
        </w:rPr>
      </w:pPr>
      <w:r>
        <w:rPr>
          <w:rFonts w:ascii="Courier New" w:cs="Courier New" w:eastAsia="Courier New" w:hAnsi="Courier New"/>
          <w:sz w:val="15"/>
          <w:szCs w:val="15"/>
          <w:color w:val="auto"/>
        </w:rPr>
        <w:t>IN WITNESS WHEREOF, the parties hereto have caused this Amendment to be duly executed as of the date first above written.</w:t>
      </w:r>
    </w:p>
    <w:p>
      <w:pPr>
        <w:spacing w:after="0" w:line="170"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VIACOM INC., as Borrower and Parent Guarantor</w:t>
      </w:r>
    </w:p>
    <w:p>
      <w:pPr>
        <w:spacing w:after="0" w:line="33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By:/s/ Vaughn A. Clarke</w:t>
      </w:r>
    </w:p>
    <w:p>
      <w:pPr>
        <w:ind w:left="2540"/>
        <w:spacing w:after="0"/>
        <w:rPr>
          <w:sz w:val="20"/>
          <w:szCs w:val="20"/>
          <w:color w:val="auto"/>
        </w:rPr>
      </w:pPr>
      <w:r>
        <w:rPr>
          <w:rFonts w:ascii="Courier New" w:cs="Courier New" w:eastAsia="Courier New" w:hAnsi="Courier New"/>
          <w:sz w:val="15"/>
          <w:szCs w:val="15"/>
          <w:color w:val="auto"/>
        </w:rPr>
        <w:t>--------------------------------</w:t>
      </w:r>
    </w:p>
    <w:p>
      <w:pPr>
        <w:ind w:left="2900"/>
        <w:spacing w:after="0"/>
        <w:rPr>
          <w:sz w:val="20"/>
          <w:szCs w:val="20"/>
          <w:color w:val="auto"/>
        </w:rPr>
      </w:pPr>
      <w:r>
        <w:rPr>
          <w:rFonts w:ascii="Courier New" w:cs="Courier New" w:eastAsia="Courier New" w:hAnsi="Courier New"/>
          <w:sz w:val="15"/>
          <w:szCs w:val="15"/>
          <w:color w:val="auto"/>
        </w:rPr>
        <w:t>Name: Vaughn A. Clarke</w:t>
      </w:r>
    </w:p>
    <w:p>
      <w:pPr>
        <w:ind w:left="290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VIACOM INTERNATIONAL INC., as a Subsidiary</w:t>
      </w:r>
    </w:p>
    <w:p>
      <w:pPr>
        <w:ind w:left="2640"/>
        <w:spacing w:after="0"/>
        <w:rPr>
          <w:sz w:val="20"/>
          <w:szCs w:val="20"/>
          <w:color w:val="auto"/>
        </w:rPr>
      </w:pPr>
      <w:r>
        <w:rPr>
          <w:rFonts w:ascii="Courier New" w:cs="Courier New" w:eastAsia="Courier New" w:hAnsi="Courier New"/>
          <w:sz w:val="15"/>
          <w:szCs w:val="15"/>
          <w:color w:val="auto"/>
        </w:rPr>
        <w:t>Borrower and as a Guarantor Subsidiary</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8" w:right="1440" w:bottom="1440" w:gutter="0" w:footer="0" w:header="0"/>
        </w:sectPr>
      </w:pPr>
    </w:p>
    <w:bookmarkStart w:id="177" w:name="page178"/>
    <w:bookmarkEnd w:id="177"/>
    <w:p>
      <w:pPr>
        <w:ind w:left="1440"/>
        <w:spacing w:after="0"/>
        <w:rPr>
          <w:sz w:val="20"/>
          <w:szCs w:val="20"/>
          <w:color w:val="auto"/>
        </w:rPr>
      </w:pPr>
      <w:r>
        <w:rPr>
          <w:rFonts w:ascii="Courier New" w:cs="Courier New" w:eastAsia="Courier New" w:hAnsi="Courier New"/>
          <w:sz w:val="15"/>
          <w:szCs w:val="15"/>
          <w:color w:val="auto"/>
        </w:rPr>
        <w:t>By:/s/ Vaughn A. Clarke</w:t>
      </w:r>
    </w:p>
    <w:p>
      <w:pPr>
        <w:ind w:left="1340"/>
        <w:spacing w:after="0"/>
        <w:rPr>
          <w:sz w:val="20"/>
          <w:szCs w:val="20"/>
          <w:color w:val="auto"/>
        </w:rPr>
      </w:pPr>
      <w:r>
        <w:rPr>
          <w:rFonts w:ascii="Courier New" w:cs="Courier New" w:eastAsia="Courier New" w:hAnsi="Courier New"/>
          <w:sz w:val="15"/>
          <w:szCs w:val="15"/>
          <w:color w:val="auto"/>
        </w:rPr>
        <w:t>--------------------------------</w:t>
      </w:r>
    </w:p>
    <w:p>
      <w:pPr>
        <w:ind w:left="1700"/>
        <w:spacing w:after="0"/>
        <w:rPr>
          <w:sz w:val="20"/>
          <w:szCs w:val="20"/>
          <w:color w:val="auto"/>
        </w:rPr>
      </w:pPr>
      <w:r>
        <w:rPr>
          <w:rFonts w:ascii="Courier New" w:cs="Courier New" w:eastAsia="Courier New" w:hAnsi="Courier New"/>
          <w:sz w:val="15"/>
          <w:szCs w:val="15"/>
          <w:color w:val="auto"/>
        </w:rPr>
        <w:t>Name: Vaughn A. Clarke</w:t>
      </w:r>
    </w:p>
    <w:p>
      <w:pPr>
        <w:ind w:left="170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175"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On behalf of the following Subsidiary Borrowers:</w:t>
      </w:r>
    </w:p>
    <w:p>
      <w:pPr>
        <w:spacing w:after="0" w:line="17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VIACOM CABLEVISION OF DAYTON INC.,</w:t>
      </w:r>
    </w:p>
    <w:p>
      <w:pPr>
        <w:spacing w:after="0" w:line="16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WNYT INC.,</w:t>
      </w:r>
    </w:p>
    <w:p>
      <w:pPr>
        <w:spacing w:after="0" w:line="16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WMZQ INC. and</w:t>
      </w:r>
    </w:p>
    <w:p>
      <w:pPr>
        <w:spacing w:after="0" w:line="16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WVIT INC.,</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By:/s/ Vaughn A. Clarke</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tabs>
          <w:tab w:leader="none" w:pos="23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Vaughn A. Clarke</w:t>
      </w:r>
    </w:p>
    <w:p>
      <w:pPr>
        <w:ind w:left="178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16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VIACOM INTERNATIONAL SERVICES INC.</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By:/s/ Vaughn A. Clarke</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tabs>
          <w:tab w:leader="none" w:pos="23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Vaughn A. Clarke</w:t>
      </w:r>
    </w:p>
    <w:p>
      <w:pPr>
        <w:ind w:left="178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CREDIT SUISSE</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By:/s/ J. Hamilton Crawford</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tabs>
          <w:tab w:leader="none" w:pos="23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J. Hamilton Crawford</w:t>
      </w:r>
    </w:p>
    <w:p>
      <w:pPr>
        <w:ind w:left="1780"/>
        <w:spacing w:after="0" w:line="238" w:lineRule="auto"/>
        <w:rPr>
          <w:sz w:val="20"/>
          <w:szCs w:val="20"/>
          <w:color w:val="auto"/>
        </w:rPr>
      </w:pPr>
      <w:r>
        <w:rPr>
          <w:rFonts w:ascii="Courier New" w:cs="Courier New" w:eastAsia="Courier New" w:hAnsi="Courier New"/>
          <w:sz w:val="15"/>
          <w:szCs w:val="15"/>
          <w:color w:val="auto"/>
        </w:rPr>
        <w:t>Title: Associate</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By:/s/ Michael C. Mast</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tabs>
          <w:tab w:leader="none" w:pos="23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Michael C. Mast</w:t>
      </w:r>
    </w:p>
    <w:p>
      <w:pPr>
        <w:ind w:left="1780"/>
        <w:spacing w:after="0" w:line="238" w:lineRule="auto"/>
        <w:rPr>
          <w:sz w:val="20"/>
          <w:szCs w:val="20"/>
          <w:color w:val="auto"/>
        </w:rPr>
      </w:pPr>
      <w:r>
        <w:rPr>
          <w:rFonts w:ascii="Courier New" w:cs="Courier New" w:eastAsia="Courier New" w:hAnsi="Courier New"/>
          <w:sz w:val="15"/>
          <w:szCs w:val="15"/>
          <w:color w:val="auto"/>
        </w:rPr>
        <w:t>Title: Member of Senior Mgmt.</w:t>
      </w:r>
    </w:p>
    <w:p>
      <w:pPr>
        <w:spacing w:after="0" w:line="200" w:lineRule="exact"/>
        <w:rPr>
          <w:sz w:val="20"/>
          <w:szCs w:val="20"/>
          <w:color w:val="auto"/>
        </w:rPr>
      </w:pPr>
    </w:p>
    <w:p>
      <w:pPr>
        <w:spacing w:after="0" w:line="30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019"/>
          </w:cols>
          <w:pgMar w:left="1440" w:top="622" w:right="1440" w:bottom="1440" w:gutter="0" w:footer="0" w:header="0"/>
        </w:sectPr>
      </w:pPr>
    </w:p>
    <w:bookmarkStart w:id="178" w:name="page179"/>
    <w:bookmarkEnd w:id="178"/>
    <w:p>
      <w:pPr>
        <w:ind w:left="1520"/>
        <w:spacing w:after="0"/>
        <w:rPr>
          <w:sz w:val="20"/>
          <w:szCs w:val="20"/>
          <w:color w:val="auto"/>
        </w:rPr>
      </w:pPr>
      <w:r>
        <w:rPr>
          <w:rFonts w:ascii="Courier New" w:cs="Courier New" w:eastAsia="Courier New" w:hAnsi="Courier New"/>
          <w:sz w:val="15"/>
          <w:szCs w:val="15"/>
          <w:color w:val="auto"/>
        </w:rPr>
        <w:t>SOCIETE GENERALE</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By:/s/ Elaine I. Khalil</w:t>
      </w:r>
    </w:p>
    <w:p>
      <w:pPr>
        <w:spacing w:after="0" w:line="5"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780"/>
        <w:spacing w:after="0"/>
        <w:tabs>
          <w:tab w:leader="none" w:pos="23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Elaine I. Khalil</w:t>
      </w:r>
    </w:p>
    <w:p>
      <w:pPr>
        <w:ind w:left="178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019"/>
          </w:cols>
          <w:pgMar w:left="1440" w:top="622" w:right="1440" w:bottom="1440" w:gutter="0" w:footer="0" w:header="0"/>
        </w:sectPr>
      </w:pPr>
    </w:p>
    <w:bookmarkStart w:id="179" w:name="page180"/>
    <w:bookmarkEnd w:id="179"/>
    <w:p>
      <w:pPr>
        <w:ind w:left="1080"/>
        <w:spacing w:after="0"/>
        <w:rPr>
          <w:sz w:val="20"/>
          <w:szCs w:val="20"/>
          <w:color w:val="auto"/>
        </w:rPr>
      </w:pPr>
      <w:r>
        <w:rPr>
          <w:rFonts w:ascii="Courier New" w:cs="Courier New" w:eastAsia="Courier New" w:hAnsi="Courier New"/>
          <w:sz w:val="15"/>
          <w:szCs w:val="15"/>
          <w:color w:val="auto"/>
        </w:rPr>
        <w:t>THE BANK OF NEW YORK</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Geoffrey C. Brooks</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Geoffrey C. Brooks</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33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BANK OF TOKYO TRUST COMPANY</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John P. Judge</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John P. Judge</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33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FIRST INTERSTATE BANK OF WASHINGTON</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Susan Hendrixson</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Susan Hendrixson</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33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UNION BANK OF SWITZERLAND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Stephen A. Cayer</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Stephen A. Cayer</w:t>
      </w:r>
    </w:p>
    <w:p>
      <w:pPr>
        <w:ind w:left="1340"/>
        <w:spacing w:after="0"/>
        <w:rPr>
          <w:sz w:val="20"/>
          <w:szCs w:val="20"/>
          <w:color w:val="auto"/>
        </w:rPr>
      </w:pPr>
      <w:r>
        <w:rPr>
          <w:rFonts w:ascii="Courier New" w:cs="Courier New" w:eastAsia="Courier New" w:hAnsi="Courier New"/>
          <w:sz w:val="15"/>
          <w:szCs w:val="15"/>
          <w:color w:val="auto"/>
        </w:rPr>
        <w:t>Title: Assistant Treasurer</w:t>
      </w:r>
    </w:p>
    <w:p>
      <w:pPr>
        <w:spacing w:after="0" w:line="33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Peter B. Yearly</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Peter B. Yearly</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33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YASUDA TRUST &amp; BANKING CO.,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Gerald Gill</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Gerald Gill</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019"/>
          </w:cols>
          <w:pgMar w:left="1440" w:top="792" w:right="1440" w:bottom="1440" w:gutter="0" w:footer="0" w:header="0"/>
        </w:sectPr>
      </w:pPr>
    </w:p>
    <w:bookmarkStart w:id="180" w:name="page181"/>
    <w:bookmarkEnd w:id="180"/>
    <w:p>
      <w:pPr>
        <w:ind w:left="1080"/>
        <w:spacing w:after="0"/>
        <w:rPr>
          <w:sz w:val="20"/>
          <w:szCs w:val="20"/>
          <w:color w:val="auto"/>
        </w:rPr>
      </w:pPr>
      <w:r>
        <w:rPr>
          <w:rFonts w:ascii="Courier New" w:cs="Courier New" w:eastAsia="Courier New" w:hAnsi="Courier New"/>
          <w:sz w:val="15"/>
          <w:szCs w:val="15"/>
          <w:color w:val="auto"/>
        </w:rPr>
        <w:t>BAYERISCHE VEREINSBANK AG</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John Carlson</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John Carlson</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33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Sylvia Chang</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Sylvia Chang</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33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MITSUBISHI BANK,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Paula Mueller</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Paula Mueller</w:t>
      </w:r>
    </w:p>
    <w:p>
      <w:pPr>
        <w:ind w:left="1340"/>
        <w:spacing w:after="0"/>
        <w:rPr>
          <w:sz w:val="20"/>
          <w:szCs w:val="20"/>
          <w:color w:val="auto"/>
        </w:rPr>
      </w:pPr>
      <w:r>
        <w:rPr>
          <w:rFonts w:ascii="Courier New" w:cs="Courier New" w:eastAsia="Courier New" w:hAnsi="Courier New"/>
          <w:sz w:val="15"/>
          <w:szCs w:val="15"/>
          <w:color w:val="auto"/>
        </w:rPr>
        <w:t>Title:</w:t>
      </w:r>
    </w:p>
    <w:p>
      <w:pPr>
        <w:spacing w:after="0" w:line="33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MITSUBISHI TRUST AND BANKING</w:t>
      </w:r>
    </w:p>
    <w:p>
      <w:pPr>
        <w:ind w:left="1260"/>
        <w:spacing w:after="0"/>
        <w:rPr>
          <w:sz w:val="20"/>
          <w:szCs w:val="20"/>
          <w:color w:val="auto"/>
        </w:rPr>
      </w:pPr>
      <w:r>
        <w:rPr>
          <w:rFonts w:ascii="Courier New" w:cs="Courier New" w:eastAsia="Courier New" w:hAnsi="Courier New"/>
          <w:sz w:val="15"/>
          <w:szCs w:val="15"/>
          <w:color w:val="auto"/>
        </w:rPr>
        <w:t>CORPORATION</w:t>
      </w:r>
    </w:p>
    <w:p>
      <w:pPr>
        <w:spacing w:after="0" w:line="33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Patricia Loret De Mola</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Name: Patricia Loret De Mola</w:t>
      </w:r>
    </w:p>
    <w:p>
      <w:pPr>
        <w:ind w:left="1340"/>
        <w:spacing w:after="0"/>
        <w:rPr>
          <w:sz w:val="20"/>
          <w:szCs w:val="20"/>
          <w:color w:val="auto"/>
        </w:rPr>
      </w:pPr>
      <w:r>
        <w:rPr>
          <w:rFonts w:ascii="Courier New" w:cs="Courier New" w:eastAsia="Courier New" w:hAnsi="Courier New"/>
          <w:sz w:val="15"/>
          <w:szCs w:val="15"/>
          <w:color w:val="auto"/>
        </w:rPr>
        <w:t>Title: Senior Vice President</w:t>
      </w:r>
    </w:p>
    <w:p>
      <w:pPr>
        <w:spacing w:after="0" w:line="33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NATWEST BANK, N.A.</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Michael A. Cerullo</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Michael A. Cerullo</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019"/>
          </w:cols>
          <w:pgMar w:left="1440" w:top="622" w:right="1440" w:bottom="1440" w:gutter="0" w:footer="0" w:header="0"/>
        </w:sectPr>
      </w:pPr>
    </w:p>
    <w:bookmarkStart w:id="181" w:name="page182"/>
    <w:bookmarkEnd w:id="181"/>
    <w:p>
      <w:pPr>
        <w:ind w:left="1080"/>
        <w:spacing w:after="0"/>
        <w:rPr>
          <w:sz w:val="20"/>
          <w:szCs w:val="20"/>
          <w:color w:val="auto"/>
        </w:rPr>
      </w:pPr>
      <w:r>
        <w:rPr>
          <w:rFonts w:ascii="Courier New" w:cs="Courier New" w:eastAsia="Courier New" w:hAnsi="Courier New"/>
          <w:sz w:val="15"/>
          <w:szCs w:val="15"/>
          <w:color w:val="auto"/>
        </w:rPr>
        <w:t>GULF INTERNATIONAL BANK BSC</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Haytham F. Halil</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Haytham F. Halil</w:t>
      </w:r>
    </w:p>
    <w:p>
      <w:pPr>
        <w:ind w:left="1340"/>
        <w:spacing w:after="0" w:line="238" w:lineRule="auto"/>
        <w:rPr>
          <w:sz w:val="20"/>
          <w:szCs w:val="20"/>
          <w:color w:val="auto"/>
        </w:rPr>
      </w:pPr>
      <w:r>
        <w:rPr>
          <w:rFonts w:ascii="Courier New" w:cs="Courier New" w:eastAsia="Courier New" w:hAnsi="Courier New"/>
          <w:sz w:val="15"/>
          <w:szCs w:val="15"/>
          <w:color w:val="auto"/>
        </w:rPr>
        <w:t>Title: Assistant Vice President</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Abdel-Fattah Tahoun</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Haytham F. Halil</w:t>
      </w:r>
    </w:p>
    <w:p>
      <w:pPr>
        <w:ind w:left="134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PNC BANK, NATIONAL ASSOCIATION</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Karen M. Wolters</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Karen M. Wolters</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SUMITOMO BANK,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S. Higashi</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rPr>
          <w:sz w:val="20"/>
          <w:szCs w:val="20"/>
          <w:color w:val="auto"/>
        </w:rPr>
      </w:pPr>
      <w:r>
        <w:rPr>
          <w:rFonts w:ascii="Courier New" w:cs="Courier New" w:eastAsia="Courier New" w:hAnsi="Courier New"/>
          <w:sz w:val="15"/>
          <w:szCs w:val="15"/>
          <w:color w:val="auto"/>
        </w:rPr>
        <w:t>Name: S. Higashi</w:t>
      </w:r>
    </w:p>
    <w:p>
      <w:pPr>
        <w:ind w:left="1340"/>
        <w:spacing w:after="0" w:line="238" w:lineRule="auto"/>
        <w:rPr>
          <w:sz w:val="20"/>
          <w:szCs w:val="20"/>
          <w:color w:val="auto"/>
        </w:rPr>
      </w:pPr>
      <w:r>
        <w:rPr>
          <w:rFonts w:ascii="Courier New" w:cs="Courier New" w:eastAsia="Courier New" w:hAnsi="Courier New"/>
          <w:sz w:val="15"/>
          <w:szCs w:val="15"/>
          <w:color w:val="auto"/>
        </w:rPr>
        <w:t>Title: Joint General Manager</w:t>
      </w:r>
    </w:p>
    <w:p>
      <w:pPr>
        <w:spacing w:after="0" w:line="344"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THE SUMITOMO TRUST AND BANKING CO., LTD.</w:t>
      </w:r>
    </w:p>
    <w:p>
      <w:pPr>
        <w:spacing w:after="0" w:line="344"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Suraj P. Bhatia</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rPr>
          <w:sz w:val="20"/>
          <w:szCs w:val="20"/>
          <w:color w:val="auto"/>
        </w:rPr>
      </w:pPr>
      <w:r>
        <w:rPr>
          <w:rFonts w:ascii="Courier New" w:cs="Courier New" w:eastAsia="Courier New" w:hAnsi="Courier New"/>
          <w:sz w:val="15"/>
          <w:szCs w:val="15"/>
          <w:color w:val="auto"/>
        </w:rPr>
        <w:t>Name: Suraj P. Bhatia</w:t>
      </w:r>
    </w:p>
    <w:p>
      <w:pPr>
        <w:ind w:left="1340"/>
        <w:spacing w:after="0" w:line="238" w:lineRule="auto"/>
        <w:rPr>
          <w:sz w:val="20"/>
          <w:szCs w:val="20"/>
          <w:color w:val="auto"/>
        </w:rPr>
      </w:pPr>
      <w:r>
        <w:rPr>
          <w:rFonts w:ascii="Courier New" w:cs="Courier New" w:eastAsia="Courier New" w:hAnsi="Courier New"/>
          <w:sz w:val="15"/>
          <w:szCs w:val="15"/>
          <w:color w:val="auto"/>
        </w:rPr>
        <w:t>Title: Senior Vice President</w:t>
      </w:r>
    </w:p>
    <w:p>
      <w:pPr>
        <w:ind w:left="2140"/>
        <w:spacing w:after="0"/>
        <w:rPr>
          <w:sz w:val="20"/>
          <w:szCs w:val="20"/>
          <w:color w:val="auto"/>
        </w:rPr>
      </w:pPr>
      <w:r>
        <w:rPr>
          <w:rFonts w:ascii="Courier New" w:cs="Courier New" w:eastAsia="Courier New" w:hAnsi="Courier New"/>
          <w:sz w:val="15"/>
          <w:szCs w:val="15"/>
          <w:color w:val="auto"/>
        </w:rPr>
        <w:t>Mgr. Corp. Finance Dept.</w:t>
      </w:r>
    </w:p>
    <w:p>
      <w:pPr>
        <w:spacing w:after="0" w:line="33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CORESTATES BANK, N.A.</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Edward L. Kittrell</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Edward L. Kittrell</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019"/>
          </w:cols>
          <w:pgMar w:left="1440" w:top="622" w:right="1440" w:bottom="1440" w:gutter="0" w:footer="0" w:header="0"/>
        </w:sectPr>
      </w:pPr>
    </w:p>
    <w:bookmarkStart w:id="182" w:name="page183"/>
    <w:bookmarkEnd w:id="182"/>
    <w:p>
      <w:pPr>
        <w:ind w:left="1080"/>
        <w:spacing w:after="0"/>
        <w:rPr>
          <w:sz w:val="20"/>
          <w:szCs w:val="20"/>
          <w:color w:val="auto"/>
        </w:rPr>
      </w:pPr>
      <w:r>
        <w:rPr>
          <w:rFonts w:ascii="Courier New" w:cs="Courier New" w:eastAsia="Courier New" w:hAnsi="Courier New"/>
          <w:sz w:val="14"/>
          <w:szCs w:val="14"/>
          <w:color w:val="auto"/>
        </w:rPr>
        <w:t>BANQUE FRANCAISE DU COMMERCE EXTERIEUR</w:t>
      </w:r>
    </w:p>
    <w:p>
      <w:pPr>
        <w:spacing w:after="0" w:line="344"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Peter Karl Harris</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Peter Karl Harris</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William C. Maier</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William C. Maier</w:t>
      </w:r>
    </w:p>
    <w:p>
      <w:pPr>
        <w:ind w:left="1340"/>
        <w:spacing w:after="0" w:line="238" w:lineRule="auto"/>
        <w:rPr>
          <w:sz w:val="20"/>
          <w:szCs w:val="20"/>
          <w:color w:val="auto"/>
        </w:rPr>
      </w:pPr>
      <w:r>
        <w:rPr>
          <w:rFonts w:ascii="Courier New" w:cs="Courier New" w:eastAsia="Courier New" w:hAnsi="Courier New"/>
          <w:sz w:val="15"/>
          <w:szCs w:val="15"/>
          <w:color w:val="auto"/>
        </w:rPr>
        <w:t>Title: VP-Group Manager</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SAKURA BANK,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Hiroshi Shimazaki</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Hiroshi Shimazaki</w:t>
      </w:r>
    </w:p>
    <w:p>
      <w:pPr>
        <w:ind w:left="1340"/>
        <w:spacing w:after="0" w:line="238" w:lineRule="auto"/>
        <w:rPr>
          <w:sz w:val="20"/>
          <w:szCs w:val="20"/>
          <w:color w:val="auto"/>
        </w:rPr>
      </w:pPr>
      <w:r>
        <w:rPr>
          <w:rFonts w:ascii="Courier New" w:cs="Courier New" w:eastAsia="Courier New" w:hAnsi="Courier New"/>
          <w:sz w:val="15"/>
          <w:szCs w:val="15"/>
          <w:color w:val="auto"/>
        </w:rPr>
        <w:t>Title: Senior Vice President</w:t>
      </w:r>
    </w:p>
    <w:p>
      <w:pPr>
        <w:ind w:left="2220" w:hanging="168"/>
        <w:spacing w:after="0"/>
        <w:tabs>
          <w:tab w:leader="none" w:pos="222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Manager</w:t>
      </w:r>
    </w:p>
    <w:p>
      <w:pPr>
        <w:spacing w:after="0" w:line="338"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DEN DANSKE BANK</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Mogens Sondergaard</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Mogens Sondergaard</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Bent V. Christensen</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Bent V. Christensen</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INDUSTRIAL BANK OF JAPAN,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Jeffrey Cole</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Jeffrey Cole</w:t>
      </w:r>
    </w:p>
    <w:p>
      <w:pPr>
        <w:ind w:left="134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33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019"/>
          </w:cols>
          <w:pgMar w:left="1440" w:top="628" w:right="1440" w:bottom="1440" w:gutter="0" w:footer="0" w:header="0"/>
        </w:sectPr>
      </w:pPr>
    </w:p>
    <w:bookmarkStart w:id="183" w:name="page184"/>
    <w:bookmarkEnd w:id="183"/>
    <w:p>
      <w:pPr>
        <w:ind w:left="1080"/>
        <w:spacing w:after="0"/>
        <w:rPr>
          <w:sz w:val="20"/>
          <w:szCs w:val="20"/>
          <w:color w:val="auto"/>
        </w:rPr>
      </w:pPr>
      <w:r>
        <w:rPr>
          <w:rFonts w:ascii="Courier New" w:cs="Courier New" w:eastAsia="Courier New" w:hAnsi="Courier New"/>
          <w:sz w:val="15"/>
          <w:szCs w:val="15"/>
          <w:color w:val="auto"/>
        </w:rPr>
        <w:t>ROYAL BANK OF CANADA</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Cynthia K. Wong</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Cynthia K. Wong</w:t>
      </w:r>
    </w:p>
    <w:p>
      <w:pPr>
        <w:ind w:left="1340"/>
        <w:spacing w:after="0"/>
        <w:rPr>
          <w:sz w:val="20"/>
          <w:szCs w:val="20"/>
          <w:color w:val="auto"/>
        </w:rPr>
      </w:pPr>
      <w:r>
        <w:rPr>
          <w:rFonts w:ascii="Courier New" w:cs="Courier New" w:eastAsia="Courier New" w:hAnsi="Courier New"/>
          <w:sz w:val="15"/>
          <w:szCs w:val="15"/>
          <w:color w:val="auto"/>
        </w:rPr>
        <w:t>Title: Manager</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SANWA BANK,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 /s/ Dominic J. Sorresso</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440"/>
        <w:spacing w:after="0"/>
        <w:tabs>
          <w:tab w:leader="none" w:pos="20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Dominic J. Sorresso</w:t>
      </w:r>
    </w:p>
    <w:p>
      <w:pPr>
        <w:ind w:left="14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TOKAI BANK,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Stuart Schulman</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Stuart Schulman</w:t>
      </w:r>
    </w:p>
    <w:p>
      <w:pPr>
        <w:ind w:left="1340"/>
        <w:spacing w:after="0"/>
        <w:rPr>
          <w:sz w:val="20"/>
          <w:szCs w:val="20"/>
          <w:color w:val="auto"/>
        </w:rPr>
      </w:pPr>
      <w:r>
        <w:rPr>
          <w:rFonts w:ascii="Courier New" w:cs="Courier New" w:eastAsia="Courier New" w:hAnsi="Courier New"/>
          <w:sz w:val="15"/>
          <w:szCs w:val="15"/>
          <w:color w:val="auto"/>
        </w:rPr>
        <w:t>Title: Senior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CHEMICAL BANK</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John J. Huber III</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Name: John J. Huber III</w:t>
      </w:r>
    </w:p>
    <w:p>
      <w:pPr>
        <w:ind w:left="1260"/>
        <w:spacing w:after="0"/>
        <w:rPr>
          <w:sz w:val="20"/>
          <w:szCs w:val="20"/>
          <w:color w:val="auto"/>
        </w:rPr>
      </w:pPr>
      <w:r>
        <w:rPr>
          <w:rFonts w:ascii="Courier New" w:cs="Courier New" w:eastAsia="Courier New" w:hAnsi="Courier New"/>
          <w:sz w:val="15"/>
          <w:szCs w:val="15"/>
          <w:color w:val="auto"/>
        </w:rPr>
        <w:t>Title: Managing Director</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DAI-CHI KANGYO BANK,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Ronald Wolinsky</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3779"/>
        <w:spacing w:after="0"/>
        <w:tabs>
          <w:tab w:leader="none" w:pos="160" w:val="left"/>
        </w:tabs>
        <w:rPr>
          <w:sz w:val="20"/>
          <w:szCs w:val="20"/>
          <w:color w:val="auto"/>
        </w:rPr>
      </w:pPr>
      <w:r>
        <w:rPr>
          <w:rFonts w:ascii="Courier New" w:cs="Courier New" w:eastAsia="Courier New" w:hAnsi="Courier New"/>
          <w:sz w:val="15"/>
          <w:szCs w:val="15"/>
          <w:color w:val="auto"/>
        </w:rPr>
        <w:t>Name:</w:t>
        <w:tab/>
        <w:t>Ronald Wolinsky</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4"/>
          <w:szCs w:val="14"/>
          <w:color w:val="auto"/>
        </w:rPr>
        <w:t>Title: Vice President &amp; Group Leader</w:t>
      </w:r>
    </w:p>
    <w:p>
      <w:pPr>
        <w:spacing w:after="0" w:line="34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019"/>
          </w:cols>
          <w:pgMar w:left="1440" w:top="622" w:right="1440" w:bottom="1440" w:gutter="0" w:footer="0" w:header="0"/>
        </w:sectPr>
      </w:pPr>
    </w:p>
    <w:bookmarkStart w:id="184" w:name="page185"/>
    <w:bookmarkEnd w:id="184"/>
    <w:p>
      <w:pPr>
        <w:ind w:left="1080"/>
        <w:spacing w:after="0"/>
        <w:rPr>
          <w:sz w:val="20"/>
          <w:szCs w:val="20"/>
          <w:color w:val="auto"/>
        </w:rPr>
      </w:pPr>
      <w:r>
        <w:rPr>
          <w:rFonts w:ascii="Courier New" w:cs="Courier New" w:eastAsia="Courier New" w:hAnsi="Courier New"/>
          <w:sz w:val="15"/>
          <w:szCs w:val="15"/>
          <w:color w:val="auto"/>
        </w:rPr>
        <w:t>FIRST HAWAIIAN BANK</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William B. Schink</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William B. Schink</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MORGAN GUARANTY TRUST COMPANY OF</w:t>
      </w:r>
    </w:p>
    <w:p>
      <w:pPr>
        <w:ind w:left="1260"/>
        <w:spacing w:after="0"/>
        <w:rPr>
          <w:sz w:val="20"/>
          <w:szCs w:val="20"/>
          <w:color w:val="auto"/>
        </w:rPr>
      </w:pPr>
      <w:r>
        <w:rPr>
          <w:rFonts w:ascii="Courier New" w:cs="Courier New" w:eastAsia="Courier New" w:hAnsi="Courier New"/>
          <w:sz w:val="15"/>
          <w:szCs w:val="15"/>
          <w:color w:val="auto"/>
        </w:rPr>
        <w:t>NEW YORK</w:t>
      </w:r>
    </w:p>
    <w:p>
      <w:pPr>
        <w:spacing w:after="0" w:line="33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R. BLake Witherington</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R. BLake Witherington</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CITIBANK, N.A.</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Margaret C. Ullrich</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Margaret C. Ullrich</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NIPPON CREDIT BANK,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Bernardo E. Correa-Henschke</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Name: Bernardo E. Correa-Henschke</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Title: Vice President &amp; Manager</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RIGGS NATIONAL BANK</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David H. Olson</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David H. Olson</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019"/>
          </w:cols>
          <w:pgMar w:left="1440" w:top="791" w:right="1440" w:bottom="1440" w:gutter="0" w:footer="0" w:header="0"/>
        </w:sectPr>
      </w:pPr>
    </w:p>
    <w:bookmarkStart w:id="185" w:name="page186"/>
    <w:bookmarkEnd w:id="185"/>
    <w:p>
      <w:pPr>
        <w:ind w:left="1080"/>
        <w:spacing w:after="0"/>
        <w:rPr>
          <w:sz w:val="20"/>
          <w:szCs w:val="20"/>
          <w:color w:val="auto"/>
        </w:rPr>
      </w:pPr>
      <w:r>
        <w:rPr>
          <w:rFonts w:ascii="Courier New" w:cs="Courier New" w:eastAsia="Courier New" w:hAnsi="Courier New"/>
          <w:sz w:val="15"/>
          <w:szCs w:val="15"/>
          <w:color w:val="auto"/>
        </w:rPr>
        <w:t>FIRST UNION NATIONAL BANK OF</w:t>
      </w:r>
    </w:p>
    <w:p>
      <w:pPr>
        <w:ind w:left="1260"/>
        <w:spacing w:after="0"/>
        <w:rPr>
          <w:sz w:val="20"/>
          <w:szCs w:val="20"/>
          <w:color w:val="auto"/>
        </w:rPr>
      </w:pPr>
      <w:r>
        <w:rPr>
          <w:rFonts w:ascii="Courier New" w:cs="Courier New" w:eastAsia="Courier New" w:hAnsi="Courier New"/>
          <w:sz w:val="15"/>
          <w:szCs w:val="15"/>
          <w:color w:val="auto"/>
        </w:rPr>
        <w:t>NORTH CAROLINA</w:t>
      </w:r>
    </w:p>
    <w:p>
      <w:pPr>
        <w:spacing w:after="0" w:line="33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Jim F. Redman</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Jim F. Redman</w:t>
      </w:r>
    </w:p>
    <w:p>
      <w:pPr>
        <w:ind w:left="1340"/>
        <w:spacing w:after="0"/>
        <w:rPr>
          <w:sz w:val="20"/>
          <w:szCs w:val="20"/>
          <w:color w:val="auto"/>
        </w:rPr>
      </w:pPr>
      <w:r>
        <w:rPr>
          <w:rFonts w:ascii="Courier New" w:cs="Courier New" w:eastAsia="Courier New" w:hAnsi="Courier New"/>
          <w:sz w:val="15"/>
          <w:szCs w:val="15"/>
          <w:color w:val="auto"/>
        </w:rPr>
        <w:t>Title: Senior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MELLON BANK, N.A.</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 /s/ G. Luis Ashley</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4299"/>
        <w:spacing w:after="0"/>
        <w:tabs>
          <w:tab w:leader="none" w:pos="1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G. Luis Ashley</w:t>
      </w:r>
    </w:p>
    <w:p>
      <w:pPr>
        <w:jc w:val="center"/>
        <w:ind w:right="4299"/>
        <w:spacing w:after="0"/>
        <w:rPr>
          <w:sz w:val="20"/>
          <w:szCs w:val="20"/>
          <w:color w:val="auto"/>
        </w:rPr>
      </w:pPr>
      <w:r>
        <w:rPr>
          <w:rFonts w:ascii="Courier New" w:cs="Courier New" w:eastAsia="Courier New" w:hAnsi="Courier New"/>
          <w:sz w:val="15"/>
          <w:szCs w:val="15"/>
          <w:color w:val="auto"/>
        </w:rPr>
        <w:t>Title: First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COMPAGNIE FINANCIERE DE CIC ET DE</w:t>
      </w:r>
    </w:p>
    <w:p>
      <w:pPr>
        <w:ind w:left="1340"/>
        <w:spacing w:after="0"/>
        <w:rPr>
          <w:sz w:val="20"/>
          <w:szCs w:val="20"/>
          <w:color w:val="auto"/>
        </w:rPr>
      </w:pPr>
      <w:r>
        <w:rPr>
          <w:rFonts w:ascii="Courier New" w:cs="Courier New" w:eastAsia="Courier New" w:hAnsi="Courier New"/>
          <w:sz w:val="15"/>
          <w:szCs w:val="15"/>
          <w:color w:val="auto"/>
        </w:rPr>
        <w:t>L'UNION EUROPENNE</w:t>
      </w:r>
    </w:p>
    <w:p>
      <w:pPr>
        <w:spacing w:after="0" w:line="33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Brian O'Leary</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Brian O'Leary</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33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Marcus Edward</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Marcus Edward</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VAN KAMPEN AMERICAN CAPITAL PRIME RATE</w:t>
      </w:r>
    </w:p>
    <w:p>
      <w:pPr>
        <w:ind w:left="1260"/>
        <w:spacing w:after="0"/>
        <w:rPr>
          <w:sz w:val="20"/>
          <w:szCs w:val="20"/>
          <w:color w:val="auto"/>
        </w:rPr>
      </w:pPr>
      <w:r>
        <w:rPr>
          <w:rFonts w:ascii="Courier New" w:cs="Courier New" w:eastAsia="Courier New" w:hAnsi="Courier New"/>
          <w:sz w:val="15"/>
          <w:szCs w:val="15"/>
          <w:color w:val="auto"/>
        </w:rPr>
        <w:t>INCOME TRUST</w:t>
      </w:r>
    </w:p>
    <w:p>
      <w:pPr>
        <w:spacing w:after="0" w:line="33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Jeffrey W. Maillet</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Jeffrey W. Maillet</w:t>
      </w:r>
    </w:p>
    <w:p>
      <w:pPr>
        <w:ind w:left="1340"/>
        <w:spacing w:after="0"/>
        <w:rPr>
          <w:sz w:val="20"/>
          <w:szCs w:val="20"/>
          <w:color w:val="auto"/>
        </w:rPr>
      </w:pPr>
      <w:r>
        <w:rPr>
          <w:rFonts w:ascii="Courier New" w:cs="Courier New" w:eastAsia="Courier New" w:hAnsi="Courier New"/>
          <w:sz w:val="15"/>
          <w:szCs w:val="15"/>
          <w:color w:val="auto"/>
        </w:rPr>
        <w:t>Title: Sr. Vice Pres. &amp;</w:t>
      </w:r>
    </w:p>
    <w:p>
      <w:pPr>
        <w:ind w:left="1620"/>
        <w:spacing w:after="0"/>
        <w:rPr>
          <w:sz w:val="20"/>
          <w:szCs w:val="20"/>
          <w:color w:val="auto"/>
        </w:rPr>
      </w:pPr>
      <w:r>
        <w:rPr>
          <w:rFonts w:ascii="Courier New" w:cs="Courier New" w:eastAsia="Courier New" w:hAnsi="Courier New"/>
          <w:sz w:val="15"/>
          <w:szCs w:val="15"/>
          <w:color w:val="auto"/>
        </w:rPr>
        <w:t>Portfolio Manager</w:t>
      </w:r>
    </w:p>
    <w:p>
      <w:pPr>
        <w:spacing w:after="0" w:line="33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019"/>
          </w:cols>
          <w:pgMar w:left="1440" w:top="792" w:right="1440" w:bottom="1440" w:gutter="0" w:footer="0" w:header="0"/>
        </w:sectPr>
      </w:pPr>
    </w:p>
    <w:bookmarkStart w:id="186" w:name="page187"/>
    <w:bookmarkEnd w:id="186"/>
    <w:p>
      <w:pPr>
        <w:ind w:left="1080"/>
        <w:spacing w:after="0"/>
        <w:rPr>
          <w:sz w:val="20"/>
          <w:szCs w:val="20"/>
          <w:color w:val="auto"/>
        </w:rPr>
      </w:pPr>
      <w:r>
        <w:rPr>
          <w:rFonts w:ascii="Courier New" w:cs="Courier New" w:eastAsia="Courier New" w:hAnsi="Courier New"/>
          <w:sz w:val="15"/>
          <w:szCs w:val="15"/>
          <w:color w:val="auto"/>
        </w:rPr>
        <w:t>CIBC, INC.</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John Tyler</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John Tyler</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CHASE MANHATTAN BANK</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Bruce Langenkamp</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Bruce Langenkamp</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BANK OF NOVA SCOTIA</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Vincent Fitzgerald, Jr.</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rPr>
          <w:sz w:val="20"/>
          <w:szCs w:val="20"/>
          <w:color w:val="auto"/>
        </w:rPr>
      </w:pPr>
      <w:r>
        <w:rPr>
          <w:rFonts w:ascii="Courier New" w:cs="Courier New" w:eastAsia="Courier New" w:hAnsi="Courier New"/>
          <w:sz w:val="15"/>
          <w:szCs w:val="15"/>
          <w:color w:val="auto"/>
        </w:rPr>
        <w:t>Name: Vincent Fitzgerald, Jr.</w:t>
      </w:r>
    </w:p>
    <w:p>
      <w:pPr>
        <w:ind w:left="1340"/>
        <w:spacing w:after="0" w:line="238" w:lineRule="auto"/>
        <w:rPr>
          <w:sz w:val="20"/>
          <w:szCs w:val="20"/>
          <w:color w:val="auto"/>
        </w:rPr>
      </w:pPr>
      <w:r>
        <w:rPr>
          <w:rFonts w:ascii="Courier New" w:cs="Courier New" w:eastAsia="Courier New" w:hAnsi="Courier New"/>
          <w:sz w:val="15"/>
          <w:szCs w:val="15"/>
          <w:color w:val="auto"/>
        </w:rPr>
        <w:t>Title: Authorized Signatory</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FUJI BANK,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Katsunori Nozawa</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Katsunori Nozawa</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 &amp; Manager</w:t>
      </w:r>
    </w:p>
    <w:p>
      <w:pPr>
        <w:spacing w:after="0" w:line="200" w:lineRule="exact"/>
        <w:rPr>
          <w:sz w:val="20"/>
          <w:szCs w:val="20"/>
          <w:color w:val="auto"/>
        </w:rPr>
      </w:pPr>
    </w:p>
    <w:p>
      <w:pPr>
        <w:spacing w:after="0" w:line="314"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THE LONG-TERM CREDIT BANK OF JAPAN, LTD.</w:t>
      </w:r>
    </w:p>
    <w:p>
      <w:pPr>
        <w:spacing w:after="0" w:line="344"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John A. Krob</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John A. Krob</w:t>
      </w:r>
    </w:p>
    <w:p>
      <w:pPr>
        <w:ind w:left="1340"/>
        <w:spacing w:after="0" w:line="238" w:lineRule="auto"/>
        <w:rPr>
          <w:sz w:val="20"/>
          <w:szCs w:val="20"/>
          <w:color w:val="auto"/>
        </w:rPr>
      </w:pPr>
      <w:r>
        <w:rPr>
          <w:rFonts w:ascii="Courier New" w:cs="Courier New" w:eastAsia="Courier New" w:hAnsi="Courier New"/>
          <w:sz w:val="15"/>
          <w:szCs w:val="15"/>
          <w:color w:val="auto"/>
        </w:rPr>
        <w:t>Title: Deputy General Manager</w:t>
      </w:r>
    </w:p>
    <w:p>
      <w:pPr>
        <w:spacing w:after="0" w:line="200" w:lineRule="exact"/>
        <w:rPr>
          <w:sz w:val="20"/>
          <w:szCs w:val="20"/>
          <w:color w:val="auto"/>
        </w:rPr>
      </w:pPr>
    </w:p>
    <w:p>
      <w:pPr>
        <w:spacing w:after="0" w:line="30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019"/>
          </w:cols>
          <w:pgMar w:left="1440" w:top="791" w:right="1440" w:bottom="1440" w:gutter="0" w:footer="0" w:header="0"/>
        </w:sectPr>
      </w:pPr>
    </w:p>
    <w:bookmarkStart w:id="187" w:name="page188"/>
    <w:bookmarkEnd w:id="187"/>
    <w:p>
      <w:pPr>
        <w:ind w:left="1080"/>
        <w:spacing w:after="0"/>
        <w:rPr>
          <w:sz w:val="20"/>
          <w:szCs w:val="20"/>
          <w:color w:val="auto"/>
        </w:rPr>
      </w:pPr>
      <w:r>
        <w:rPr>
          <w:rFonts w:ascii="Courier New" w:cs="Courier New" w:eastAsia="Courier New" w:hAnsi="Courier New"/>
          <w:sz w:val="15"/>
          <w:szCs w:val="15"/>
          <w:color w:val="auto"/>
        </w:rPr>
        <w:t>BANQUE NATIONALE DE PARIS</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John S. Mitchell</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John S. Mitchell</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33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Nancy Stengel</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Nancy Stengel</w:t>
      </w:r>
    </w:p>
    <w:p>
      <w:pPr>
        <w:ind w:left="1340"/>
        <w:spacing w:after="0"/>
        <w:rPr>
          <w:sz w:val="20"/>
          <w:szCs w:val="20"/>
          <w:color w:val="auto"/>
        </w:rPr>
      </w:pPr>
      <w:r>
        <w:rPr>
          <w:rFonts w:ascii="Courier New" w:cs="Courier New" w:eastAsia="Courier New" w:hAnsi="Courier New"/>
          <w:sz w:val="15"/>
          <w:szCs w:val="15"/>
          <w:color w:val="auto"/>
        </w:rPr>
        <w:t>Title: Assistant Treasurer</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BANK OF HAWAII</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 Bryan Scearce</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J. Bryan Scearce</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BANK OF AMERICA</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Amy S. Trapp</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Amy S. Trapp</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NATIONSBANK OF TEXAS, N.A.</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Chad E. Coben</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Chad E. Coben</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019"/>
          </w:cols>
          <w:pgMar w:left="1440" w:top="622" w:right="1440" w:bottom="1440" w:gutter="0" w:footer="0" w:header="0"/>
        </w:sectPr>
      </w:pPr>
    </w:p>
    <w:bookmarkStart w:id="188" w:name="page189"/>
    <w:bookmarkEnd w:id="188"/>
    <w:p>
      <w:pPr>
        <w:ind w:left="1080"/>
        <w:spacing w:after="0"/>
        <w:rPr>
          <w:sz w:val="20"/>
          <w:szCs w:val="20"/>
          <w:color w:val="auto"/>
        </w:rPr>
      </w:pPr>
      <w:r>
        <w:rPr>
          <w:rFonts w:ascii="Courier New" w:cs="Courier New" w:eastAsia="Courier New" w:hAnsi="Courier New"/>
          <w:sz w:val="15"/>
          <w:szCs w:val="15"/>
          <w:color w:val="auto"/>
        </w:rPr>
        <w:t>DEUTSCHE BANK</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Steven M. Godeke</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Steven M. Godele</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Bina R. Dabbah</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Bina R. Dabbah</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UNION BANK</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Gabriel A. Renga</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Gabriel A. Renga</w:t>
      </w:r>
    </w:p>
    <w:p>
      <w:pPr>
        <w:ind w:left="134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TORONTO DOMINION BANK</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Neva Nesbitt</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Neva Nesbitt</w:t>
      </w:r>
    </w:p>
    <w:p>
      <w:pPr>
        <w:spacing w:after="0" w:line="4"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Title: Manager, Credit Administration</w:t>
      </w:r>
    </w:p>
    <w:p>
      <w:pPr>
        <w:spacing w:after="0" w:line="200" w:lineRule="exact"/>
        <w:rPr>
          <w:sz w:val="20"/>
          <w:szCs w:val="20"/>
          <w:color w:val="auto"/>
        </w:rPr>
      </w:pPr>
    </w:p>
    <w:p>
      <w:pPr>
        <w:spacing w:after="0" w:line="314"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FLEET NATIONAL BANK OF CONNECTICUT</w:t>
      </w:r>
    </w:p>
    <w:p>
      <w:pPr>
        <w:spacing w:after="0" w:line="16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Stephen Charles</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Stephen Charles</w:t>
      </w:r>
    </w:p>
    <w:p>
      <w:pPr>
        <w:ind w:left="134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BARCLAYS BANK PLC</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James K. Downy</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James K. Downy</w:t>
      </w:r>
    </w:p>
    <w:p>
      <w:pPr>
        <w:ind w:left="1340"/>
        <w:spacing w:after="0" w:line="238" w:lineRule="auto"/>
        <w:rPr>
          <w:sz w:val="20"/>
          <w:szCs w:val="20"/>
          <w:color w:val="auto"/>
        </w:rPr>
      </w:pPr>
      <w:r>
        <w:rPr>
          <w:rFonts w:ascii="Courier New" w:cs="Courier New" w:eastAsia="Courier New" w:hAnsi="Courier New"/>
          <w:sz w:val="15"/>
          <w:szCs w:val="15"/>
          <w:color w:val="auto"/>
        </w:rPr>
        <w:t>Title: Associate Director</w:t>
      </w:r>
    </w:p>
    <w:p>
      <w:pPr>
        <w:spacing w:after="0" w:line="33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9019"/>
          </w:cols>
          <w:pgMar w:left="1440" w:top="792" w:right="1440" w:bottom="1440" w:gutter="0" w:footer="0" w:header="0"/>
        </w:sectPr>
      </w:pPr>
    </w:p>
    <w:bookmarkStart w:id="189" w:name="page190"/>
    <w:bookmarkEnd w:id="189"/>
    <w:p>
      <w:pPr>
        <w:ind w:left="1080"/>
        <w:spacing w:after="0"/>
        <w:rPr>
          <w:sz w:val="20"/>
          <w:szCs w:val="20"/>
          <w:color w:val="auto"/>
        </w:rPr>
      </w:pPr>
      <w:r>
        <w:rPr>
          <w:rFonts w:ascii="Courier New" w:cs="Courier New" w:eastAsia="Courier New" w:hAnsi="Courier New"/>
          <w:sz w:val="15"/>
          <w:szCs w:val="15"/>
          <w:color w:val="auto"/>
        </w:rPr>
        <w:t>BANK BRUSSELS LAMBERT, NY BRANCH</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Gerrit Verlodt</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Gerrit Verlodt</w:t>
      </w:r>
    </w:p>
    <w:p>
      <w:pPr>
        <w:ind w:left="134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Dominick H.J. Vangaever</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rPr>
          <w:sz w:val="20"/>
          <w:szCs w:val="20"/>
          <w:color w:val="auto"/>
        </w:rPr>
      </w:pPr>
      <w:r>
        <w:rPr>
          <w:rFonts w:ascii="Courier New" w:cs="Courier New" w:eastAsia="Courier New" w:hAnsi="Courier New"/>
          <w:sz w:val="15"/>
          <w:szCs w:val="15"/>
          <w:color w:val="auto"/>
        </w:rPr>
        <w:t>Name: Dominick H.J. Vangaever</w:t>
      </w:r>
    </w:p>
    <w:p>
      <w:pPr>
        <w:spacing w:after="0" w:line="4"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Title: Vice President, Credit Dept.</w:t>
      </w:r>
    </w:p>
    <w:p>
      <w:pPr>
        <w:spacing w:after="0" w:line="200" w:lineRule="exact"/>
        <w:rPr>
          <w:sz w:val="20"/>
          <w:szCs w:val="20"/>
          <w:color w:val="auto"/>
        </w:rPr>
      </w:pPr>
    </w:p>
    <w:p>
      <w:pPr>
        <w:spacing w:after="0" w:line="314"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BANK OF MONTREAL</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Yvonne Bos</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Yvonne Bos</w:t>
      </w:r>
    </w:p>
    <w:p>
      <w:pPr>
        <w:ind w:left="1340"/>
        <w:spacing w:after="0" w:line="238" w:lineRule="auto"/>
        <w:rPr>
          <w:sz w:val="20"/>
          <w:szCs w:val="20"/>
          <w:color w:val="auto"/>
        </w:rPr>
      </w:pPr>
      <w:r>
        <w:rPr>
          <w:rFonts w:ascii="Courier New" w:cs="Courier New" w:eastAsia="Courier New" w:hAnsi="Courier New"/>
          <w:sz w:val="15"/>
          <w:szCs w:val="15"/>
          <w:color w:val="auto"/>
        </w:rPr>
        <w:t>Title: Managing Director</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CREDIT LYONNAIS</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James E. Morris</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James E. Morris</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019"/>
          </w:cols>
          <w:pgMar w:left="1440" w:top="792" w:right="1440" w:bottom="1440" w:gutter="0" w:footer="0" w:header="0"/>
        </w:sectPr>
      </w:pPr>
    </w:p>
    <w:bookmarkStart w:id="190" w:name="page191"/>
    <w:bookmarkEnd w:id="190"/>
    <w:p>
      <w:pPr>
        <w:ind w:left="1520"/>
        <w:spacing w:after="0"/>
        <w:rPr>
          <w:sz w:val="20"/>
          <w:szCs w:val="20"/>
          <w:color w:val="auto"/>
        </w:rPr>
      </w:pPr>
      <w:r>
        <w:rPr>
          <w:rFonts w:ascii="Courier New" w:cs="Courier New" w:eastAsia="Courier New" w:hAnsi="Courier New"/>
          <w:sz w:val="15"/>
          <w:szCs w:val="15"/>
          <w:color w:val="auto"/>
        </w:rPr>
        <w:t>Schedule I</w:t>
      </w:r>
    </w:p>
    <w:p>
      <w:pPr>
        <w:spacing w:after="0" w:line="175" w:lineRule="exact"/>
        <w:rPr>
          <w:sz w:val="20"/>
          <w:szCs w:val="20"/>
          <w:color w:val="auto"/>
        </w:rPr>
      </w:pPr>
    </w:p>
    <w:p>
      <w:pPr>
        <w:ind w:left="-320" w:right="3699" w:firstLine="873"/>
        <w:spacing w:after="0" w:line="235" w:lineRule="auto"/>
        <w:tabs>
          <w:tab w:leader="none" w:pos="826"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Parents Agreement, dated as of July 24, 1995, among Viacom, TCI and TCI Sub.</w:t>
      </w:r>
    </w:p>
    <w:p>
      <w:pPr>
        <w:spacing w:after="0" w:line="175" w:lineRule="exact"/>
        <w:rPr>
          <w:rFonts w:ascii="Courier New" w:cs="Courier New" w:eastAsia="Courier New" w:hAnsi="Courier New"/>
          <w:sz w:val="15"/>
          <w:szCs w:val="15"/>
          <w:color w:val="auto"/>
        </w:rPr>
      </w:pPr>
    </w:p>
    <w:p>
      <w:pPr>
        <w:ind w:left="-320" w:right="3619" w:firstLine="873"/>
        <w:spacing w:after="0" w:line="235" w:lineRule="auto"/>
        <w:tabs>
          <w:tab w:leader="none" w:pos="826"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Implementation Agreement, dated as of July 24, 1995, between VII and VII Services.</w:t>
      </w:r>
    </w:p>
    <w:p>
      <w:pPr>
        <w:spacing w:after="0" w:line="175" w:lineRule="exact"/>
        <w:rPr>
          <w:rFonts w:ascii="Courier New" w:cs="Courier New" w:eastAsia="Courier New" w:hAnsi="Courier New"/>
          <w:sz w:val="15"/>
          <w:szCs w:val="15"/>
          <w:color w:val="auto"/>
        </w:rPr>
      </w:pPr>
    </w:p>
    <w:p>
      <w:pPr>
        <w:ind w:left="-320" w:right="3259" w:firstLine="873"/>
        <w:spacing w:after="0" w:line="235" w:lineRule="auto"/>
        <w:tabs>
          <w:tab w:leader="none" w:pos="826"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Subscription Agreement, dated as of July 24, 1995, among VII, TCI and TCI Sub.</w:t>
      </w:r>
    </w:p>
    <w:p>
      <w:pPr>
        <w:spacing w:after="0" w:line="200" w:lineRule="exact"/>
        <w:rPr>
          <w:sz w:val="20"/>
          <w:szCs w:val="20"/>
          <w:color w:val="auto"/>
        </w:rPr>
      </w:pPr>
    </w:p>
    <w:p>
      <w:pPr>
        <w:spacing w:after="0" w:line="30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019"/>
          </w:cols>
          <w:pgMar w:left="1440" w:top="961" w:right="1440" w:bottom="1440" w:gutter="0" w:footer="0" w:header="0"/>
        </w:sectPr>
      </w:pPr>
    </w:p>
    <w:bookmarkStart w:id="191" w:name="page192"/>
    <w:bookmarkEnd w:id="191"/>
    <w:p>
      <w:pPr>
        <w:jc w:val="center"/>
        <w:ind w:right="3099"/>
        <w:spacing w:after="0"/>
        <w:rPr>
          <w:sz w:val="20"/>
          <w:szCs w:val="20"/>
          <w:color w:val="auto"/>
        </w:rPr>
      </w:pPr>
      <w:r>
        <w:rPr>
          <w:rFonts w:ascii="Courier New" w:cs="Courier New" w:eastAsia="Courier New" w:hAnsi="Courier New"/>
          <w:sz w:val="15"/>
          <w:szCs w:val="15"/>
          <w:color w:val="auto"/>
        </w:rPr>
        <w:t>PRICING</w:t>
      </w:r>
    </w:p>
    <w:p>
      <w:pPr>
        <w:jc w:val="center"/>
        <w:ind w:right="3099"/>
        <w:spacing w:after="0"/>
        <w:rPr>
          <w:sz w:val="20"/>
          <w:szCs w:val="20"/>
          <w:color w:val="auto"/>
        </w:rPr>
      </w:pPr>
      <w:r>
        <w:rPr>
          <w:rFonts w:ascii="Courier New" w:cs="Courier New" w:eastAsia="Courier New" w:hAnsi="Courier New"/>
          <w:sz w:val="15"/>
          <w:szCs w:val="15"/>
          <w:color w:val="auto"/>
        </w:rPr>
        <w:t>AMENDMENT</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This Amendment ("Amendment"), dated as of November 17, 1995, shall</w:t>
      </w:r>
    </w:p>
    <w:p>
      <w:pPr>
        <w:spacing w:after="0"/>
        <w:rPr>
          <w:sz w:val="20"/>
          <w:szCs w:val="20"/>
          <w:color w:val="auto"/>
        </w:rPr>
      </w:pPr>
      <w:r>
        <w:rPr>
          <w:rFonts w:ascii="Courier New" w:cs="Courier New" w:eastAsia="Courier New" w:hAnsi="Courier New"/>
          <w:sz w:val="15"/>
          <w:szCs w:val="15"/>
          <w:color w:val="auto"/>
        </w:rPr>
        <w:t>be:</w:t>
      </w:r>
    </w:p>
    <w:p>
      <w:pPr>
        <w:spacing w:after="0" w:line="174" w:lineRule="exact"/>
        <w:rPr>
          <w:sz w:val="20"/>
          <w:szCs w:val="20"/>
          <w:color w:val="auto"/>
        </w:rPr>
      </w:pPr>
    </w:p>
    <w:p>
      <w:pPr>
        <w:ind w:right="3179" w:firstLine="970"/>
        <w:spacing w:after="0" w:line="238" w:lineRule="auto"/>
        <w:rPr>
          <w:sz w:val="20"/>
          <w:szCs w:val="20"/>
          <w:color w:val="auto"/>
        </w:rPr>
      </w:pPr>
      <w:r>
        <w:rPr>
          <w:rFonts w:ascii="Courier New" w:cs="Courier New" w:eastAsia="Courier New" w:hAnsi="Courier New"/>
          <w:sz w:val="15"/>
          <w:szCs w:val="15"/>
          <w:color w:val="auto"/>
        </w:rPr>
        <w:t>AMENDMENT NO. 5 to the $6.489 BILLION CREDIT AGREEMENT, dated as of July 1, 1994, as amended, ("Parent Facility") among VIACOM INC., a Delaware corporation ("Viacom"), each of the several Banks, THE BANK OF NEW YORK, as a Managing Agent and as the Documentation Agent, CITIBANK, N.A., as a Managing Agent and as the Administrative Agent, MORGAN GUARANTY TRUST COMPANY OF NEW YORK, as a Managing Agent, JP MORGAN SECURITIES INC., as the Syndication Agent, BANK OF AMERICA NT&amp;SA, as a Managing Agent, the Banks identified as Agents on the signature pages thereof, as Agents, and the Banks identified as Co-Agents on the signature pages thereof, as Co-Agents.</w:t>
      </w:r>
    </w:p>
    <w:p>
      <w:pPr>
        <w:spacing w:after="0" w:line="179" w:lineRule="exact"/>
        <w:rPr>
          <w:sz w:val="20"/>
          <w:szCs w:val="20"/>
          <w:color w:val="auto"/>
        </w:rPr>
      </w:pPr>
    </w:p>
    <w:p>
      <w:pPr>
        <w:ind w:right="3179" w:firstLine="970"/>
        <w:spacing w:after="0" w:line="238" w:lineRule="auto"/>
        <w:rPr>
          <w:sz w:val="20"/>
          <w:szCs w:val="20"/>
          <w:color w:val="auto"/>
        </w:rPr>
      </w:pPr>
      <w:r>
        <w:rPr>
          <w:rFonts w:ascii="Courier New" w:cs="Courier New" w:eastAsia="Courier New" w:hAnsi="Courier New"/>
          <w:sz w:val="15"/>
          <w:szCs w:val="15"/>
          <w:color w:val="auto"/>
        </w:rPr>
        <w:t>AMENDMENT NO. 4 to the $311 MILLION CREDIT AGREEMENT, dated as of July 1, 1994, as amended, (the "Subsidiary Facility") among VIACOM CABLEVISION OF DAYTON INC., WNYT INC., WMZQ INC., WVIT INC., AND VIACOM INTERNATIONAL INC., each a Delaware corporation (collectively "Subsidiary Borrowers"), each of the several Banks, THE BANK OF NEW YORK, as a Managing Agent and as the Documentation Agent, CITIBANK, N.A., as a Managing Agent and as the Administrative Agent, MORGAN GUARANTY TRUST COMPANY OF NEW YORK, as a Managing Agent, JP MORGAN SECURITIES INC., as the Syndication Agent, BANK OF AMERICA NT&amp;SA, as a Managing Agent, the Banks identified as Agents of the signature pages thereof, as Agents, and the Banks identified as Co-Agents on the signature pages thereof, as Co-Agents.</w:t>
      </w:r>
    </w:p>
    <w:p>
      <w:pPr>
        <w:spacing w:after="0" w:line="17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WITNESSETH:</w:t>
      </w:r>
    </w:p>
    <w:p>
      <w:pPr>
        <w:spacing w:after="0" w:line="175" w:lineRule="exact"/>
        <w:rPr>
          <w:sz w:val="20"/>
          <w:szCs w:val="20"/>
          <w:color w:val="auto"/>
        </w:rPr>
      </w:pPr>
    </w:p>
    <w:p>
      <w:pPr>
        <w:ind w:right="3179" w:firstLine="970"/>
        <w:spacing w:after="0" w:line="237" w:lineRule="auto"/>
        <w:rPr>
          <w:sz w:val="20"/>
          <w:szCs w:val="20"/>
          <w:color w:val="auto"/>
        </w:rPr>
      </w:pPr>
      <w:r>
        <w:rPr>
          <w:rFonts w:ascii="Courier New" w:cs="Courier New" w:eastAsia="Courier New" w:hAnsi="Courier New"/>
          <w:sz w:val="15"/>
          <w:szCs w:val="15"/>
          <w:color w:val="auto"/>
        </w:rPr>
        <w:t>WHEREAS, the parties who have heretofore entered into the Parent Facility and the Subsidiary Facility now desire to amend certain provisions of such agreements to provide for a change in the Applicable Eurodollar Rate Margin and Commitment Fees payable thereunder,</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NOW THEREFORE, the parties hereto agree as follows:</w:t>
      </w:r>
    </w:p>
    <w:p>
      <w:pPr>
        <w:spacing w:after="0" w:line="169" w:lineRule="exact"/>
        <w:rPr>
          <w:sz w:val="20"/>
          <w:szCs w:val="20"/>
          <w:color w:val="auto"/>
        </w:rPr>
      </w:pPr>
    </w:p>
    <w:p>
      <w:pPr>
        <w:ind w:left="960"/>
        <w:spacing w:after="0"/>
        <w:tabs>
          <w:tab w:leader="none" w:pos="200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4"/>
          <w:szCs w:val="14"/>
          <w:color w:val="auto"/>
        </w:rPr>
        <w:t>Amendments.</w:t>
      </w:r>
    </w:p>
    <w:p>
      <w:pPr>
        <w:spacing w:after="0" w:line="175" w:lineRule="exact"/>
        <w:rPr>
          <w:sz w:val="20"/>
          <w:szCs w:val="20"/>
          <w:color w:val="auto"/>
        </w:rPr>
      </w:pPr>
    </w:p>
    <w:p>
      <w:pPr>
        <w:ind w:right="3439" w:firstLine="1401"/>
        <w:spacing w:after="0" w:line="265" w:lineRule="auto"/>
        <w:tabs>
          <w:tab w:leader="none" w:pos="1763"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definition of Applicable Eurodollar Rate Margin in Section 1.1 of the Parent Facility and Section 1.1 of the Subsidiary Facility</w:t>
      </w:r>
    </w:p>
    <w:p>
      <w:pPr>
        <w:sectPr>
          <w:pgSz w:w="11900" w:h="16838" w:orient="portrait"/>
          <w:cols w:equalWidth="0" w:num="1">
            <w:col w:w="10219"/>
          </w:cols>
          <w:pgMar w:left="240" w:top="622" w:right="1440" w:bottom="1440" w:gutter="0" w:footer="0" w:header="0"/>
        </w:sectPr>
      </w:pPr>
    </w:p>
    <w:bookmarkStart w:id="192" w:name="page193"/>
    <w:bookmarkEnd w:id="192"/>
    <w:p>
      <w:pPr>
        <w:ind w:right="3359"/>
        <w:spacing w:after="0" w:line="235" w:lineRule="auto"/>
        <w:rPr>
          <w:sz w:val="20"/>
          <w:szCs w:val="20"/>
          <w:color w:val="auto"/>
        </w:rPr>
      </w:pPr>
      <w:r>
        <w:rPr>
          <w:rFonts w:ascii="Courier New" w:cs="Courier New" w:eastAsia="Courier New" w:hAnsi="Courier New"/>
          <w:sz w:val="15"/>
          <w:szCs w:val="15"/>
          <w:color w:val="auto"/>
        </w:rPr>
        <w:t>are hereby amended by deleting the tables appearing therein and replacing them in each case with the following table:</w:t>
      </w:r>
    </w:p>
    <w:p>
      <w:pPr>
        <w:spacing w:after="0" w:line="340" w:lineRule="exact"/>
        <w:rPr>
          <w:sz w:val="20"/>
          <w:szCs w:val="20"/>
          <w:color w:val="auto"/>
        </w:rPr>
      </w:pPr>
    </w:p>
    <w:tbl>
      <w:tblPr>
        <w:tblLayout w:type="fixed"/>
        <w:tblInd w:w="1400" w:type="dxa"/>
        <w:tblCellMar>
          <w:top w:w="0" w:type="dxa"/>
          <w:left w:w="0" w:type="dxa"/>
          <w:bottom w:w="0" w:type="dxa"/>
          <w:right w:w="0" w:type="dxa"/>
        </w:tblCellMar>
      </w:tblP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CREDIT RATING</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w w:val="96"/>
              </w:rPr>
              <w:t>MARGIN</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1580" w:type="dxa"/>
            <w:vAlign w:val="bottom"/>
          </w:tcPr>
          <w:p>
            <w:pPr>
              <w:spacing w:after="0"/>
              <w:rPr>
                <w:sz w:val="20"/>
                <w:szCs w:val="20"/>
                <w:color w:val="auto"/>
              </w:rPr>
            </w:pPr>
            <w:r>
              <w:rPr>
                <w:rFonts w:ascii="Courier New" w:cs="Courier New" w:eastAsia="Courier New" w:hAnsi="Courier New"/>
                <w:sz w:val="15"/>
                <w:szCs w:val="15"/>
                <w:color w:val="auto"/>
              </w:rPr>
              <w:t>A-/A3 or better</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w w:val="96"/>
              </w:rPr>
              <w:t>0.300%</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BBB+/Baa1</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w w:val="96"/>
              </w:rPr>
              <w:t>0.375%</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BBB/Baa2</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w w:val="96"/>
              </w:rPr>
              <w:t>0.450%</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BBB-/Baa3</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w w:val="96"/>
              </w:rPr>
              <w:t>0.500%</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BB+/Ba1</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w w:val="96"/>
              </w:rPr>
              <w:t>0.750%</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BB/Ba2</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w w:val="96"/>
              </w:rPr>
              <w:t>0.875%</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BB-/Ba3 or lower</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w w:val="96"/>
              </w:rPr>
              <w:t>1.250%</w:t>
            </w:r>
          </w:p>
        </w:tc>
      </w:tr>
    </w:tbl>
    <w:p>
      <w:pPr>
        <w:spacing w:after="0" w:line="344" w:lineRule="exact"/>
        <w:rPr>
          <w:sz w:val="20"/>
          <w:szCs w:val="20"/>
          <w:color w:val="auto"/>
        </w:rPr>
      </w:pPr>
    </w:p>
    <w:p>
      <w:pPr>
        <w:ind w:right="3179" w:firstLine="1401"/>
        <w:spacing w:after="0" w:line="237" w:lineRule="auto"/>
        <w:tabs>
          <w:tab w:leader="none" w:pos="1763"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5.4 (a) of the Parent Facility and Section 3.4(a) of the Subsidiary Facility are hereby amended by deleting the tables appearing therein and replacing them in each case with the following table:</w:t>
      </w:r>
    </w:p>
    <w:p>
      <w:pPr>
        <w:spacing w:after="0" w:line="169" w:lineRule="exact"/>
        <w:rPr>
          <w:sz w:val="20"/>
          <w:szCs w:val="20"/>
          <w:color w:val="auto"/>
        </w:rPr>
      </w:pPr>
    </w:p>
    <w:tbl>
      <w:tblPr>
        <w:tblLayout w:type="fixed"/>
        <w:tblInd w:w="1400" w:type="dxa"/>
        <w:tblCellMar>
          <w:top w:w="0" w:type="dxa"/>
          <w:left w:w="0" w:type="dxa"/>
          <w:bottom w:w="0" w:type="dxa"/>
          <w:right w:w="0" w:type="dxa"/>
        </w:tblCellMar>
      </w:tblP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CREDIT RATING</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w w:val="96"/>
              </w:rPr>
              <w:t>COMMITMENT FEE</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1580" w:type="dxa"/>
            <w:vAlign w:val="bottom"/>
          </w:tcPr>
          <w:p>
            <w:pPr>
              <w:spacing w:after="0"/>
              <w:rPr>
                <w:sz w:val="20"/>
                <w:szCs w:val="20"/>
                <w:color w:val="auto"/>
              </w:rPr>
            </w:pPr>
            <w:r>
              <w:rPr>
                <w:rFonts w:ascii="Courier New" w:cs="Courier New" w:eastAsia="Courier New" w:hAnsi="Courier New"/>
                <w:sz w:val="15"/>
                <w:szCs w:val="15"/>
                <w:color w:val="auto"/>
              </w:rPr>
              <w:t>A-/A3 or better</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0.1250%</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BBB+/Baa1</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0.1500%</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BBB/Baa2</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0.1875%</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BBB-/Baa3</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0.2000%</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BB+/Ba1</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0.3125%</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BB/Ba2</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0.3500%</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BB-/Ba3 or lower</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0.4000%</w:t>
            </w:r>
          </w:p>
        </w:tc>
      </w:tr>
    </w:tbl>
    <w:p>
      <w:pPr>
        <w:spacing w:after="0" w:line="344" w:lineRule="exact"/>
        <w:rPr>
          <w:sz w:val="20"/>
          <w:szCs w:val="20"/>
          <w:color w:val="auto"/>
        </w:rPr>
      </w:pPr>
    </w:p>
    <w:p>
      <w:pPr>
        <w:ind w:right="3359" w:firstLine="970"/>
        <w:spacing w:after="0" w:line="237" w:lineRule="auto"/>
        <w:rPr>
          <w:sz w:val="20"/>
          <w:szCs w:val="20"/>
          <w:color w:val="auto"/>
        </w:rPr>
      </w:pPr>
      <w:r>
        <w:rPr>
          <w:rFonts w:ascii="Courier New" w:cs="Courier New" w:eastAsia="Courier New" w:hAnsi="Courier New"/>
          <w:sz w:val="15"/>
          <w:szCs w:val="15"/>
          <w:color w:val="auto"/>
        </w:rPr>
        <w:t>SECTION 2. Effectiveness. This Amendment will be effective upon the execution hereof by each of Viacom, each Subsidiary Borrower, VII and VII Services and each of the Banks.</w:t>
      </w:r>
    </w:p>
    <w:p>
      <w:pPr>
        <w:spacing w:after="0" w:line="175" w:lineRule="exact"/>
        <w:rPr>
          <w:sz w:val="20"/>
          <w:szCs w:val="20"/>
          <w:color w:val="auto"/>
        </w:rPr>
      </w:pPr>
    </w:p>
    <w:p>
      <w:pPr>
        <w:ind w:right="3179" w:firstLine="970"/>
        <w:spacing w:after="0" w:line="237" w:lineRule="auto"/>
        <w:rPr>
          <w:sz w:val="20"/>
          <w:szCs w:val="20"/>
          <w:color w:val="auto"/>
        </w:rPr>
      </w:pPr>
      <w:r>
        <w:rPr>
          <w:rFonts w:ascii="Courier New" w:cs="Courier New" w:eastAsia="Courier New" w:hAnsi="Courier New"/>
          <w:sz w:val="15"/>
          <w:szCs w:val="15"/>
          <w:color w:val="auto"/>
        </w:rPr>
        <w:t>SECTION 3. Representations and Warranties. Each of Viacom, the Subsidiary Borrowers and the Guarantor Subsidiary hereby represents and warrants that as of the date hereof, both before and after giving effect to this Amendment no Default or Event of Default shall exist or be continuing under the Parent Facility or the Subsidiary Facility.</w:t>
      </w:r>
    </w:p>
    <w:p>
      <w:pPr>
        <w:spacing w:after="0" w:line="173" w:lineRule="exact"/>
        <w:rPr>
          <w:sz w:val="20"/>
          <w:szCs w:val="20"/>
          <w:color w:val="auto"/>
        </w:rPr>
      </w:pPr>
    </w:p>
    <w:p>
      <w:pPr>
        <w:jc w:val="right"/>
        <w:ind w:right="3179"/>
        <w:spacing w:after="0"/>
        <w:tabs>
          <w:tab w:leader="none" w:pos="3680" w:val="left"/>
          <w:tab w:leader="none" w:pos="3240" w:val="left"/>
        </w:tabs>
        <w:rPr>
          <w:sz w:val="20"/>
          <w:szCs w:val="20"/>
          <w:color w:val="auto"/>
        </w:rPr>
      </w:pPr>
      <w:r>
        <w:rPr>
          <w:rFonts w:ascii="Courier New" w:cs="Courier New" w:eastAsia="Courier New" w:hAnsi="Courier New"/>
          <w:sz w:val="15"/>
          <w:szCs w:val="15"/>
          <w:color w:val="auto"/>
        </w:rPr>
        <w:t>SECTION 4. Miscellaneous.</w:t>
        <w:tab/>
        <w:t>(a)</w:t>
      </w:r>
      <w:r>
        <w:rPr>
          <w:sz w:val="20"/>
          <w:szCs w:val="20"/>
          <w:color w:val="auto"/>
        </w:rPr>
        <w:tab/>
      </w:r>
      <w:r>
        <w:rPr>
          <w:rFonts w:ascii="Courier New" w:cs="Courier New" w:eastAsia="Courier New" w:hAnsi="Courier New"/>
          <w:sz w:val="14"/>
          <w:szCs w:val="14"/>
          <w:color w:val="auto"/>
        </w:rPr>
        <w:t>Capitalized terms used herein and not</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7" w:right="1440" w:bottom="1440" w:gutter="0" w:footer="0" w:header="0"/>
        </w:sectPr>
      </w:pPr>
    </w:p>
    <w:bookmarkStart w:id="193" w:name="page194"/>
    <w:bookmarkEnd w:id="193"/>
    <w:p>
      <w:pPr>
        <w:ind w:right="3179"/>
        <w:spacing w:after="0" w:line="235" w:lineRule="auto"/>
        <w:rPr>
          <w:sz w:val="20"/>
          <w:szCs w:val="20"/>
          <w:color w:val="auto"/>
        </w:rPr>
      </w:pPr>
      <w:r>
        <w:rPr>
          <w:rFonts w:ascii="Courier New" w:cs="Courier New" w:eastAsia="Courier New" w:hAnsi="Courier New"/>
          <w:sz w:val="15"/>
          <w:szCs w:val="15"/>
          <w:color w:val="auto"/>
        </w:rPr>
        <w:t>otherwise defined herein shall have the meanings ascribed to them in each of the Parent Facility and the Subsidiary Facility.</w:t>
      </w:r>
    </w:p>
    <w:p>
      <w:pPr>
        <w:spacing w:after="0" w:line="176" w:lineRule="exact"/>
        <w:rPr>
          <w:sz w:val="20"/>
          <w:szCs w:val="20"/>
          <w:color w:val="auto"/>
        </w:rPr>
      </w:pPr>
    </w:p>
    <w:p>
      <w:pPr>
        <w:jc w:val="both"/>
        <w:ind w:right="3439" w:firstLine="1401"/>
        <w:spacing w:after="0" w:line="237" w:lineRule="auto"/>
        <w:tabs>
          <w:tab w:leader="none" w:pos="1763"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amended hereby, all of the terms of each of the Parent Facility and the Subsidiary Facility shall remain and continue in full force and effect and are hereby confirmed in all respects.</w:t>
      </w:r>
    </w:p>
    <w:p>
      <w:pPr>
        <w:spacing w:after="0" w:line="174" w:lineRule="exact"/>
        <w:rPr>
          <w:rFonts w:ascii="Courier New" w:cs="Courier New" w:eastAsia="Courier New" w:hAnsi="Courier New"/>
          <w:sz w:val="15"/>
          <w:szCs w:val="15"/>
          <w:color w:val="auto"/>
        </w:rPr>
      </w:pPr>
    </w:p>
    <w:p>
      <w:pPr>
        <w:ind w:right="3259" w:firstLine="1401"/>
        <w:spacing w:after="0" w:line="235" w:lineRule="auto"/>
        <w:tabs>
          <w:tab w:leader="none" w:pos="1763"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shall be a Loan Document for the purposes of the Parent Facility and the Subsidiary Facility.</w:t>
      </w:r>
    </w:p>
    <w:p>
      <w:pPr>
        <w:spacing w:after="0" w:line="175" w:lineRule="exact"/>
        <w:rPr>
          <w:rFonts w:ascii="Courier New" w:cs="Courier New" w:eastAsia="Courier New" w:hAnsi="Courier New"/>
          <w:sz w:val="15"/>
          <w:szCs w:val="15"/>
          <w:color w:val="auto"/>
        </w:rPr>
      </w:pPr>
    </w:p>
    <w:p>
      <w:pPr>
        <w:ind w:right="3179" w:firstLine="1401"/>
        <w:spacing w:after="0" w:line="237" w:lineRule="auto"/>
        <w:tabs>
          <w:tab w:leader="none" w:pos="1763"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may be signed in any number of counterparts, each of which shall be an original, with the same effect as if the signatures thereto were upon the same instrument. Delivery of an executed counterpart of a signature page of this Amendment by telecopier shall be effective as delivery of a manually executed counterpart of this Amendment.</w:t>
      </w:r>
    </w:p>
    <w:p>
      <w:pPr>
        <w:spacing w:after="0" w:line="178" w:lineRule="exact"/>
        <w:rPr>
          <w:rFonts w:ascii="Courier New" w:cs="Courier New" w:eastAsia="Courier New" w:hAnsi="Courier New"/>
          <w:sz w:val="15"/>
          <w:szCs w:val="15"/>
          <w:color w:val="auto"/>
        </w:rPr>
      </w:pPr>
    </w:p>
    <w:p>
      <w:pPr>
        <w:ind w:right="3179" w:firstLine="1401"/>
        <w:spacing w:after="0" w:line="237" w:lineRule="auto"/>
        <w:tabs>
          <w:tab w:leader="none" w:pos="1763"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AND THE RIGHTS AND OBLIGATIONS OF THE PARTIES HERETO SHALL BE GOVERNED BY, AND CONSTRUED IN ACCORDANCE WITH, THE LAWS OF THE STATE OF NEW YORK.</w:t>
      </w:r>
    </w:p>
    <w:p>
      <w:pPr>
        <w:spacing w:after="0" w:line="175" w:lineRule="exact"/>
        <w:rPr>
          <w:sz w:val="20"/>
          <w:szCs w:val="20"/>
          <w:color w:val="auto"/>
        </w:rPr>
      </w:pPr>
    </w:p>
    <w:p>
      <w:pPr>
        <w:jc w:val="both"/>
        <w:ind w:right="3359" w:firstLine="970"/>
        <w:spacing w:after="0" w:line="260" w:lineRule="auto"/>
        <w:rPr>
          <w:sz w:val="20"/>
          <w:szCs w:val="20"/>
          <w:color w:val="auto"/>
        </w:rPr>
      </w:pPr>
      <w:r>
        <w:rPr>
          <w:rFonts w:ascii="Courier New" w:cs="Courier New" w:eastAsia="Courier New" w:hAnsi="Courier New"/>
          <w:sz w:val="14"/>
          <w:szCs w:val="14"/>
          <w:color w:val="auto"/>
        </w:rPr>
        <w:t>SECTION 5. Guarantor Subsidiary Confirmation. By signing below, the Guarantor Subsidiary hereby agrees to the terms of the foregoing Amendment and confirms that the VII Guarantee remains in full force and effect.</w:t>
      </w:r>
    </w:p>
    <w:p>
      <w:pPr>
        <w:spacing w:after="0" w:line="163" w:lineRule="exact"/>
        <w:rPr>
          <w:sz w:val="20"/>
          <w:szCs w:val="20"/>
          <w:color w:val="auto"/>
        </w:rPr>
      </w:pPr>
    </w:p>
    <w:p>
      <w:pPr>
        <w:ind w:right="3359" w:firstLine="970"/>
        <w:spacing w:after="0" w:line="237" w:lineRule="auto"/>
        <w:rPr>
          <w:sz w:val="20"/>
          <w:szCs w:val="20"/>
          <w:color w:val="auto"/>
        </w:rPr>
      </w:pPr>
      <w:r>
        <w:rPr>
          <w:rFonts w:ascii="Courier New" w:cs="Courier New" w:eastAsia="Courier New" w:hAnsi="Courier New"/>
          <w:sz w:val="15"/>
          <w:szCs w:val="15"/>
          <w:color w:val="auto"/>
        </w:rPr>
        <w:t>SECTION 6. Viacom Inc. Confirmation. By signing below, Viacom Inc., as guarantor under the Parent Guaranty ("Parent Guarantor"), hereby agrees to the terms of the foregoing Amendment and confirms that the Parent Guaranty remains in full force and effect.</w:t>
      </w:r>
    </w:p>
    <w:p>
      <w:pPr>
        <w:spacing w:after="0" w:line="176" w:lineRule="exact"/>
        <w:rPr>
          <w:sz w:val="20"/>
          <w:szCs w:val="20"/>
          <w:color w:val="auto"/>
        </w:rPr>
      </w:pPr>
    </w:p>
    <w:p>
      <w:pPr>
        <w:ind w:right="3259" w:firstLine="970"/>
        <w:spacing w:after="0" w:line="235" w:lineRule="auto"/>
        <w:rPr>
          <w:sz w:val="20"/>
          <w:szCs w:val="20"/>
          <w:color w:val="auto"/>
        </w:rPr>
      </w:pPr>
      <w:r>
        <w:rPr>
          <w:rFonts w:ascii="Courier New" w:cs="Courier New" w:eastAsia="Courier New" w:hAnsi="Courier New"/>
          <w:sz w:val="15"/>
          <w:szCs w:val="15"/>
          <w:color w:val="auto"/>
        </w:rPr>
        <w:t>IN WITNESS WHEREOF, the parties hereto have caused this Amendment to be duly executed as of the date first above written.</w:t>
      </w:r>
    </w:p>
    <w:p>
      <w:pPr>
        <w:spacing w:after="0" w:line="170"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VIACOM INC., as Borrower and Parent Guarantor</w:t>
      </w:r>
    </w:p>
    <w:p>
      <w:pPr>
        <w:spacing w:after="0" w:line="33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 /s/ Vaughn A. Clarke</w:t>
      </w:r>
    </w:p>
    <w:p>
      <w:pPr>
        <w:ind w:left="2540"/>
        <w:spacing w:after="0"/>
        <w:rPr>
          <w:sz w:val="20"/>
          <w:szCs w:val="20"/>
          <w:color w:val="auto"/>
        </w:rPr>
      </w:pPr>
      <w:r>
        <w:rPr>
          <w:rFonts w:ascii="Courier New" w:cs="Courier New" w:eastAsia="Courier New" w:hAnsi="Courier New"/>
          <w:sz w:val="15"/>
          <w:szCs w:val="15"/>
          <w:color w:val="auto"/>
        </w:rPr>
        <w:t>--------------------------------</w:t>
      </w:r>
    </w:p>
    <w:p>
      <w:pPr>
        <w:ind w:left="2540"/>
        <w:spacing w:after="0"/>
        <w:rPr>
          <w:sz w:val="20"/>
          <w:szCs w:val="20"/>
          <w:color w:val="auto"/>
        </w:rPr>
      </w:pPr>
      <w:r>
        <w:rPr>
          <w:rFonts w:ascii="Courier New" w:cs="Courier New" w:eastAsia="Courier New" w:hAnsi="Courier New"/>
          <w:sz w:val="15"/>
          <w:szCs w:val="15"/>
          <w:color w:val="auto"/>
        </w:rPr>
        <w:t>Name: Vaughn A. Clarke</w:t>
      </w:r>
    </w:p>
    <w:p>
      <w:pPr>
        <w:ind w:left="254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7" w:right="1440" w:bottom="1440" w:gutter="0" w:footer="0" w:header="0"/>
        </w:sectPr>
      </w:pPr>
    </w:p>
    <w:bookmarkStart w:id="194" w:name="page195"/>
    <w:bookmarkEnd w:id="194"/>
    <w:p>
      <w:pPr>
        <w:ind w:left="1080"/>
        <w:spacing w:after="0"/>
        <w:rPr>
          <w:sz w:val="20"/>
          <w:szCs w:val="20"/>
          <w:color w:val="auto"/>
        </w:rPr>
      </w:pPr>
      <w:r>
        <w:rPr>
          <w:rFonts w:ascii="Courier New" w:cs="Courier New" w:eastAsia="Courier New" w:hAnsi="Courier New"/>
          <w:sz w:val="14"/>
          <w:szCs w:val="14"/>
          <w:color w:val="auto"/>
        </w:rPr>
        <w:t>VIACOM INTERNATIONAL INC., as a Subsidiary Borrower</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and as a Guarantor Subsidiary</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 /s/ Vaughn A. Clarke</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rPr>
          <w:sz w:val="20"/>
          <w:szCs w:val="20"/>
          <w:color w:val="auto"/>
        </w:rPr>
      </w:pPr>
      <w:r>
        <w:rPr>
          <w:rFonts w:ascii="Courier New" w:cs="Courier New" w:eastAsia="Courier New" w:hAnsi="Courier New"/>
          <w:sz w:val="15"/>
          <w:szCs w:val="15"/>
          <w:color w:val="auto"/>
        </w:rPr>
        <w:t>Name: Vaughn A. Clarke</w:t>
      </w:r>
    </w:p>
    <w:p>
      <w:pPr>
        <w:ind w:left="134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16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On behalf of the following Subsidiary Borrowers:</w:t>
      </w:r>
    </w:p>
    <w:p>
      <w:pPr>
        <w:spacing w:after="0" w:line="16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VIACOM CABLEVISION OF DAYTON INC.,</w:t>
      </w:r>
    </w:p>
    <w:p>
      <w:pPr>
        <w:spacing w:after="0" w:line="16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WNYT INC.,</w:t>
      </w:r>
    </w:p>
    <w:p>
      <w:pPr>
        <w:spacing w:after="0" w:line="16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WMZQ INC. and</w:t>
      </w:r>
    </w:p>
    <w:p>
      <w:pPr>
        <w:spacing w:after="0" w:line="16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WVIT INC.,</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Vaughn A. Clarke</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Vaughn A. Clarke</w:t>
      </w:r>
    </w:p>
    <w:p>
      <w:pPr>
        <w:ind w:left="134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16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VIACOM INTERNATIONAL SERVICES INC.</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Vaughn A. Clarke</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Vaughn A. Clarke</w:t>
      </w:r>
    </w:p>
    <w:p>
      <w:pPr>
        <w:ind w:left="134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CREDIT SUISSE</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 Hamilton Crawford</w:t>
      </w:r>
    </w:p>
    <w:p>
      <w:pPr>
        <w:ind w:left="1340"/>
        <w:spacing w:after="0"/>
        <w:rPr>
          <w:sz w:val="20"/>
          <w:szCs w:val="20"/>
          <w:color w:val="auto"/>
        </w:rPr>
      </w:pPr>
      <w:r>
        <w:rPr>
          <w:rFonts w:ascii="Courier New" w:cs="Courier New" w:eastAsia="Courier New" w:hAnsi="Courier New"/>
          <w:sz w:val="15"/>
          <w:szCs w:val="15"/>
          <w:color w:val="auto"/>
        </w:rPr>
        <w:t>--------------------------------</w:t>
      </w:r>
    </w:p>
    <w:p>
      <w:pPr>
        <w:ind w:left="1180"/>
        <w:spacing w:after="0"/>
        <w:rPr>
          <w:sz w:val="20"/>
          <w:szCs w:val="20"/>
          <w:color w:val="auto"/>
        </w:rPr>
      </w:pPr>
      <w:r>
        <w:rPr>
          <w:rFonts w:ascii="Courier New" w:cs="Courier New" w:eastAsia="Courier New" w:hAnsi="Courier New"/>
          <w:sz w:val="15"/>
          <w:szCs w:val="15"/>
          <w:color w:val="auto"/>
        </w:rPr>
        <w:t>Name: J. Hamilton Crawford</w:t>
      </w:r>
    </w:p>
    <w:p>
      <w:pPr>
        <w:ind w:left="1340"/>
        <w:spacing w:after="0" w:line="238" w:lineRule="auto"/>
        <w:rPr>
          <w:sz w:val="20"/>
          <w:szCs w:val="20"/>
          <w:color w:val="auto"/>
        </w:rPr>
      </w:pPr>
      <w:r>
        <w:rPr>
          <w:rFonts w:ascii="Courier New" w:cs="Courier New" w:eastAsia="Courier New" w:hAnsi="Courier New"/>
          <w:sz w:val="15"/>
          <w:szCs w:val="15"/>
          <w:color w:val="auto"/>
        </w:rPr>
        <w:t>Title: Associate</w:t>
      </w:r>
    </w:p>
    <w:p>
      <w:pPr>
        <w:spacing w:after="0" w:line="200" w:lineRule="exact"/>
        <w:rPr>
          <w:sz w:val="20"/>
          <w:szCs w:val="20"/>
          <w:color w:val="auto"/>
        </w:rPr>
      </w:pPr>
    </w:p>
    <w:p>
      <w:pPr>
        <w:spacing w:after="0" w:line="30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019"/>
          </w:cols>
          <w:pgMar w:left="1440" w:top="627" w:right="1440" w:bottom="1440" w:gutter="0" w:footer="0" w:header="0"/>
        </w:sectPr>
      </w:pPr>
    </w:p>
    <w:bookmarkStart w:id="195" w:name="page196"/>
    <w:bookmarkEnd w:id="195"/>
    <w:p>
      <w:pPr>
        <w:ind w:left="1080"/>
        <w:spacing w:after="0"/>
        <w:rPr>
          <w:sz w:val="20"/>
          <w:szCs w:val="20"/>
          <w:color w:val="auto"/>
        </w:rPr>
      </w:pPr>
      <w:r>
        <w:rPr>
          <w:rFonts w:ascii="Courier New" w:cs="Courier New" w:eastAsia="Courier New" w:hAnsi="Courier New"/>
          <w:sz w:val="15"/>
          <w:szCs w:val="15"/>
          <w:color w:val="auto"/>
        </w:rPr>
        <w:t>SOCIETE GENERALE</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Elaine I. Khalil</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Elaine I. Khalil</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BANK OF NEW YORK</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Geoffrey C. Brooks</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Name: Geoffrey C. Brooks</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THE BANK OF TOKYO TRUST COMPANY</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John P. Judge</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John P. Judge</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13"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FIRST INTERSTATE BANK OF WASHINGTON</w:t>
      </w:r>
    </w:p>
    <w:p>
      <w:pPr>
        <w:spacing w:after="0" w:line="344"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Susan Hendrixson</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Susan Hendrixson</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019"/>
          </w:cols>
          <w:pgMar w:left="1440" w:top="622" w:right="1440" w:bottom="1440" w:gutter="0" w:footer="0" w:header="0"/>
        </w:sectPr>
      </w:pPr>
    </w:p>
    <w:bookmarkStart w:id="196" w:name="page197"/>
    <w:bookmarkEnd w:id="196"/>
    <w:p>
      <w:pPr>
        <w:ind w:left="1080"/>
        <w:spacing w:after="0"/>
        <w:rPr>
          <w:sz w:val="20"/>
          <w:szCs w:val="20"/>
          <w:color w:val="auto"/>
        </w:rPr>
      </w:pPr>
      <w:r>
        <w:rPr>
          <w:rFonts w:ascii="Courier New" w:cs="Courier New" w:eastAsia="Courier New" w:hAnsi="Courier New"/>
          <w:sz w:val="15"/>
          <w:szCs w:val="15"/>
          <w:color w:val="auto"/>
        </w:rPr>
        <w:t>UNION BANK OF SWITZERLAND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Stephen A. Cayer</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Stephen A. Cayer</w:t>
      </w:r>
    </w:p>
    <w:p>
      <w:pPr>
        <w:ind w:left="1180"/>
        <w:spacing w:after="0"/>
        <w:rPr>
          <w:sz w:val="20"/>
          <w:szCs w:val="20"/>
          <w:color w:val="auto"/>
        </w:rPr>
      </w:pPr>
      <w:r>
        <w:rPr>
          <w:rFonts w:ascii="Courier New" w:cs="Courier New" w:eastAsia="Courier New" w:hAnsi="Courier New"/>
          <w:sz w:val="15"/>
          <w:szCs w:val="15"/>
          <w:color w:val="auto"/>
        </w:rPr>
        <w:t>Title: Assistant Treasurer</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Peter B. Yearly</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Peter B. Yearly</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YASUDA TRUST &amp; BANKING CO.,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Gerald Gill</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Gerald Gill</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33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BAYERISCHE VEREINSBANK AG</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John Carlson</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John Carlson</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33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Name:</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LLOYDS BANK, PLC</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Paul D. Brianente</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Name: Paul D. Brianente</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33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Theodore R. Walser</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5"/>
          <w:szCs w:val="15"/>
          <w:color w:val="auto"/>
        </w:rPr>
        <w:t>Name: Theodore R. Walser</w:t>
      </w:r>
    </w:p>
    <w:p>
      <w:pPr>
        <w:jc w:val="center"/>
        <w:ind w:right="4379"/>
        <w:spacing w:after="0"/>
        <w:rPr>
          <w:sz w:val="20"/>
          <w:szCs w:val="20"/>
          <w:color w:val="auto"/>
        </w:rPr>
      </w:pPr>
      <w:r>
        <w:rPr>
          <w:rFonts w:ascii="Courier New" w:cs="Courier New" w:eastAsia="Courier New" w:hAnsi="Courier New"/>
          <w:sz w:val="15"/>
          <w:szCs w:val="15"/>
          <w:color w:val="auto"/>
        </w:rPr>
        <w:t>Title: Senior Vice President</w:t>
      </w:r>
    </w:p>
    <w:p>
      <w:pPr>
        <w:spacing w:after="0" w:line="33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019"/>
          </w:cols>
          <w:pgMar w:left="1440" w:top="961" w:right="1440" w:bottom="1440" w:gutter="0" w:footer="0" w:header="0"/>
        </w:sectPr>
      </w:pPr>
    </w:p>
    <w:bookmarkStart w:id="197" w:name="page198"/>
    <w:bookmarkEnd w:id="197"/>
    <w:p>
      <w:pPr>
        <w:ind w:left="1080"/>
        <w:spacing w:after="0"/>
        <w:rPr>
          <w:sz w:val="20"/>
          <w:szCs w:val="20"/>
          <w:color w:val="auto"/>
        </w:rPr>
      </w:pPr>
      <w:r>
        <w:rPr>
          <w:rFonts w:ascii="Courier New" w:cs="Courier New" w:eastAsia="Courier New" w:hAnsi="Courier New"/>
          <w:sz w:val="15"/>
          <w:szCs w:val="15"/>
          <w:color w:val="auto"/>
        </w:rPr>
        <w:t>MITSUBISHI BANK,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Paula Mueller</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Paula Mueller</w:t>
      </w:r>
    </w:p>
    <w:p>
      <w:pPr>
        <w:ind w:left="134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08"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THE MITSUBISHI TRUST AND BANKING</w:t>
      </w:r>
    </w:p>
    <w:p>
      <w:pPr>
        <w:ind w:left="1260"/>
        <w:spacing w:after="0"/>
        <w:rPr>
          <w:sz w:val="20"/>
          <w:szCs w:val="20"/>
          <w:color w:val="auto"/>
        </w:rPr>
      </w:pPr>
      <w:r>
        <w:rPr>
          <w:rFonts w:ascii="Courier New" w:cs="Courier New" w:eastAsia="Courier New" w:hAnsi="Courier New"/>
          <w:sz w:val="15"/>
          <w:szCs w:val="15"/>
          <w:color w:val="auto"/>
        </w:rPr>
        <w:t>CORPORATION</w:t>
      </w:r>
    </w:p>
    <w:p>
      <w:pPr>
        <w:spacing w:after="0" w:line="33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Patricia Loret De Mola</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Name: Patricia Loret De Mola</w:t>
      </w:r>
    </w:p>
    <w:p>
      <w:pPr>
        <w:ind w:left="1080"/>
        <w:spacing w:after="0"/>
        <w:rPr>
          <w:sz w:val="20"/>
          <w:szCs w:val="20"/>
          <w:color w:val="auto"/>
        </w:rPr>
      </w:pPr>
      <w:r>
        <w:rPr>
          <w:rFonts w:ascii="Courier New" w:cs="Courier New" w:eastAsia="Courier New" w:hAnsi="Courier New"/>
          <w:sz w:val="15"/>
          <w:szCs w:val="15"/>
          <w:color w:val="auto"/>
        </w:rPr>
        <w:t>Title: Senior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NATWEST BANK, N.A.</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Michael A. Cerullo</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Name: Michael A. Cerullo</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PNC BANK, NATIONAL ASSOCIATION</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Karen M. Wolters</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Karen M. Wolters</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13" w:lineRule="exact"/>
        <w:rPr>
          <w:sz w:val="20"/>
          <w:szCs w:val="20"/>
          <w:color w:val="auto"/>
        </w:rPr>
      </w:pPr>
    </w:p>
    <w:p>
      <w:pPr>
        <w:ind w:left="560"/>
        <w:spacing w:after="0"/>
        <w:rPr>
          <w:sz w:val="20"/>
          <w:szCs w:val="20"/>
          <w:color w:val="auto"/>
        </w:rPr>
      </w:pPr>
      <w:r>
        <w:rPr>
          <w:rFonts w:ascii="Courier New" w:cs="Courier New" w:eastAsia="Courier New" w:hAnsi="Courier New"/>
          <w:sz w:val="14"/>
          <w:szCs w:val="14"/>
          <w:color w:val="auto"/>
        </w:rPr>
        <w:t>THE SUMITOMO TRUST AND BANKING CO., LTD.</w:t>
      </w:r>
    </w:p>
    <w:p>
      <w:pPr>
        <w:spacing w:after="0" w:line="344"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Suraj P. Bhatia</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Name: Suraj P. Bhatia</w:t>
      </w:r>
    </w:p>
    <w:p>
      <w:pPr>
        <w:ind w:left="1340"/>
        <w:spacing w:after="0"/>
        <w:rPr>
          <w:sz w:val="20"/>
          <w:szCs w:val="20"/>
          <w:color w:val="auto"/>
        </w:rPr>
      </w:pPr>
      <w:r>
        <w:rPr>
          <w:rFonts w:ascii="Courier New" w:cs="Courier New" w:eastAsia="Courier New" w:hAnsi="Courier New"/>
          <w:sz w:val="15"/>
          <w:szCs w:val="15"/>
          <w:color w:val="auto"/>
        </w:rPr>
        <w:t>Title: Senior VP, Mgr. Corp.</w:t>
      </w:r>
    </w:p>
    <w:p>
      <w:pPr>
        <w:ind w:left="1780"/>
        <w:spacing w:after="0"/>
        <w:rPr>
          <w:sz w:val="20"/>
          <w:szCs w:val="20"/>
          <w:color w:val="auto"/>
        </w:rPr>
      </w:pPr>
      <w:r>
        <w:rPr>
          <w:rFonts w:ascii="Courier New" w:cs="Courier New" w:eastAsia="Courier New" w:hAnsi="Courier New"/>
          <w:sz w:val="15"/>
          <w:szCs w:val="15"/>
          <w:color w:val="auto"/>
        </w:rPr>
        <w:t>Finance Dept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019"/>
          </w:cols>
          <w:pgMar w:left="1440" w:top="791" w:right="1440" w:bottom="1440" w:gutter="0" w:footer="0" w:header="0"/>
        </w:sectPr>
      </w:pPr>
    </w:p>
    <w:bookmarkStart w:id="198" w:name="page199"/>
    <w:bookmarkEnd w:id="198"/>
    <w:p>
      <w:pPr>
        <w:ind w:left="1080"/>
        <w:spacing w:after="0"/>
        <w:rPr>
          <w:sz w:val="20"/>
          <w:szCs w:val="20"/>
          <w:color w:val="auto"/>
        </w:rPr>
      </w:pPr>
      <w:r>
        <w:rPr>
          <w:rFonts w:ascii="Courier New" w:cs="Courier New" w:eastAsia="Courier New" w:hAnsi="Courier New"/>
          <w:sz w:val="15"/>
          <w:szCs w:val="15"/>
          <w:color w:val="auto"/>
        </w:rPr>
        <w:t>THE SUMITOMO BANK,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S. Higashi</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rPr>
          <w:sz w:val="20"/>
          <w:szCs w:val="20"/>
          <w:color w:val="auto"/>
        </w:rPr>
      </w:pPr>
      <w:r>
        <w:rPr>
          <w:rFonts w:ascii="Courier New" w:cs="Courier New" w:eastAsia="Courier New" w:hAnsi="Courier New"/>
          <w:sz w:val="15"/>
          <w:szCs w:val="15"/>
          <w:color w:val="auto"/>
        </w:rPr>
        <w:t>Name: S. Higashi</w:t>
      </w:r>
    </w:p>
    <w:p>
      <w:pPr>
        <w:ind w:left="1340"/>
        <w:spacing w:after="0" w:line="238" w:lineRule="auto"/>
        <w:rPr>
          <w:sz w:val="20"/>
          <w:szCs w:val="20"/>
          <w:color w:val="auto"/>
        </w:rPr>
      </w:pPr>
      <w:r>
        <w:rPr>
          <w:rFonts w:ascii="Courier New" w:cs="Courier New" w:eastAsia="Courier New" w:hAnsi="Courier New"/>
          <w:sz w:val="15"/>
          <w:szCs w:val="15"/>
          <w:color w:val="auto"/>
        </w:rPr>
        <w:t>Title: Joint General Manager</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CORESTATES BANK, N.A.</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Edward L. Kittrell</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rPr>
          <w:sz w:val="20"/>
          <w:szCs w:val="20"/>
          <w:color w:val="auto"/>
        </w:rPr>
      </w:pPr>
      <w:r>
        <w:rPr>
          <w:rFonts w:ascii="Courier New" w:cs="Courier New" w:eastAsia="Courier New" w:hAnsi="Courier New"/>
          <w:sz w:val="15"/>
          <w:szCs w:val="15"/>
          <w:color w:val="auto"/>
        </w:rPr>
        <w:t>Name: Edward L. Kittrell</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BANQUE FRANCAISE DU COMMERCE EXTERIEUR</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Peter Karl Harris</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rPr>
          <w:sz w:val="20"/>
          <w:szCs w:val="20"/>
          <w:color w:val="auto"/>
        </w:rPr>
      </w:pPr>
      <w:r>
        <w:rPr>
          <w:rFonts w:ascii="Courier New" w:cs="Courier New" w:eastAsia="Courier New" w:hAnsi="Courier New"/>
          <w:sz w:val="15"/>
          <w:szCs w:val="15"/>
          <w:color w:val="auto"/>
        </w:rPr>
        <w:t>Name: Peter Karl Harris</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William C. Maier</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William C. Maier</w:t>
      </w:r>
    </w:p>
    <w:p>
      <w:pPr>
        <w:ind w:left="1340"/>
        <w:spacing w:after="0" w:line="238" w:lineRule="auto"/>
        <w:rPr>
          <w:sz w:val="20"/>
          <w:szCs w:val="20"/>
          <w:color w:val="auto"/>
        </w:rPr>
      </w:pPr>
      <w:r>
        <w:rPr>
          <w:rFonts w:ascii="Courier New" w:cs="Courier New" w:eastAsia="Courier New" w:hAnsi="Courier New"/>
          <w:sz w:val="15"/>
          <w:szCs w:val="15"/>
          <w:color w:val="auto"/>
        </w:rPr>
        <w:t>Title: VP-Group Manager</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NIPPON CREDIT BANK,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Bernardo E. Correa-Henschke</w:t>
      </w:r>
    </w:p>
    <w:p>
      <w:pPr>
        <w:ind w:left="13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Name: Bernardo E. Correa-Henschke</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Title: Vice President &amp; Manager</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SAKURA BANK,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Hiroshi Shimazaki</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rPr>
          <w:sz w:val="20"/>
          <w:szCs w:val="20"/>
          <w:color w:val="auto"/>
        </w:rPr>
      </w:pPr>
      <w:r>
        <w:rPr>
          <w:rFonts w:ascii="Courier New" w:cs="Courier New" w:eastAsia="Courier New" w:hAnsi="Courier New"/>
          <w:sz w:val="15"/>
          <w:szCs w:val="15"/>
          <w:color w:val="auto"/>
        </w:rPr>
        <w:t>Name: Hiroshi Shimazaki</w:t>
      </w:r>
    </w:p>
    <w:p>
      <w:pPr>
        <w:ind w:left="134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5" w:lineRule="exact"/>
        <w:rPr>
          <w:sz w:val="20"/>
          <w:szCs w:val="20"/>
          <w:color w:val="auto"/>
        </w:rPr>
      </w:pPr>
    </w:p>
    <w:p>
      <w:pPr>
        <w:ind w:left="2220" w:right="6259" w:hanging="256"/>
        <w:spacing w:after="0" w:line="778" w:lineRule="auto"/>
        <w:tabs>
          <w:tab w:leader="none" w:pos="2132"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Manager 8</w:t>
      </w:r>
    </w:p>
    <w:p>
      <w:pPr>
        <w:sectPr>
          <w:pgSz w:w="11900" w:h="16838" w:orient="portrait"/>
          <w:cols w:equalWidth="0" w:num="1">
            <w:col w:w="9019"/>
          </w:cols>
          <w:pgMar w:left="1440" w:top="792" w:right="1440" w:bottom="1440" w:gutter="0" w:footer="0" w:header="0"/>
        </w:sectPr>
      </w:pPr>
    </w:p>
    <w:bookmarkStart w:id="199" w:name="page200"/>
    <w:bookmarkEnd w:id="199"/>
    <w:p>
      <w:pPr>
        <w:ind w:left="1080"/>
        <w:spacing w:after="0"/>
        <w:rPr>
          <w:sz w:val="20"/>
          <w:szCs w:val="20"/>
          <w:color w:val="auto"/>
        </w:rPr>
      </w:pPr>
      <w:r>
        <w:rPr>
          <w:rFonts w:ascii="Courier New" w:cs="Courier New" w:eastAsia="Courier New" w:hAnsi="Courier New"/>
          <w:sz w:val="15"/>
          <w:szCs w:val="15"/>
          <w:color w:val="auto"/>
        </w:rPr>
        <w:t>DEN DANSKE BANK</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Mogens Sondergaard</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Name: Mogens Sondergaard</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33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Bent V. Christensen</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Name: Bent V. Christensen</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ROYAL BANK OF CANADA</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Cynthia K. Wong</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Cynthia K. Wong</w:t>
      </w:r>
    </w:p>
    <w:p>
      <w:pPr>
        <w:ind w:left="1340"/>
        <w:spacing w:after="0"/>
        <w:rPr>
          <w:sz w:val="20"/>
          <w:szCs w:val="20"/>
          <w:color w:val="auto"/>
        </w:rPr>
      </w:pPr>
      <w:r>
        <w:rPr>
          <w:rFonts w:ascii="Courier New" w:cs="Courier New" w:eastAsia="Courier New" w:hAnsi="Courier New"/>
          <w:sz w:val="15"/>
          <w:szCs w:val="15"/>
          <w:color w:val="auto"/>
        </w:rPr>
        <w:t>Title: Manager</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SANWA BANK,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 /s/ Dominic J. Sorresso</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Name: Dominic J. Sorresso</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TOKAI BANK,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Stuart Schulman</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Stuart Schulman</w:t>
      </w:r>
    </w:p>
    <w:p>
      <w:pPr>
        <w:ind w:left="1340"/>
        <w:spacing w:after="0"/>
        <w:rPr>
          <w:sz w:val="20"/>
          <w:szCs w:val="20"/>
          <w:color w:val="auto"/>
        </w:rPr>
      </w:pPr>
      <w:r>
        <w:rPr>
          <w:rFonts w:ascii="Courier New" w:cs="Courier New" w:eastAsia="Courier New" w:hAnsi="Courier New"/>
          <w:sz w:val="15"/>
          <w:szCs w:val="15"/>
          <w:color w:val="auto"/>
        </w:rPr>
        <w:t>Title: Senior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CHEMICAL BANK</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John J. Huber III</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Name: John J. Huber III</w:t>
      </w:r>
    </w:p>
    <w:p>
      <w:pPr>
        <w:ind w:left="1340"/>
        <w:spacing w:after="0"/>
        <w:rPr>
          <w:sz w:val="20"/>
          <w:szCs w:val="20"/>
          <w:color w:val="auto"/>
        </w:rPr>
      </w:pPr>
      <w:r>
        <w:rPr>
          <w:rFonts w:ascii="Courier New" w:cs="Courier New" w:eastAsia="Courier New" w:hAnsi="Courier New"/>
          <w:sz w:val="15"/>
          <w:szCs w:val="15"/>
          <w:color w:val="auto"/>
        </w:rPr>
        <w:t>Title: Managing Director</w:t>
      </w:r>
    </w:p>
    <w:p>
      <w:pPr>
        <w:spacing w:after="0" w:line="33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019"/>
          </w:cols>
          <w:pgMar w:left="1440" w:top="791" w:right="1440" w:bottom="1440" w:gutter="0" w:footer="0" w:header="0"/>
        </w:sectPr>
      </w:pPr>
    </w:p>
    <w:bookmarkStart w:id="200" w:name="page201"/>
    <w:bookmarkEnd w:id="200"/>
    <w:p>
      <w:pPr>
        <w:ind w:left="1080"/>
        <w:spacing w:after="0"/>
        <w:rPr>
          <w:sz w:val="20"/>
          <w:szCs w:val="20"/>
          <w:color w:val="auto"/>
        </w:rPr>
      </w:pPr>
      <w:r>
        <w:rPr>
          <w:rFonts w:ascii="Courier New" w:cs="Courier New" w:eastAsia="Courier New" w:hAnsi="Courier New"/>
          <w:sz w:val="15"/>
          <w:szCs w:val="15"/>
          <w:color w:val="auto"/>
        </w:rPr>
        <w:t>THE DAI-CHI KANGYO BANK,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Ronald Wolinsky</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Ronald Wolinsky</w:t>
      </w:r>
    </w:p>
    <w:p>
      <w:pPr>
        <w:spacing w:after="0" w:line="4"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Title: Vice President &amp; Group Leader</w:t>
      </w:r>
    </w:p>
    <w:p>
      <w:pPr>
        <w:spacing w:after="0" w:line="200" w:lineRule="exact"/>
        <w:rPr>
          <w:sz w:val="20"/>
          <w:szCs w:val="20"/>
          <w:color w:val="auto"/>
        </w:rPr>
      </w:pPr>
    </w:p>
    <w:p>
      <w:pPr>
        <w:spacing w:after="0" w:line="314"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FIRST HAWAIIAN BANK</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William B. Schink</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rPr>
          <w:sz w:val="20"/>
          <w:szCs w:val="20"/>
          <w:color w:val="auto"/>
        </w:rPr>
      </w:pPr>
      <w:r>
        <w:rPr>
          <w:rFonts w:ascii="Courier New" w:cs="Courier New" w:eastAsia="Courier New" w:hAnsi="Courier New"/>
          <w:sz w:val="15"/>
          <w:szCs w:val="15"/>
          <w:color w:val="auto"/>
        </w:rPr>
        <w:t>Name: William B. Schink</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MORGAN GUARANTY TRUST COMPANY OF</w:t>
      </w:r>
    </w:p>
    <w:p>
      <w:pPr>
        <w:ind w:left="1260"/>
        <w:spacing w:after="0"/>
        <w:rPr>
          <w:sz w:val="20"/>
          <w:szCs w:val="20"/>
          <w:color w:val="auto"/>
        </w:rPr>
      </w:pPr>
      <w:r>
        <w:rPr>
          <w:rFonts w:ascii="Courier New" w:cs="Courier New" w:eastAsia="Courier New" w:hAnsi="Courier New"/>
          <w:sz w:val="15"/>
          <w:szCs w:val="15"/>
          <w:color w:val="auto"/>
        </w:rPr>
        <w:t>NEW YORK</w:t>
      </w:r>
    </w:p>
    <w:p>
      <w:pPr>
        <w:spacing w:after="0" w:line="33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R. BLake Witherington</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rPr>
          <w:sz w:val="20"/>
          <w:szCs w:val="20"/>
          <w:color w:val="auto"/>
        </w:rPr>
      </w:pPr>
      <w:r>
        <w:rPr>
          <w:rFonts w:ascii="Courier New" w:cs="Courier New" w:eastAsia="Courier New" w:hAnsi="Courier New"/>
          <w:sz w:val="15"/>
          <w:szCs w:val="15"/>
          <w:color w:val="auto"/>
        </w:rPr>
        <w:t>Name: R. BLake Witherington</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CITIBANK, N.A.</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Margaret C. Ullrich</w:t>
      </w:r>
    </w:p>
    <w:p>
      <w:pPr>
        <w:ind w:left="1340"/>
        <w:spacing w:after="0"/>
        <w:rPr>
          <w:sz w:val="20"/>
          <w:szCs w:val="20"/>
          <w:color w:val="auto"/>
        </w:rPr>
      </w:pPr>
      <w:r>
        <w:rPr>
          <w:rFonts w:ascii="Courier New" w:cs="Courier New" w:eastAsia="Courier New" w:hAnsi="Courier New"/>
          <w:sz w:val="15"/>
          <w:szCs w:val="15"/>
          <w:color w:val="auto"/>
        </w:rPr>
        <w:t>--------------------------------</w:t>
      </w:r>
    </w:p>
    <w:p>
      <w:pPr>
        <w:ind w:left="1260"/>
        <w:spacing w:after="0"/>
        <w:rPr>
          <w:sz w:val="20"/>
          <w:szCs w:val="20"/>
          <w:color w:val="auto"/>
        </w:rPr>
      </w:pPr>
      <w:r>
        <w:rPr>
          <w:rFonts w:ascii="Courier New" w:cs="Courier New" w:eastAsia="Courier New" w:hAnsi="Courier New"/>
          <w:sz w:val="15"/>
          <w:szCs w:val="15"/>
          <w:color w:val="auto"/>
        </w:rPr>
        <w:t>Name: Margaret C. Ullrich</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RIGGS NATIONAL BANK</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David H. Olson</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David H. Olson</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019"/>
          </w:cols>
          <w:pgMar w:left="1440" w:top="792" w:right="1440" w:bottom="1440" w:gutter="0" w:footer="0" w:header="0"/>
        </w:sectPr>
      </w:pPr>
    </w:p>
    <w:bookmarkStart w:id="201" w:name="page202"/>
    <w:bookmarkEnd w:id="201"/>
    <w:p>
      <w:pPr>
        <w:ind w:left="1080"/>
        <w:spacing w:after="0"/>
        <w:rPr>
          <w:sz w:val="20"/>
          <w:szCs w:val="20"/>
          <w:color w:val="auto"/>
        </w:rPr>
      </w:pPr>
      <w:r>
        <w:rPr>
          <w:rFonts w:ascii="Courier New" w:cs="Courier New" w:eastAsia="Courier New" w:hAnsi="Courier New"/>
          <w:sz w:val="15"/>
          <w:szCs w:val="15"/>
          <w:color w:val="auto"/>
        </w:rPr>
        <w:t>FIRST UNION NATIONAL BANK OF</w:t>
      </w:r>
    </w:p>
    <w:p>
      <w:pPr>
        <w:ind w:left="1260"/>
        <w:spacing w:after="0"/>
        <w:rPr>
          <w:sz w:val="20"/>
          <w:szCs w:val="20"/>
          <w:color w:val="auto"/>
        </w:rPr>
      </w:pPr>
      <w:r>
        <w:rPr>
          <w:rFonts w:ascii="Courier New" w:cs="Courier New" w:eastAsia="Courier New" w:hAnsi="Courier New"/>
          <w:sz w:val="15"/>
          <w:szCs w:val="15"/>
          <w:color w:val="auto"/>
        </w:rPr>
        <w:t>NORTH CAROLINA</w:t>
      </w:r>
    </w:p>
    <w:p>
      <w:pPr>
        <w:spacing w:after="0" w:line="33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Jim P. Wedman</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Jim P. Wedman</w:t>
      </w:r>
    </w:p>
    <w:p>
      <w:pPr>
        <w:ind w:left="134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MELLON BANK, N.A.</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 /s/ G. Luis Ashley</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G. Luis Ashley</w:t>
      </w:r>
    </w:p>
    <w:p>
      <w:pPr>
        <w:ind w:left="1340"/>
        <w:spacing w:after="0" w:line="238" w:lineRule="auto"/>
        <w:rPr>
          <w:sz w:val="20"/>
          <w:szCs w:val="20"/>
          <w:color w:val="auto"/>
        </w:rPr>
      </w:pPr>
      <w:r>
        <w:rPr>
          <w:rFonts w:ascii="Courier New" w:cs="Courier New" w:eastAsia="Courier New" w:hAnsi="Courier New"/>
          <w:sz w:val="15"/>
          <w:szCs w:val="15"/>
          <w:color w:val="auto"/>
        </w:rPr>
        <w:t>Title: First Vice President</w:t>
      </w:r>
    </w:p>
    <w:p>
      <w:pPr>
        <w:spacing w:after="0" w:line="200" w:lineRule="exact"/>
        <w:rPr>
          <w:sz w:val="20"/>
          <w:szCs w:val="20"/>
          <w:color w:val="auto"/>
        </w:rPr>
      </w:pPr>
    </w:p>
    <w:p>
      <w:pPr>
        <w:spacing w:after="0" w:line="314"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COMPAGNIE FINANCIERE DE CIC ET DE L'UNION EUROPENNE</w:t>
      </w:r>
    </w:p>
    <w:p>
      <w:pPr>
        <w:spacing w:after="0" w:line="344"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Brian O'Leary</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Brian O'Leary</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Marcus Edward</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Marcus Edward</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14"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VAN KAMPEN AMERICAN CAPITAL PRIME RATE INCOME TRUST</w:t>
      </w:r>
    </w:p>
    <w:p>
      <w:pPr>
        <w:spacing w:after="0" w:line="344"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Jeffrey W. Maillet</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rPr>
          <w:sz w:val="20"/>
          <w:szCs w:val="20"/>
          <w:color w:val="auto"/>
        </w:rPr>
      </w:pPr>
      <w:r>
        <w:rPr>
          <w:rFonts w:ascii="Courier New" w:cs="Courier New" w:eastAsia="Courier New" w:hAnsi="Courier New"/>
          <w:sz w:val="15"/>
          <w:szCs w:val="15"/>
          <w:color w:val="auto"/>
        </w:rPr>
        <w:t>Name: Jeffrey W. Maillet</w:t>
      </w:r>
    </w:p>
    <w:p>
      <w:pPr>
        <w:ind w:left="1340"/>
        <w:spacing w:after="0" w:line="238" w:lineRule="auto"/>
        <w:rPr>
          <w:sz w:val="20"/>
          <w:szCs w:val="20"/>
          <w:color w:val="auto"/>
        </w:rPr>
      </w:pPr>
      <w:r>
        <w:rPr>
          <w:rFonts w:ascii="Courier New" w:cs="Courier New" w:eastAsia="Courier New" w:hAnsi="Courier New"/>
          <w:sz w:val="15"/>
          <w:szCs w:val="15"/>
          <w:color w:val="auto"/>
        </w:rPr>
        <w:t>Title: Sr. Vice Pres.</w:t>
      </w:r>
    </w:p>
    <w:p>
      <w:pPr>
        <w:spacing w:after="0" w:line="5" w:lineRule="exact"/>
        <w:rPr>
          <w:sz w:val="20"/>
          <w:szCs w:val="20"/>
          <w:color w:val="auto"/>
        </w:rPr>
      </w:pPr>
    </w:p>
    <w:p>
      <w:pPr>
        <w:ind w:left="2220" w:right="5459" w:hanging="80"/>
        <w:spacing w:after="0" w:line="710" w:lineRule="auto"/>
        <w:tabs>
          <w:tab w:leader="none" w:pos="2308"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Portfolio Mgr. 11</w:t>
      </w:r>
    </w:p>
    <w:p>
      <w:pPr>
        <w:sectPr>
          <w:pgSz w:w="11900" w:h="16838" w:orient="portrait"/>
          <w:cols w:equalWidth="0" w:num="1">
            <w:col w:w="9019"/>
          </w:cols>
          <w:pgMar w:left="1440" w:top="792" w:right="1440" w:bottom="1440" w:gutter="0" w:footer="0" w:header="0"/>
        </w:sectPr>
      </w:pPr>
    </w:p>
    <w:bookmarkStart w:id="202" w:name="page203"/>
    <w:bookmarkEnd w:id="202"/>
    <w:p>
      <w:pPr>
        <w:ind w:left="1080"/>
        <w:spacing w:after="0"/>
        <w:rPr>
          <w:sz w:val="20"/>
          <w:szCs w:val="20"/>
          <w:color w:val="auto"/>
        </w:rPr>
      </w:pPr>
      <w:r>
        <w:rPr>
          <w:rFonts w:ascii="Courier New" w:cs="Courier New" w:eastAsia="Courier New" w:hAnsi="Courier New"/>
          <w:sz w:val="15"/>
          <w:szCs w:val="15"/>
          <w:color w:val="auto"/>
        </w:rPr>
        <w:t>CIBC, INC.</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John Tyler</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John Tyler</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BANK OF NOVA SCOTIA</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Vincent Fitzgerald, Jr.</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rPr>
          <w:sz w:val="20"/>
          <w:szCs w:val="20"/>
          <w:color w:val="auto"/>
        </w:rPr>
      </w:pPr>
      <w:r>
        <w:rPr>
          <w:rFonts w:ascii="Courier New" w:cs="Courier New" w:eastAsia="Courier New" w:hAnsi="Courier New"/>
          <w:sz w:val="15"/>
          <w:szCs w:val="15"/>
          <w:color w:val="auto"/>
        </w:rPr>
        <w:t>Name: Vincent Fitzgerald, Jr.</w:t>
      </w:r>
    </w:p>
    <w:p>
      <w:pPr>
        <w:ind w:left="1340"/>
        <w:spacing w:after="0" w:line="238" w:lineRule="auto"/>
        <w:rPr>
          <w:sz w:val="20"/>
          <w:szCs w:val="20"/>
          <w:color w:val="auto"/>
        </w:rPr>
      </w:pPr>
      <w:r>
        <w:rPr>
          <w:rFonts w:ascii="Courier New" w:cs="Courier New" w:eastAsia="Courier New" w:hAnsi="Courier New"/>
          <w:sz w:val="15"/>
          <w:szCs w:val="15"/>
          <w:color w:val="auto"/>
        </w:rPr>
        <w:t>Title: Authorized Signatory</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FUJI BANK,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Katsunori Nozawa</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Katsunori Nozawa</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 &amp; Manager</w:t>
      </w:r>
    </w:p>
    <w:p>
      <w:pPr>
        <w:spacing w:after="0" w:line="200" w:lineRule="exact"/>
        <w:rPr>
          <w:sz w:val="20"/>
          <w:szCs w:val="20"/>
          <w:color w:val="auto"/>
        </w:rPr>
      </w:pPr>
    </w:p>
    <w:p>
      <w:pPr>
        <w:spacing w:after="0" w:line="314"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THE LONG-TERM CREDIT BANK OF JAPAN, LTD.</w:t>
      </w:r>
    </w:p>
    <w:p>
      <w:pPr>
        <w:spacing w:after="0" w:line="344"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John A. Krob</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John A. Krob</w:t>
      </w:r>
    </w:p>
    <w:p>
      <w:pPr>
        <w:ind w:left="1340"/>
        <w:spacing w:after="0" w:line="238" w:lineRule="auto"/>
        <w:rPr>
          <w:sz w:val="20"/>
          <w:szCs w:val="20"/>
          <w:color w:val="auto"/>
        </w:rPr>
      </w:pPr>
      <w:r>
        <w:rPr>
          <w:rFonts w:ascii="Courier New" w:cs="Courier New" w:eastAsia="Courier New" w:hAnsi="Courier New"/>
          <w:sz w:val="15"/>
          <w:szCs w:val="15"/>
          <w:color w:val="auto"/>
        </w:rPr>
        <w:t>Title: Deputy General Manager</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BANQUE NATIONALE DE PARIS</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John S. McGill</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John S. McGill</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Nancy L. Stengel</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Nancy L. Stengel</w:t>
      </w:r>
    </w:p>
    <w:p>
      <w:pPr>
        <w:ind w:left="1340"/>
        <w:spacing w:after="0" w:line="238" w:lineRule="auto"/>
        <w:rPr>
          <w:sz w:val="20"/>
          <w:szCs w:val="20"/>
          <w:color w:val="auto"/>
        </w:rPr>
      </w:pPr>
      <w:r>
        <w:rPr>
          <w:rFonts w:ascii="Courier New" w:cs="Courier New" w:eastAsia="Courier New" w:hAnsi="Courier New"/>
          <w:sz w:val="15"/>
          <w:szCs w:val="15"/>
          <w:color w:val="auto"/>
        </w:rPr>
        <w:t>Title: Assistant Treasurer</w:t>
      </w:r>
    </w:p>
    <w:p>
      <w:pPr>
        <w:spacing w:after="0" w:line="33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019"/>
          </w:cols>
          <w:pgMar w:left="1440" w:top="792" w:right="1440" w:bottom="1440" w:gutter="0" w:footer="0" w:header="0"/>
        </w:sectPr>
      </w:pPr>
    </w:p>
    <w:bookmarkStart w:id="203" w:name="page204"/>
    <w:bookmarkEnd w:id="203"/>
    <w:p>
      <w:pPr>
        <w:ind w:left="1080"/>
        <w:spacing w:after="0"/>
        <w:rPr>
          <w:sz w:val="20"/>
          <w:szCs w:val="20"/>
          <w:color w:val="auto"/>
        </w:rPr>
      </w:pPr>
      <w:r>
        <w:rPr>
          <w:rFonts w:ascii="Courier New" w:cs="Courier New" w:eastAsia="Courier New" w:hAnsi="Courier New"/>
          <w:sz w:val="15"/>
          <w:szCs w:val="15"/>
          <w:color w:val="auto"/>
        </w:rPr>
        <w:t>BANK OF HAWAII</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 Bryan Scearce</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J. Bryan Scearce</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BANK OF AMERICA</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Amy S. Trapp</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Amy S. Trapp</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NATIONSBANK OF TEXAS, N.A.</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Chad E. Coben</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Chad E. Coben</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DEUTSCHE BANK</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Steven M. Godeke</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Steven M. Godele</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33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Bina R. Dabbah</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Bina R. Dabbah</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UNION BANK</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Gabriel A. Renga</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Gabriel A. Renga</w:t>
      </w:r>
    </w:p>
    <w:p>
      <w:pPr>
        <w:ind w:left="1340"/>
        <w:spacing w:after="0"/>
        <w:rPr>
          <w:sz w:val="20"/>
          <w:szCs w:val="20"/>
          <w:color w:val="auto"/>
        </w:rPr>
      </w:pPr>
      <w:r>
        <w:rPr>
          <w:rFonts w:ascii="Courier New" w:cs="Courier New" w:eastAsia="Courier New" w:hAnsi="Courier New"/>
          <w:sz w:val="15"/>
          <w:szCs w:val="15"/>
          <w:color w:val="auto"/>
        </w:rPr>
        <w:t>Title: Senior Vice President</w:t>
      </w:r>
    </w:p>
    <w:p>
      <w:pPr>
        <w:spacing w:after="0" w:line="33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019"/>
          </w:cols>
          <w:pgMar w:left="1440" w:top="791" w:right="1440" w:bottom="1440" w:gutter="0" w:footer="0" w:header="0"/>
        </w:sectPr>
      </w:pPr>
    </w:p>
    <w:bookmarkStart w:id="204" w:name="page205"/>
    <w:bookmarkEnd w:id="204"/>
    <w:p>
      <w:pPr>
        <w:ind w:left="1080"/>
        <w:spacing w:after="0"/>
        <w:rPr>
          <w:sz w:val="20"/>
          <w:szCs w:val="20"/>
          <w:color w:val="auto"/>
        </w:rPr>
      </w:pPr>
      <w:r>
        <w:rPr>
          <w:rFonts w:ascii="Courier New" w:cs="Courier New" w:eastAsia="Courier New" w:hAnsi="Courier New"/>
          <w:sz w:val="15"/>
          <w:szCs w:val="15"/>
          <w:color w:val="auto"/>
        </w:rPr>
        <w:t>THE TORONTO DOMINION BANK</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Neva Nesbitt</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Neva Nesbitt</w:t>
      </w:r>
    </w:p>
    <w:p>
      <w:pPr>
        <w:spacing w:after="0" w:line="4"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Title: Manager, Credit Administration</w:t>
      </w:r>
    </w:p>
    <w:p>
      <w:pPr>
        <w:spacing w:after="0" w:line="344"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Cindy D. Hewitt</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Cindy D. Hewitt</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FLEET NATIONAL BANK OF CONNECTICUT</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Stephen Charles</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Stephen Charles</w:t>
      </w:r>
    </w:p>
    <w:p>
      <w:pPr>
        <w:ind w:left="134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BARCLAYS BANK PLC</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James K. Downy</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James K. Downy</w:t>
      </w:r>
    </w:p>
    <w:p>
      <w:pPr>
        <w:ind w:left="1340"/>
        <w:spacing w:after="0" w:line="238" w:lineRule="auto"/>
        <w:rPr>
          <w:sz w:val="20"/>
          <w:szCs w:val="20"/>
          <w:color w:val="auto"/>
        </w:rPr>
      </w:pPr>
      <w:r>
        <w:rPr>
          <w:rFonts w:ascii="Courier New" w:cs="Courier New" w:eastAsia="Courier New" w:hAnsi="Courier New"/>
          <w:sz w:val="15"/>
          <w:szCs w:val="15"/>
          <w:color w:val="auto"/>
        </w:rPr>
        <w:t>Title: Associate Director</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BANK BRUSSELS LAMBERT</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Dominick H. J. Vangaever</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rPr>
          <w:sz w:val="20"/>
          <w:szCs w:val="20"/>
          <w:color w:val="auto"/>
        </w:rPr>
      </w:pPr>
      <w:r>
        <w:rPr>
          <w:rFonts w:ascii="Courier New" w:cs="Courier New" w:eastAsia="Courier New" w:hAnsi="Courier New"/>
          <w:sz w:val="15"/>
          <w:szCs w:val="15"/>
          <w:color w:val="auto"/>
        </w:rPr>
        <w:t>Name: Dominick H. J. Vangaever</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BANK OF MONTREAL</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Yvonne Bos</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Yvonne Bos</w:t>
      </w:r>
    </w:p>
    <w:p>
      <w:pPr>
        <w:ind w:left="1340"/>
        <w:spacing w:after="0" w:line="238" w:lineRule="auto"/>
        <w:rPr>
          <w:sz w:val="20"/>
          <w:szCs w:val="20"/>
          <w:color w:val="auto"/>
        </w:rPr>
      </w:pPr>
      <w:r>
        <w:rPr>
          <w:rFonts w:ascii="Courier New" w:cs="Courier New" w:eastAsia="Courier New" w:hAnsi="Courier New"/>
          <w:sz w:val="15"/>
          <w:szCs w:val="15"/>
          <w:color w:val="auto"/>
        </w:rPr>
        <w:t>Title: Managing Director</w:t>
      </w:r>
    </w:p>
    <w:p>
      <w:pPr>
        <w:spacing w:after="0" w:line="200" w:lineRule="exact"/>
        <w:rPr>
          <w:sz w:val="20"/>
          <w:szCs w:val="20"/>
          <w:color w:val="auto"/>
        </w:rPr>
      </w:pPr>
    </w:p>
    <w:p>
      <w:pPr>
        <w:spacing w:after="0" w:line="30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019"/>
          </w:cols>
          <w:pgMar w:left="1440" w:top="791" w:right="1440" w:bottom="1440" w:gutter="0" w:footer="0" w:header="0"/>
        </w:sectPr>
      </w:pPr>
    </w:p>
    <w:bookmarkStart w:id="205" w:name="page206"/>
    <w:bookmarkEnd w:id="205"/>
    <w:p>
      <w:pPr>
        <w:ind w:left="1080"/>
        <w:spacing w:after="0"/>
        <w:rPr>
          <w:sz w:val="20"/>
          <w:szCs w:val="20"/>
          <w:color w:val="auto"/>
        </w:rPr>
      </w:pPr>
      <w:r>
        <w:rPr>
          <w:rFonts w:ascii="Courier New" w:cs="Courier New" w:eastAsia="Courier New" w:hAnsi="Courier New"/>
          <w:sz w:val="15"/>
          <w:szCs w:val="15"/>
          <w:color w:val="auto"/>
        </w:rPr>
        <w:t>CREDIT LYONNAIS</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James E. Morris</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James E. Morris</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019"/>
          </w:cols>
          <w:pgMar w:left="1440" w:top="622" w:right="1440" w:bottom="1440" w:gutter="0" w:footer="0" w:header="0"/>
        </w:sectPr>
      </w:pPr>
    </w:p>
    <w:bookmarkStart w:id="206" w:name="page207"/>
    <w:bookmarkEnd w:id="206"/>
    <w:p>
      <w:pPr>
        <w:ind w:left="2900"/>
        <w:spacing w:after="0"/>
        <w:rPr>
          <w:sz w:val="20"/>
          <w:szCs w:val="20"/>
          <w:color w:val="auto"/>
        </w:rPr>
      </w:pPr>
      <w:r>
        <w:rPr>
          <w:rFonts w:ascii="Courier New" w:cs="Courier New" w:eastAsia="Courier New" w:hAnsi="Courier New"/>
          <w:sz w:val="15"/>
          <w:szCs w:val="15"/>
          <w:color w:val="auto"/>
        </w:rPr>
        <w:t>AMENDMENT NO. 1</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AMENDMENT NO. 1, dated as of August 5, 1994 (this "Amendment"), to:</w:t>
      </w:r>
    </w:p>
    <w:p>
      <w:pPr>
        <w:spacing w:after="0" w:line="175" w:lineRule="exact"/>
        <w:rPr>
          <w:sz w:val="20"/>
          <w:szCs w:val="20"/>
          <w:color w:val="auto"/>
        </w:rPr>
      </w:pPr>
    </w:p>
    <w:p>
      <w:pPr>
        <w:ind w:right="3179" w:firstLine="519"/>
        <w:spacing w:after="0" w:line="238" w:lineRule="auto"/>
        <w:tabs>
          <w:tab w:leader="none" w:pos="881"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CREDIT AGREEMENT, dated as of July 1, 1994 (the "Parent Facility"), among VIACOM INC., a Delaware corporation ("Viacom"), each of the several Banks identified on the signature pages thereof, THE BANK OF NEW YORK, as a Managing Agent and as the Documentation Agent, CITIBANK, N.A., as a Managing Agent and as the Administrative Agent, MORGAN GUARANTY TRUST COMPANY OF NEW YORK, as a Managing Agent, JP MORGAN SECURITIES INC., as the Syndication Agent, BANK OF AMERICA NT&amp;SA, as a Managing Agent, the Banks identified as Agents on the signature pages thereof, as Agents, and the Banks identified as Co-Agents on the signature pages thereof, as Co-Agents; and</w:t>
      </w:r>
    </w:p>
    <w:p>
      <w:pPr>
        <w:spacing w:after="0" w:line="178" w:lineRule="exact"/>
        <w:rPr>
          <w:rFonts w:ascii="Courier New" w:cs="Courier New" w:eastAsia="Courier New" w:hAnsi="Courier New"/>
          <w:sz w:val="15"/>
          <w:szCs w:val="15"/>
          <w:color w:val="auto"/>
        </w:rPr>
      </w:pPr>
    </w:p>
    <w:p>
      <w:pPr>
        <w:ind w:right="3179" w:firstLine="519"/>
        <w:spacing w:after="0" w:line="238" w:lineRule="auto"/>
        <w:tabs>
          <w:tab w:leader="none" w:pos="97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CREDIT AGREEMENT, dated as of July 1, 1994 (the "Subsidiary Facility"), among VIACOM CABLEVISION OF DAYTON INC., WNYT INC., WMZQ INC., WVIT INC. and VIACOM INTERNATIONAL INC., each a Delaware corporation (collectively, "Subsidiary Borrowers"), each of the several Banks identified on the signature pages thereof, THE BANK OF NEW YORK, as a Managing Agent and as the Documentation Agent, CITIBANK, N.A., as a Managing Agent and as the Administrative Agent, MORGAN GUARANTY TRUST COMPANY OF NEW YORK, as a Managing Agent, JP MORGAN SECURITIES INC., as the Syndication Agent, BANK OF AMERICA NT&amp;SA, as a Managing Agent, the Banks identified as Agents on the signature pages thereof, as Agents, and the Banks identified as Co-Agents on the signature pages thereof, as Co-Agents.</w:t>
      </w:r>
    </w:p>
    <w:p>
      <w:pPr>
        <w:spacing w:after="0" w:line="17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 I T N E S S E T H:</w:t>
      </w:r>
    </w:p>
    <w:p>
      <w:pPr>
        <w:spacing w:after="0" w:line="175" w:lineRule="exact"/>
        <w:rPr>
          <w:sz w:val="20"/>
          <w:szCs w:val="20"/>
          <w:color w:val="auto"/>
        </w:rPr>
      </w:pPr>
    </w:p>
    <w:p>
      <w:pPr>
        <w:ind w:right="3179" w:firstLine="970"/>
        <w:spacing w:after="0" w:line="237" w:lineRule="auto"/>
        <w:rPr>
          <w:sz w:val="20"/>
          <w:szCs w:val="20"/>
          <w:color w:val="auto"/>
        </w:rPr>
      </w:pPr>
      <w:r>
        <w:rPr>
          <w:rFonts w:ascii="Courier New" w:cs="Courier New" w:eastAsia="Courier New" w:hAnsi="Courier New"/>
          <w:sz w:val="15"/>
          <w:szCs w:val="15"/>
          <w:color w:val="auto"/>
        </w:rPr>
        <w:t>WHEREAS, the parties who have heretofore entered into the Parent Facility and the Subsidiary Facility now desire to effect a general syndication of the Parent Facility and Subsidiary Facility and the related assignment of the outstanding Loans thereunder by amending certain provisions of such agreements; and</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NOW, THEREFORE, the parties hereto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I</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Amendments</w:t>
      </w:r>
    </w:p>
    <w:p>
      <w:pPr>
        <w:spacing w:after="0" w:line="175" w:lineRule="exact"/>
        <w:rPr>
          <w:sz w:val="20"/>
          <w:szCs w:val="20"/>
          <w:color w:val="auto"/>
        </w:rPr>
      </w:pPr>
    </w:p>
    <w:p>
      <w:pPr>
        <w:ind w:right="3539" w:firstLine="970"/>
        <w:spacing w:after="0" w:line="237" w:lineRule="auto"/>
        <w:rPr>
          <w:sz w:val="20"/>
          <w:szCs w:val="20"/>
          <w:color w:val="auto"/>
        </w:rPr>
      </w:pPr>
      <w:r>
        <w:rPr>
          <w:rFonts w:ascii="Courier New" w:cs="Courier New" w:eastAsia="Courier New" w:hAnsi="Courier New"/>
          <w:sz w:val="15"/>
          <w:szCs w:val="15"/>
          <w:color w:val="auto"/>
        </w:rPr>
        <w:t>Section 1.1. All references to "Schedule I" in each of the Parent Facility and Subsidiary Facility are hereby amended to refer to Schedule I attached to this Amendment.</w:t>
      </w:r>
    </w:p>
    <w:p>
      <w:pPr>
        <w:spacing w:after="0" w:line="175" w:lineRule="exact"/>
        <w:rPr>
          <w:sz w:val="20"/>
          <w:szCs w:val="20"/>
          <w:color w:val="auto"/>
        </w:rPr>
      </w:pPr>
    </w:p>
    <w:p>
      <w:pPr>
        <w:ind w:right="3439" w:firstLine="970"/>
        <w:spacing w:after="0" w:line="237" w:lineRule="auto"/>
        <w:rPr>
          <w:sz w:val="20"/>
          <w:szCs w:val="20"/>
          <w:color w:val="auto"/>
        </w:rPr>
      </w:pPr>
      <w:r>
        <w:rPr>
          <w:rFonts w:ascii="Courier New" w:cs="Courier New" w:eastAsia="Courier New" w:hAnsi="Courier New"/>
          <w:sz w:val="15"/>
          <w:szCs w:val="15"/>
          <w:color w:val="auto"/>
        </w:rPr>
        <w:t>Section 1.2. All references to "Schedule II" in each of the Parent Facility and the Subsidiary Facility are hereby amended to refer to the appropriate Schedule II relating to such agreement and attached to this Amendment.</w:t>
      </w:r>
    </w:p>
    <w:p>
      <w:pPr>
        <w:spacing w:after="0" w:line="176" w:lineRule="exact"/>
        <w:rPr>
          <w:sz w:val="20"/>
          <w:szCs w:val="20"/>
          <w:color w:val="auto"/>
        </w:rPr>
      </w:pPr>
    </w:p>
    <w:p>
      <w:pPr>
        <w:jc w:val="both"/>
        <w:ind w:right="3359" w:firstLine="970"/>
        <w:spacing w:after="0" w:line="265" w:lineRule="auto"/>
        <w:rPr>
          <w:sz w:val="20"/>
          <w:szCs w:val="20"/>
          <w:color w:val="auto"/>
        </w:rPr>
      </w:pPr>
      <w:r>
        <w:rPr>
          <w:rFonts w:ascii="Courier New" w:cs="Courier New" w:eastAsia="Courier New" w:hAnsi="Courier New"/>
          <w:sz w:val="14"/>
          <w:szCs w:val="14"/>
          <w:color w:val="auto"/>
        </w:rPr>
        <w:t>Section 1.3 All references to an "Agent" or a "Co-Agent" shall have the meanings set forth in each of the Parent Facility and Subsidiary Facility.</w:t>
      </w:r>
    </w:p>
    <w:p>
      <w:pPr>
        <w:spacing w:after="0" w:line="15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II</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Funding</w:t>
      </w:r>
    </w:p>
    <w:p>
      <w:pPr>
        <w:spacing w:after="0" w:line="175" w:lineRule="exact"/>
        <w:rPr>
          <w:sz w:val="20"/>
          <w:szCs w:val="20"/>
          <w:color w:val="auto"/>
        </w:rPr>
      </w:pPr>
    </w:p>
    <w:p>
      <w:pPr>
        <w:ind w:right="3259" w:firstLine="970"/>
        <w:spacing w:after="0" w:line="237" w:lineRule="auto"/>
        <w:rPr>
          <w:sz w:val="20"/>
          <w:szCs w:val="20"/>
          <w:color w:val="auto"/>
        </w:rPr>
      </w:pPr>
      <w:r>
        <w:rPr>
          <w:rFonts w:ascii="Courier New" w:cs="Courier New" w:eastAsia="Courier New" w:hAnsi="Courier New"/>
          <w:sz w:val="15"/>
          <w:szCs w:val="15"/>
          <w:color w:val="auto"/>
        </w:rPr>
        <w:t>Section 2.1. Subject to the prior effectiveness of this Amendment, and in order to give effect to the reallocation of the commitments and the outstanding Loans provided for by this Section 2.1, before 11:00 A.M. (New York City time) on August 15, 1994 (the "Effective Date"):</w:t>
      </w:r>
    </w:p>
    <w:p>
      <w:pPr>
        <w:spacing w:after="0" w:line="176" w:lineRule="exact"/>
        <w:rPr>
          <w:sz w:val="20"/>
          <w:szCs w:val="20"/>
          <w:color w:val="auto"/>
        </w:rPr>
      </w:pPr>
    </w:p>
    <w:p>
      <w:pPr>
        <w:ind w:left="520" w:right="3259" w:firstLine="440"/>
        <w:spacing w:after="0" w:line="256" w:lineRule="auto"/>
        <w:tabs>
          <w:tab w:leader="none" w:pos="1313" w:val="left"/>
        </w:tabs>
        <w:numPr>
          <w:ilvl w:val="1"/>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that is to become a Bank party to either of the Parent Facility or the Subsidiary Facility (each such lender, a "New Lender") shall make available to the Administrative Agent, for the respective accounts of the Banks that are parties to either of the Parent Facility or the Subsidiary Facility (the "Existing Lenders"), an amount equal to the aggregate of (x) such New Lender's Ratable Portion (as defined in each of the Parent Facility and the Subsidiary Facility, after giving effect to the provisions of Article I of this Amendment (the "Adjusted Ratable Portion")) of the outstanding Loans under (and as defined in) each of the Parent Facility and the Subsidiary Facility, and</w:t>
      </w:r>
    </w:p>
    <w:p>
      <w:pPr>
        <w:spacing w:after="0" w:line="3" w:lineRule="exact"/>
        <w:rPr>
          <w:rFonts w:ascii="Courier New" w:cs="Courier New" w:eastAsia="Courier New" w:hAnsi="Courier New"/>
          <w:sz w:val="14"/>
          <w:szCs w:val="14"/>
          <w:color w:val="auto"/>
        </w:rPr>
      </w:pPr>
    </w:p>
    <w:p>
      <w:pPr>
        <w:ind w:left="520" w:right="3259" w:hanging="1"/>
        <w:spacing w:after="0" w:line="237" w:lineRule="auto"/>
        <w:tabs>
          <w:tab w:leader="none" w:pos="873"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New Lender's Adjusted Ratable Portion of the Breakage Amount (as defined below), if any, payable by the New Lenders with respect to each Eurodollar Rate Loan outstanding on the Effective Date (other than any Eurodollar Rate Loans with respect to which the Effective Date is the first day of a new Interest Period); and</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306" w:right="1440" w:bottom="1440" w:gutter="0" w:footer="0" w:header="0"/>
        </w:sectPr>
      </w:pPr>
    </w:p>
    <w:bookmarkStart w:id="207" w:name="page208"/>
    <w:bookmarkEnd w:id="207"/>
    <w:p>
      <w:pPr>
        <w:ind w:left="520" w:right="3359" w:firstLine="440"/>
        <w:spacing w:after="0" w:line="256" w:lineRule="auto"/>
        <w:tabs>
          <w:tab w:leader="none" w:pos="1401"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thereafter (but in any event on the same day), the Administrative Agent shall cause to be distributed in like funds to each Existing Lender, for the account of its Applicable Lending Office, such Existing Lender's Ratable Portion (as defined in each of the Parent Facility and the Subsidiary Facility, but without giving effect to the provisions of Article I of this Agreement (the "Unadjusted Ratable Portion")) of (x) the amount paid by the New Lenders pursuant to clause</w:t>
      </w:r>
    </w:p>
    <w:p>
      <w:pPr>
        <w:spacing w:after="0" w:line="2" w:lineRule="exact"/>
        <w:rPr>
          <w:rFonts w:ascii="Courier New" w:cs="Courier New" w:eastAsia="Courier New" w:hAnsi="Courier New"/>
          <w:sz w:val="14"/>
          <w:szCs w:val="14"/>
          <w:color w:val="auto"/>
        </w:rPr>
      </w:pPr>
    </w:p>
    <w:p>
      <w:pPr>
        <w:ind w:left="520" w:right="3439" w:hanging="1"/>
        <w:spacing w:after="0" w:line="235" w:lineRule="auto"/>
        <w:tabs>
          <w:tab w:leader="none" w:pos="873"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2.1 in respect of the reallocation of loans and (y) the Breakage Amount, if any, paid by the New Lenders.</w:t>
      </w:r>
    </w:p>
    <w:p>
      <w:pPr>
        <w:spacing w:after="0" w:line="176" w:lineRule="exact"/>
        <w:rPr>
          <w:sz w:val="20"/>
          <w:szCs w:val="20"/>
          <w:color w:val="auto"/>
        </w:rPr>
      </w:pPr>
    </w:p>
    <w:p>
      <w:pPr>
        <w:ind w:right="3259" w:firstLine="1146"/>
        <w:spacing w:after="0" w:line="235" w:lineRule="auto"/>
        <w:rPr>
          <w:sz w:val="20"/>
          <w:szCs w:val="20"/>
          <w:color w:val="auto"/>
        </w:rPr>
      </w:pPr>
      <w:r>
        <w:rPr>
          <w:rFonts w:ascii="Courier New" w:cs="Courier New" w:eastAsia="Courier New" w:hAnsi="Courier New"/>
          <w:sz w:val="15"/>
          <w:szCs w:val="15"/>
          <w:color w:val="auto"/>
        </w:rPr>
        <w:t>Section 2.2. Subject to the prior effectiveness of this Amendment, before 11:00 A.M. (New York City time) on the Effective Date:</w:t>
      </w:r>
    </w:p>
    <w:p>
      <w:pPr>
        <w:spacing w:after="0" w:line="176" w:lineRule="exact"/>
        <w:rPr>
          <w:sz w:val="20"/>
          <w:szCs w:val="20"/>
          <w:color w:val="auto"/>
        </w:rPr>
      </w:pPr>
    </w:p>
    <w:p>
      <w:pPr>
        <w:ind w:left="520" w:right="3259" w:firstLine="440"/>
        <w:spacing w:after="0" w:line="238" w:lineRule="auto"/>
        <w:tabs>
          <w:tab w:leader="none" w:pos="1313"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Existing Lender shall make available to the Administrative Agent, for the respective accounts of the New Lenders, an amount equal to the aggregate of (x) such Existing Lender's Unadjusted Ratable Portion of the Breakage Amount (as defined below), if any, payable by the Existing Lenders, and (y) the Participation Fee (as defined below) payable by such Existing Lender; and</w:t>
      </w:r>
    </w:p>
    <w:p>
      <w:pPr>
        <w:spacing w:after="0" w:line="175" w:lineRule="exact"/>
        <w:rPr>
          <w:rFonts w:ascii="Courier New" w:cs="Courier New" w:eastAsia="Courier New" w:hAnsi="Courier New"/>
          <w:sz w:val="15"/>
          <w:szCs w:val="15"/>
          <w:color w:val="auto"/>
        </w:rPr>
      </w:pPr>
    </w:p>
    <w:p>
      <w:pPr>
        <w:ind w:left="520" w:right="3179" w:firstLine="440"/>
        <w:spacing w:after="0" w:line="238" w:lineRule="auto"/>
        <w:tabs>
          <w:tab w:leader="none" w:pos="1401"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thereafter (but in any event on the same day), the Administrative Agent shall cause to be distributed in like funds to each New Lender, for the account of its Applicable Lending Office, such New Lender's Adjusted Ratable Portion of the (x) Breakage Amount, if any, paid by the Existing Lenders and (y) the aggregate of the Participation Fees paid by the Existing Lenders.</w:t>
      </w:r>
    </w:p>
    <w:p>
      <w:pPr>
        <w:spacing w:after="0" w:line="176" w:lineRule="exact"/>
        <w:rPr>
          <w:sz w:val="20"/>
          <w:szCs w:val="20"/>
          <w:color w:val="auto"/>
        </w:rPr>
      </w:pPr>
    </w:p>
    <w:p>
      <w:pPr>
        <w:ind w:right="3439" w:firstLine="970"/>
        <w:spacing w:after="0" w:line="237" w:lineRule="auto"/>
        <w:rPr>
          <w:sz w:val="20"/>
          <w:szCs w:val="20"/>
          <w:color w:val="auto"/>
        </w:rPr>
      </w:pPr>
      <w:r>
        <w:rPr>
          <w:rFonts w:ascii="Courier New" w:cs="Courier New" w:eastAsia="Courier New" w:hAnsi="Courier New"/>
          <w:sz w:val="15"/>
          <w:szCs w:val="15"/>
          <w:color w:val="auto"/>
        </w:rPr>
        <w:t>Section 2.3. The "Breakage Amount" with respect to each Eurodollar Rate Loan shall be the amount calculated in accordance with the following formula:</w:t>
      </w:r>
    </w:p>
    <w:p>
      <w:pPr>
        <w:spacing w:after="0" w:line="175" w:lineRule="exact"/>
        <w:rPr>
          <w:sz w:val="20"/>
          <w:szCs w:val="20"/>
          <w:color w:val="auto"/>
        </w:rPr>
      </w:pPr>
    </w:p>
    <w:p>
      <w:pPr>
        <w:ind w:left="520" w:right="3979"/>
        <w:spacing w:after="0" w:line="235" w:lineRule="auto"/>
        <w:rPr>
          <w:sz w:val="20"/>
          <w:szCs w:val="20"/>
          <w:color w:val="auto"/>
        </w:rPr>
      </w:pPr>
      <w:r>
        <w:rPr>
          <w:rFonts w:ascii="Courier New" w:cs="Courier New" w:eastAsia="Courier New" w:hAnsi="Courier New"/>
          <w:sz w:val="15"/>
          <w:szCs w:val="15"/>
          <w:color w:val="auto"/>
        </w:rPr>
        <w:t>Principal Amount x [(New LIBOR - Old LIBOR)/360] x Number of Days Remaining</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where:</w:t>
      </w:r>
    </w:p>
    <w:p>
      <w:pPr>
        <w:spacing w:after="0" w:line="169" w:lineRule="exact"/>
        <w:rPr>
          <w:sz w:val="20"/>
          <w:szCs w:val="20"/>
          <w:color w:val="auto"/>
        </w:rPr>
      </w:pPr>
    </w:p>
    <w:p>
      <w:pPr>
        <w:ind w:left="520"/>
        <w:spacing w:after="0"/>
        <w:tabs>
          <w:tab w:leader="none" w:pos="2260" w:val="left"/>
        </w:tabs>
        <w:rPr>
          <w:sz w:val="20"/>
          <w:szCs w:val="20"/>
          <w:color w:val="auto"/>
        </w:rPr>
      </w:pPr>
      <w:r>
        <w:rPr>
          <w:rFonts w:ascii="Courier New" w:cs="Courier New" w:eastAsia="Courier New" w:hAnsi="Courier New"/>
          <w:sz w:val="15"/>
          <w:szCs w:val="15"/>
          <w:color w:val="auto"/>
        </w:rPr>
        <w:t>Principal Amount =</w:t>
      </w:r>
      <w:r>
        <w:rPr>
          <w:sz w:val="20"/>
          <w:szCs w:val="20"/>
          <w:color w:val="auto"/>
        </w:rPr>
        <w:tab/>
      </w:r>
      <w:r>
        <w:rPr>
          <w:rFonts w:ascii="Courier New" w:cs="Courier New" w:eastAsia="Courier New" w:hAnsi="Courier New"/>
          <w:sz w:val="14"/>
          <w:szCs w:val="14"/>
          <w:color w:val="auto"/>
        </w:rPr>
        <w:t>The aggregate of the Adjusted</w:t>
      </w:r>
    </w:p>
    <w:p>
      <w:pPr>
        <w:ind w:left="2280"/>
        <w:spacing w:after="0"/>
        <w:rPr>
          <w:sz w:val="20"/>
          <w:szCs w:val="20"/>
          <w:color w:val="auto"/>
        </w:rPr>
      </w:pPr>
      <w:r>
        <w:rPr>
          <w:rFonts w:ascii="Courier New" w:cs="Courier New" w:eastAsia="Courier New" w:hAnsi="Courier New"/>
          <w:sz w:val="15"/>
          <w:szCs w:val="15"/>
          <w:color w:val="auto"/>
        </w:rPr>
        <w:t>Ratable Portions of the New Lenders of</w:t>
      </w:r>
    </w:p>
    <w:p>
      <w:pPr>
        <w:ind w:left="2280"/>
        <w:spacing w:after="0"/>
        <w:rPr>
          <w:sz w:val="20"/>
          <w:szCs w:val="20"/>
          <w:color w:val="auto"/>
        </w:rPr>
      </w:pPr>
      <w:r>
        <w:rPr>
          <w:rFonts w:ascii="Courier New" w:cs="Courier New" w:eastAsia="Courier New" w:hAnsi="Courier New"/>
          <w:sz w:val="15"/>
          <w:szCs w:val="15"/>
          <w:color w:val="auto"/>
        </w:rPr>
        <w:t>the applicable Eurodollar Rate Loan</w:t>
      </w:r>
    </w:p>
    <w:p>
      <w:pPr>
        <w:spacing w:after="0" w:line="168"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New LIBOR = Eurodollar Rate determined in respect of</w:t>
      </w:r>
    </w:p>
    <w:p>
      <w:pPr>
        <w:ind w:left="1580"/>
        <w:spacing w:after="0"/>
        <w:rPr>
          <w:sz w:val="20"/>
          <w:szCs w:val="20"/>
          <w:color w:val="auto"/>
        </w:rPr>
      </w:pPr>
      <w:r>
        <w:rPr>
          <w:rFonts w:ascii="Courier New" w:cs="Courier New" w:eastAsia="Courier New" w:hAnsi="Courier New"/>
          <w:sz w:val="15"/>
          <w:szCs w:val="15"/>
          <w:color w:val="auto"/>
        </w:rPr>
        <w:t>such Loan for the Interest Period</w:t>
      </w:r>
    </w:p>
    <w:p>
      <w:pPr>
        <w:ind w:left="1580"/>
        <w:spacing w:after="0"/>
        <w:rPr>
          <w:sz w:val="20"/>
          <w:szCs w:val="20"/>
          <w:color w:val="auto"/>
        </w:rPr>
      </w:pPr>
      <w:r>
        <w:rPr>
          <w:rFonts w:ascii="Courier New" w:cs="Courier New" w:eastAsia="Courier New" w:hAnsi="Courier New"/>
          <w:sz w:val="15"/>
          <w:szCs w:val="15"/>
          <w:color w:val="auto"/>
        </w:rPr>
        <w:t>commencing on the Effective Date</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8" w:right="1440" w:bottom="1440" w:gutter="0" w:footer="0" w:header="0"/>
        </w:sectPr>
      </w:pPr>
    </w:p>
    <w:bookmarkStart w:id="208" w:name="page209"/>
    <w:bookmarkEnd w:id="208"/>
    <w:p>
      <w:pPr>
        <w:jc w:val="center"/>
        <w:ind w:right="3619"/>
        <w:spacing w:after="0"/>
        <w:rPr>
          <w:sz w:val="20"/>
          <w:szCs w:val="20"/>
          <w:color w:val="auto"/>
        </w:rPr>
      </w:pPr>
      <w:r>
        <w:rPr>
          <w:rFonts w:ascii="Courier New" w:cs="Courier New" w:eastAsia="Courier New" w:hAnsi="Courier New"/>
          <w:sz w:val="15"/>
          <w:szCs w:val="15"/>
          <w:color w:val="auto"/>
        </w:rPr>
        <w:t>Old LIBOR = Eurodollar Rate in effect with respect to such Loan</w:t>
      </w:r>
    </w:p>
    <w:p>
      <w:pPr>
        <w:jc w:val="center"/>
        <w:ind w:right="3619"/>
        <w:spacing w:after="0"/>
        <w:rPr>
          <w:sz w:val="20"/>
          <w:szCs w:val="20"/>
          <w:color w:val="auto"/>
        </w:rPr>
      </w:pPr>
      <w:r>
        <w:rPr>
          <w:rFonts w:ascii="Courier New" w:cs="Courier New" w:eastAsia="Courier New" w:hAnsi="Courier New"/>
          <w:sz w:val="15"/>
          <w:szCs w:val="15"/>
          <w:color w:val="auto"/>
        </w:rPr>
        <w:t>immediately prior to the Effective Date</w:t>
      </w:r>
    </w:p>
    <w:p>
      <w:pPr>
        <w:spacing w:after="0" w:line="16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Number of Days Remaining = Number of days remaining in</w:t>
      </w:r>
    </w:p>
    <w:p>
      <w:pPr>
        <w:ind w:left="2900"/>
        <w:spacing w:after="0"/>
        <w:rPr>
          <w:sz w:val="20"/>
          <w:szCs w:val="20"/>
          <w:color w:val="auto"/>
        </w:rPr>
      </w:pPr>
      <w:r>
        <w:rPr>
          <w:rFonts w:ascii="Courier New" w:cs="Courier New" w:eastAsia="Courier New" w:hAnsi="Courier New"/>
          <w:sz w:val="15"/>
          <w:szCs w:val="15"/>
          <w:color w:val="auto"/>
        </w:rPr>
        <w:t>the Interest Period applicable to such Loan</w:t>
      </w:r>
    </w:p>
    <w:p>
      <w:pPr>
        <w:spacing w:after="0" w:line="174"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If such amount is a negative number, the absolute value of such amount shall be payable only by the New Lenders for the account of the Existing Lenders. If such amount is a positive number, such amount shall be payable only by the Existing Lenders to the New Lenders.</w:t>
      </w:r>
    </w:p>
    <w:p>
      <w:pPr>
        <w:spacing w:after="0" w:line="176" w:lineRule="exact"/>
        <w:rPr>
          <w:sz w:val="20"/>
          <w:szCs w:val="20"/>
          <w:color w:val="auto"/>
        </w:rPr>
      </w:pPr>
    </w:p>
    <w:p>
      <w:pPr>
        <w:ind w:right="3259" w:firstLine="970"/>
        <w:spacing w:after="0" w:line="237" w:lineRule="auto"/>
        <w:rPr>
          <w:sz w:val="20"/>
          <w:szCs w:val="20"/>
          <w:color w:val="auto"/>
        </w:rPr>
      </w:pPr>
      <w:r>
        <w:rPr>
          <w:rFonts w:ascii="Courier New" w:cs="Courier New" w:eastAsia="Courier New" w:hAnsi="Courier New"/>
          <w:sz w:val="15"/>
          <w:szCs w:val="15"/>
          <w:color w:val="auto"/>
        </w:rPr>
        <w:t>Section 2.3. The "Participation Fee" payable by each Existing Lender shall be the amount set forth with respect to such Existing Lender in the following table: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ind w:left="160"/>
              <w:spacing w:after="0"/>
              <w:rPr>
                <w:sz w:val="20"/>
                <w:szCs w:val="20"/>
                <w:color w:val="auto"/>
              </w:rPr>
            </w:pPr>
            <w:r>
              <w:rPr>
                <w:rFonts w:ascii="Courier New" w:cs="Courier New" w:eastAsia="Courier New" w:hAnsi="Courier New"/>
                <w:sz w:val="15"/>
                <w:szCs w:val="15"/>
                <w:color w:val="auto"/>
              </w:rPr>
              <w:t>Category of Existing Lender</w:t>
            </w:r>
          </w:p>
        </w:tc>
        <w:tc>
          <w:tcPr>
            <w:tcW w:w="2600" w:type="dxa"/>
            <w:vAlign w:val="bottom"/>
          </w:tcPr>
          <w:p>
            <w:pPr>
              <w:jc w:val="right"/>
              <w:spacing w:after="0"/>
              <w:rPr>
                <w:sz w:val="20"/>
                <w:szCs w:val="20"/>
                <w:color w:val="auto"/>
              </w:rPr>
            </w:pPr>
            <w:r>
              <w:rPr>
                <w:rFonts w:ascii="Courier New" w:cs="Courier New" w:eastAsia="Courier New" w:hAnsi="Courier New"/>
                <w:sz w:val="15"/>
                <w:szCs w:val="15"/>
                <w:color w:val="auto"/>
              </w:rPr>
              <w:t>Amount of Participation Fee</w:t>
            </w:r>
          </w:p>
        </w:tc>
      </w:tr>
      <w:tr>
        <w:trPr>
          <w:trHeight w:val="170"/>
        </w:trPr>
        <w:tc>
          <w:tcPr>
            <w:tcW w:w="276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2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Managing Agent</w:t>
            </w:r>
          </w:p>
        </w:tc>
        <w:tc>
          <w:tcPr>
            <w:tcW w:w="26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$67,286.50</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Agent</w:t>
            </w:r>
          </w:p>
        </w:tc>
        <w:tc>
          <w:tcPr>
            <w:tcW w:w="26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$64,851.57</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Co-Agent</w:t>
            </w:r>
          </w:p>
        </w:tc>
        <w:tc>
          <w:tcPr>
            <w:tcW w:w="26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$46,322.55</w:t>
            </w:r>
          </w:p>
        </w:tc>
      </w:tr>
    </w:tbl>
    <w:p>
      <w:pPr>
        <w:spacing w:after="0" w:line="175" w:lineRule="exact"/>
        <w:rPr>
          <w:sz w:val="20"/>
          <w:szCs w:val="20"/>
          <w:color w:val="auto"/>
        </w:rPr>
      </w:pPr>
    </w:p>
    <w:p>
      <w:pPr>
        <w:ind w:right="3359" w:firstLine="970"/>
        <w:spacing w:after="0" w:line="238" w:lineRule="auto"/>
        <w:rPr>
          <w:sz w:val="20"/>
          <w:szCs w:val="20"/>
          <w:color w:val="auto"/>
        </w:rPr>
      </w:pPr>
      <w:r>
        <w:rPr>
          <w:rFonts w:ascii="Courier New" w:cs="Courier New" w:eastAsia="Courier New" w:hAnsi="Courier New"/>
          <w:sz w:val="15"/>
          <w:szCs w:val="15"/>
          <w:color w:val="auto"/>
        </w:rPr>
        <w:t>Section 2.4 Upon receipt of the monies by the Administrative Agent, as provided in Sections 2.1(i) and 2.2(i), and payment of the monies by the Administrative Agent, as provided in Section 2.1(ii) and 2.2(ii), the Administrative Agent shall make appropriate entries in its books pursuant to Section 13.7(g) of the Parent Facility and Section 10.7(g) of the Subsidiary Facility to reflect the reallocation of Commitments and Loans effected by this Amendment.</w:t>
      </w:r>
    </w:p>
    <w:p>
      <w:pPr>
        <w:spacing w:after="0" w:line="177" w:lineRule="exact"/>
        <w:rPr>
          <w:sz w:val="20"/>
          <w:szCs w:val="20"/>
          <w:color w:val="auto"/>
        </w:rPr>
      </w:pPr>
    </w:p>
    <w:p>
      <w:pPr>
        <w:ind w:right="3359" w:firstLine="970"/>
        <w:spacing w:after="0" w:line="237" w:lineRule="auto"/>
        <w:rPr>
          <w:sz w:val="20"/>
          <w:szCs w:val="20"/>
          <w:color w:val="auto"/>
        </w:rPr>
      </w:pPr>
      <w:r>
        <w:rPr>
          <w:rFonts w:ascii="Courier New" w:cs="Courier New" w:eastAsia="Courier New" w:hAnsi="Courier New"/>
          <w:sz w:val="15"/>
          <w:szCs w:val="15"/>
          <w:color w:val="auto"/>
        </w:rPr>
        <w:t>Section 2.4. The provisions of this Article are solely for the benefit of the Existing Lenders and the New Lenders and may not be enforced by any other party.</w:t>
      </w:r>
    </w:p>
    <w:p>
      <w:pPr>
        <w:spacing w:after="0" w:line="33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ARTICLE III</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Effectiveness</w:t>
      </w:r>
    </w:p>
    <w:p>
      <w:pPr>
        <w:spacing w:after="0" w:line="175" w:lineRule="exact"/>
        <w:rPr>
          <w:sz w:val="20"/>
          <w:szCs w:val="20"/>
          <w:color w:val="auto"/>
        </w:rPr>
      </w:pPr>
    </w:p>
    <w:p>
      <w:pPr>
        <w:ind w:right="3539" w:firstLine="970"/>
        <w:spacing w:after="0" w:line="237" w:lineRule="auto"/>
        <w:rPr>
          <w:sz w:val="20"/>
          <w:szCs w:val="20"/>
          <w:color w:val="auto"/>
        </w:rPr>
      </w:pPr>
      <w:r>
        <w:rPr>
          <w:rFonts w:ascii="Courier New" w:cs="Courier New" w:eastAsia="Courier New" w:hAnsi="Courier New"/>
          <w:sz w:val="15"/>
          <w:szCs w:val="15"/>
          <w:color w:val="auto"/>
        </w:rPr>
        <w:t>Section 3.1. This Amendment will be effective as of the Effective Date and following the execution thereof by each of Viacom, each Subsidiary Borrower, each Guarantor Subsidiary and each Existing Lender and New Lender identified on the signature pages hereof.</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2" w:right="1440" w:bottom="1440" w:gutter="0" w:footer="0" w:header="0"/>
        </w:sectPr>
      </w:pPr>
    </w:p>
    <w:bookmarkStart w:id="209" w:name="page210"/>
    <w:bookmarkEnd w:id="209"/>
    <w:p>
      <w:pPr>
        <w:jc w:val="center"/>
        <w:ind w:right="3179"/>
        <w:spacing w:after="0"/>
        <w:rPr>
          <w:sz w:val="20"/>
          <w:szCs w:val="20"/>
          <w:color w:val="auto"/>
        </w:rPr>
      </w:pPr>
      <w:r>
        <w:rPr>
          <w:rFonts w:ascii="Courier New" w:cs="Courier New" w:eastAsia="Courier New" w:hAnsi="Courier New"/>
          <w:sz w:val="15"/>
          <w:szCs w:val="15"/>
          <w:color w:val="auto"/>
        </w:rPr>
        <w:t>ARTICLE IV</w:t>
      </w: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Representations and Warranties</w:t>
      </w:r>
    </w:p>
    <w:p>
      <w:pPr>
        <w:spacing w:after="0" w:line="175" w:lineRule="exact"/>
        <w:rPr>
          <w:sz w:val="20"/>
          <w:szCs w:val="20"/>
          <w:color w:val="auto"/>
        </w:rPr>
      </w:pPr>
    </w:p>
    <w:p>
      <w:pPr>
        <w:ind w:right="3179" w:firstLine="970"/>
        <w:spacing w:after="0" w:line="237" w:lineRule="auto"/>
        <w:rPr>
          <w:sz w:val="20"/>
          <w:szCs w:val="20"/>
          <w:color w:val="auto"/>
        </w:rPr>
      </w:pPr>
      <w:r>
        <w:rPr>
          <w:rFonts w:ascii="Courier New" w:cs="Courier New" w:eastAsia="Courier New" w:hAnsi="Courier New"/>
          <w:sz w:val="15"/>
          <w:szCs w:val="15"/>
          <w:color w:val="auto"/>
        </w:rPr>
        <w:t>Section 4.1. Each of the Borrower, the Subsidiary Borrowers and the Subsidiary Guarantors hereby represents and warrants that on the Effective Date, both before and after giving effect to this Amendment, no Default or Event of Default shall exist or be continuing under the Parent Facility or the Subsidiary Facility.</w:t>
      </w:r>
    </w:p>
    <w:p>
      <w:pPr>
        <w:spacing w:after="0" w:line="342"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ARTICLE V</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Miscellaneous</w:t>
      </w:r>
    </w:p>
    <w:p>
      <w:pPr>
        <w:spacing w:after="0" w:line="175" w:lineRule="exact"/>
        <w:rPr>
          <w:sz w:val="20"/>
          <w:szCs w:val="20"/>
          <w:color w:val="auto"/>
        </w:rPr>
      </w:pPr>
    </w:p>
    <w:p>
      <w:pPr>
        <w:ind w:right="3259" w:firstLine="970"/>
        <w:spacing w:after="0" w:line="237" w:lineRule="auto"/>
        <w:rPr>
          <w:sz w:val="20"/>
          <w:szCs w:val="20"/>
          <w:color w:val="auto"/>
        </w:rPr>
      </w:pPr>
      <w:r>
        <w:rPr>
          <w:rFonts w:ascii="Courier New" w:cs="Courier New" w:eastAsia="Courier New" w:hAnsi="Courier New"/>
          <w:sz w:val="15"/>
          <w:szCs w:val="15"/>
          <w:color w:val="auto"/>
        </w:rPr>
        <w:t>Section 5.1. Capitalized terms used herein and not otherwise defined herein shall have the meanings ascribed to them in each of the Parent Facility and the Subsidiary Facility.</w:t>
      </w:r>
    </w:p>
    <w:p>
      <w:pPr>
        <w:spacing w:after="0" w:line="175" w:lineRule="exact"/>
        <w:rPr>
          <w:sz w:val="20"/>
          <w:szCs w:val="20"/>
          <w:color w:val="auto"/>
        </w:rPr>
      </w:pPr>
    </w:p>
    <w:p>
      <w:pPr>
        <w:ind w:right="3439" w:firstLine="970"/>
        <w:spacing w:after="0" w:line="237" w:lineRule="auto"/>
        <w:rPr>
          <w:sz w:val="20"/>
          <w:szCs w:val="20"/>
          <w:color w:val="auto"/>
        </w:rPr>
      </w:pPr>
      <w:r>
        <w:rPr>
          <w:rFonts w:ascii="Courier New" w:cs="Courier New" w:eastAsia="Courier New" w:hAnsi="Courier New"/>
          <w:sz w:val="15"/>
          <w:szCs w:val="15"/>
          <w:color w:val="auto"/>
        </w:rPr>
        <w:t>Section 5.2. Except as amended hereby, all of the terms of each of the Parent Facility and the Subsidiary Facility shall remain and continue in full force and effect and are hereby confirmed in all respects.</w:t>
      </w:r>
    </w:p>
    <w:p>
      <w:pPr>
        <w:spacing w:after="0" w:line="175" w:lineRule="exact"/>
        <w:rPr>
          <w:sz w:val="20"/>
          <w:szCs w:val="20"/>
          <w:color w:val="auto"/>
        </w:rPr>
      </w:pPr>
    </w:p>
    <w:p>
      <w:pPr>
        <w:ind w:right="3179" w:firstLine="970"/>
        <w:spacing w:after="0" w:line="235" w:lineRule="auto"/>
        <w:rPr>
          <w:sz w:val="20"/>
          <w:szCs w:val="20"/>
          <w:color w:val="auto"/>
        </w:rPr>
      </w:pPr>
      <w:r>
        <w:rPr>
          <w:rFonts w:ascii="Courier New" w:cs="Courier New" w:eastAsia="Courier New" w:hAnsi="Courier New"/>
          <w:sz w:val="15"/>
          <w:szCs w:val="15"/>
          <w:color w:val="auto"/>
        </w:rPr>
        <w:t>Section 5.3. This Amendment shall be a Loan Document for the purposes of the Parent Facility and Subsidiary Facility.</w:t>
      </w:r>
    </w:p>
    <w:p>
      <w:pPr>
        <w:spacing w:after="0" w:line="176" w:lineRule="exact"/>
        <w:rPr>
          <w:sz w:val="20"/>
          <w:szCs w:val="20"/>
          <w:color w:val="auto"/>
        </w:rPr>
      </w:pPr>
    </w:p>
    <w:p>
      <w:pPr>
        <w:ind w:right="3179" w:firstLine="970"/>
        <w:spacing w:after="0" w:line="237" w:lineRule="auto"/>
        <w:rPr>
          <w:sz w:val="20"/>
          <w:szCs w:val="20"/>
          <w:color w:val="auto"/>
        </w:rPr>
      </w:pPr>
      <w:r>
        <w:rPr>
          <w:rFonts w:ascii="Courier New" w:cs="Courier New" w:eastAsia="Courier New" w:hAnsi="Courier New"/>
          <w:sz w:val="15"/>
          <w:szCs w:val="15"/>
          <w:color w:val="auto"/>
        </w:rPr>
        <w:t>Section 5.4. This Amendment may be signed in any number of counterparts, each of which shall be an original, with the same effect as if the signatures thereto were upon the same instrument. Delivery of an executed counterpart of a signature page of this Amendment by telecopier shall be effective as delivery of a manually executed counterpart of this Amendment.</w:t>
      </w:r>
    </w:p>
    <w:p>
      <w:pPr>
        <w:spacing w:after="0" w:line="178" w:lineRule="exact"/>
        <w:rPr>
          <w:sz w:val="20"/>
          <w:szCs w:val="20"/>
          <w:color w:val="auto"/>
        </w:rPr>
      </w:pPr>
    </w:p>
    <w:p>
      <w:pPr>
        <w:ind w:right="3259" w:firstLine="970"/>
        <w:spacing w:after="0" w:line="237" w:lineRule="auto"/>
        <w:rPr>
          <w:sz w:val="20"/>
          <w:szCs w:val="20"/>
          <w:color w:val="auto"/>
        </w:rPr>
      </w:pPr>
      <w:r>
        <w:rPr>
          <w:rFonts w:ascii="Courier New" w:cs="Courier New" w:eastAsia="Courier New" w:hAnsi="Courier New"/>
          <w:sz w:val="15"/>
          <w:szCs w:val="15"/>
          <w:color w:val="auto"/>
        </w:rPr>
        <w:t>Section 5.5. THIS AMENDMENT AND THE RIGHTS AND OBLIGATIONS OF THE PARTIES HERETO SHALL BE GOVERNED BY, AND CONSTRUED IN ACCORDANCE WITH, THE LAWS OF THE STATE OF NEW YORK.</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2" w:right="1440" w:bottom="1440" w:gutter="0" w:footer="0" w:header="0"/>
        </w:sectPr>
      </w:pPr>
    </w:p>
    <w:bookmarkStart w:id="210" w:name="page211"/>
    <w:bookmarkEnd w:id="210"/>
    <w:p>
      <w:pPr>
        <w:ind w:right="3259" w:firstLine="970"/>
        <w:spacing w:after="0" w:line="235" w:lineRule="auto"/>
        <w:rPr>
          <w:sz w:val="20"/>
          <w:szCs w:val="20"/>
          <w:color w:val="auto"/>
        </w:rPr>
      </w:pPr>
      <w:r>
        <w:rPr>
          <w:rFonts w:ascii="Courier New" w:cs="Courier New" w:eastAsia="Courier New" w:hAnsi="Courier New"/>
          <w:sz w:val="15"/>
          <w:szCs w:val="15"/>
          <w:color w:val="auto"/>
        </w:rPr>
        <w:t>IN WITNESS WHEREOF, the parties hereto have caused this Amendment to be duly executed as of the date first above written.</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VIACOM INC., as Borrower</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 /s/ Vaughn A. Clarke</w:t>
      </w:r>
    </w:p>
    <w:p>
      <w:pPr>
        <w:ind w:left="3700"/>
        <w:spacing w:after="0"/>
        <w:rPr>
          <w:sz w:val="20"/>
          <w:szCs w:val="20"/>
          <w:color w:val="auto"/>
        </w:rPr>
      </w:pPr>
      <w:r>
        <w:rPr>
          <w:rFonts w:ascii="Courier New" w:cs="Courier New" w:eastAsia="Courier New" w:hAnsi="Courier New"/>
          <w:sz w:val="15"/>
          <w:szCs w:val="15"/>
          <w:color w:val="auto"/>
        </w:rPr>
        <w:t>-----------------------</w:t>
      </w:r>
    </w:p>
    <w:p>
      <w:pPr>
        <w:ind w:left="3700"/>
        <w:spacing w:after="0"/>
        <w:rPr>
          <w:sz w:val="20"/>
          <w:szCs w:val="20"/>
          <w:color w:val="auto"/>
        </w:rPr>
      </w:pPr>
      <w:r>
        <w:rPr>
          <w:rFonts w:ascii="Courier New" w:cs="Courier New" w:eastAsia="Courier New" w:hAnsi="Courier New"/>
          <w:sz w:val="15"/>
          <w:szCs w:val="15"/>
          <w:color w:val="auto"/>
        </w:rPr>
        <w:t>Name: Vaughn A. Clarke</w:t>
      </w:r>
    </w:p>
    <w:p>
      <w:pPr>
        <w:ind w:left="3700"/>
        <w:spacing w:after="0" w:line="238" w:lineRule="auto"/>
        <w:rPr>
          <w:sz w:val="20"/>
          <w:szCs w:val="20"/>
          <w:color w:val="auto"/>
        </w:rPr>
      </w:pPr>
      <w:r>
        <w:rPr>
          <w:rFonts w:ascii="Courier New" w:cs="Courier New" w:eastAsia="Courier New" w:hAnsi="Courier New"/>
          <w:sz w:val="15"/>
          <w:szCs w:val="15"/>
          <w:color w:val="auto"/>
        </w:rPr>
        <w:t>Title: Senior Vice</w:t>
      </w:r>
    </w:p>
    <w:p>
      <w:pPr>
        <w:ind w:left="4300"/>
        <w:spacing w:after="0"/>
        <w:rPr>
          <w:sz w:val="20"/>
          <w:szCs w:val="20"/>
          <w:color w:val="auto"/>
        </w:rPr>
      </w:pPr>
      <w:r>
        <w:rPr>
          <w:rFonts w:ascii="Courier New" w:cs="Courier New" w:eastAsia="Courier New" w:hAnsi="Courier New"/>
          <w:sz w:val="15"/>
          <w:szCs w:val="15"/>
          <w:color w:val="auto"/>
        </w:rPr>
        <w:t>President, Treasurer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VIACOM INTERNATIONAL INC., as a</w:t>
      </w:r>
    </w:p>
    <w:p>
      <w:pPr>
        <w:ind w:left="3420"/>
        <w:spacing w:after="0"/>
        <w:rPr>
          <w:sz w:val="20"/>
          <w:szCs w:val="20"/>
          <w:color w:val="auto"/>
        </w:rPr>
      </w:pPr>
      <w:r>
        <w:rPr>
          <w:rFonts w:ascii="Courier New" w:cs="Courier New" w:eastAsia="Courier New" w:hAnsi="Courier New"/>
          <w:sz w:val="15"/>
          <w:szCs w:val="15"/>
          <w:color w:val="auto"/>
        </w:rPr>
        <w:t>Subsidiary Borrower and as a Subsidiary</w:t>
      </w:r>
    </w:p>
    <w:p>
      <w:pPr>
        <w:ind w:left="3420"/>
        <w:spacing w:after="0"/>
        <w:rPr>
          <w:sz w:val="20"/>
          <w:szCs w:val="20"/>
          <w:color w:val="auto"/>
        </w:rPr>
      </w:pPr>
      <w:r>
        <w:rPr>
          <w:rFonts w:ascii="Courier New" w:cs="Courier New" w:eastAsia="Courier New" w:hAnsi="Courier New"/>
          <w:sz w:val="15"/>
          <w:szCs w:val="15"/>
          <w:color w:val="auto"/>
        </w:rPr>
        <w:t>Guarantor</w:t>
      </w:r>
    </w:p>
    <w:p>
      <w:pPr>
        <w:spacing w:after="0" w:line="200" w:lineRule="exact"/>
        <w:rPr>
          <w:sz w:val="20"/>
          <w:szCs w:val="20"/>
          <w:color w:val="auto"/>
        </w:rPr>
      </w:pPr>
    </w:p>
    <w:p>
      <w:pPr>
        <w:spacing w:after="0" w:line="3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 /s/ Vaughn A. Clarke</w:t>
      </w:r>
    </w:p>
    <w:p>
      <w:pPr>
        <w:ind w:left="3700"/>
        <w:spacing w:after="0"/>
        <w:rPr>
          <w:sz w:val="20"/>
          <w:szCs w:val="20"/>
          <w:color w:val="auto"/>
        </w:rPr>
      </w:pPr>
      <w:r>
        <w:rPr>
          <w:rFonts w:ascii="Courier New" w:cs="Courier New" w:eastAsia="Courier New" w:hAnsi="Courier New"/>
          <w:sz w:val="15"/>
          <w:szCs w:val="15"/>
          <w:color w:val="auto"/>
        </w:rPr>
        <w:t>-----------------------</w:t>
      </w:r>
    </w:p>
    <w:p>
      <w:pPr>
        <w:ind w:left="3700"/>
        <w:spacing w:after="0"/>
        <w:rPr>
          <w:sz w:val="20"/>
          <w:szCs w:val="20"/>
          <w:color w:val="auto"/>
        </w:rPr>
      </w:pPr>
      <w:r>
        <w:rPr>
          <w:rFonts w:ascii="Courier New" w:cs="Courier New" w:eastAsia="Courier New" w:hAnsi="Courier New"/>
          <w:sz w:val="15"/>
          <w:szCs w:val="15"/>
          <w:color w:val="auto"/>
        </w:rPr>
        <w:t>Name: Vaughn A. Clarke</w:t>
      </w:r>
    </w:p>
    <w:p>
      <w:pPr>
        <w:ind w:left="3700"/>
        <w:spacing w:after="0" w:line="238" w:lineRule="auto"/>
        <w:rPr>
          <w:sz w:val="20"/>
          <w:szCs w:val="20"/>
          <w:color w:val="auto"/>
        </w:rPr>
      </w:pPr>
      <w:r>
        <w:rPr>
          <w:rFonts w:ascii="Courier New" w:cs="Courier New" w:eastAsia="Courier New" w:hAnsi="Courier New"/>
          <w:sz w:val="15"/>
          <w:szCs w:val="15"/>
          <w:color w:val="auto"/>
        </w:rPr>
        <w:t>Title: Senior Vice</w:t>
      </w:r>
    </w:p>
    <w:p>
      <w:pPr>
        <w:ind w:left="4300"/>
        <w:spacing w:after="0"/>
        <w:rPr>
          <w:sz w:val="20"/>
          <w:szCs w:val="20"/>
          <w:color w:val="auto"/>
        </w:rPr>
      </w:pPr>
      <w:r>
        <w:rPr>
          <w:rFonts w:ascii="Courier New" w:cs="Courier New" w:eastAsia="Courier New" w:hAnsi="Courier New"/>
          <w:sz w:val="15"/>
          <w:szCs w:val="15"/>
          <w:color w:val="auto"/>
        </w:rPr>
        <w:t>President, Treasurer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On behalf of the following Subsidiary</w:t>
      </w:r>
    </w:p>
    <w:p>
      <w:pPr>
        <w:ind w:left="3420"/>
        <w:spacing w:after="0"/>
        <w:rPr>
          <w:sz w:val="20"/>
          <w:szCs w:val="20"/>
          <w:color w:val="auto"/>
        </w:rPr>
      </w:pPr>
      <w:r>
        <w:rPr>
          <w:rFonts w:ascii="Courier New" w:cs="Courier New" w:eastAsia="Courier New" w:hAnsi="Courier New"/>
          <w:sz w:val="15"/>
          <w:szCs w:val="15"/>
          <w:color w:val="auto"/>
        </w:rPr>
        <w:t>Borrowers: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VIACOM CABLEVISION OF DAYTON INC.,</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WNYT INC.,</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WMZQ INC. and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WVIT INC.</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PARAMOUNT COMMUNICATIONS INC., as a</w:t>
      </w:r>
    </w:p>
    <w:p>
      <w:pPr>
        <w:ind w:left="3420"/>
        <w:spacing w:after="0"/>
        <w:rPr>
          <w:sz w:val="20"/>
          <w:szCs w:val="20"/>
          <w:color w:val="auto"/>
        </w:rPr>
      </w:pPr>
      <w:r>
        <w:rPr>
          <w:rFonts w:ascii="Courier New" w:cs="Courier New" w:eastAsia="Courier New" w:hAnsi="Courier New"/>
          <w:sz w:val="15"/>
          <w:szCs w:val="15"/>
          <w:color w:val="auto"/>
        </w:rPr>
        <w:t>Subsidiary Guarantor</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 /s/ Vaughn A. Clarke</w:t>
      </w:r>
    </w:p>
    <w:p>
      <w:pPr>
        <w:ind w:left="3700"/>
        <w:spacing w:after="0"/>
        <w:rPr>
          <w:sz w:val="20"/>
          <w:szCs w:val="20"/>
          <w:color w:val="auto"/>
        </w:rPr>
      </w:pPr>
      <w:r>
        <w:rPr>
          <w:rFonts w:ascii="Courier New" w:cs="Courier New" w:eastAsia="Courier New" w:hAnsi="Courier New"/>
          <w:sz w:val="15"/>
          <w:szCs w:val="15"/>
          <w:color w:val="auto"/>
        </w:rPr>
        <w:t>-----------------------</w:t>
      </w:r>
    </w:p>
    <w:p>
      <w:pPr>
        <w:ind w:left="3700"/>
        <w:spacing w:after="0"/>
        <w:rPr>
          <w:sz w:val="20"/>
          <w:szCs w:val="20"/>
          <w:color w:val="auto"/>
        </w:rPr>
      </w:pPr>
      <w:r>
        <w:rPr>
          <w:rFonts w:ascii="Courier New" w:cs="Courier New" w:eastAsia="Courier New" w:hAnsi="Courier New"/>
          <w:sz w:val="15"/>
          <w:szCs w:val="15"/>
          <w:color w:val="auto"/>
        </w:rPr>
        <w:t>Name: Vaughn A. Clarke</w:t>
      </w:r>
    </w:p>
    <w:p>
      <w:pPr>
        <w:ind w:left="3700"/>
        <w:spacing w:after="0" w:line="238" w:lineRule="auto"/>
        <w:rPr>
          <w:sz w:val="20"/>
          <w:szCs w:val="20"/>
          <w:color w:val="auto"/>
        </w:rPr>
      </w:pPr>
      <w:r>
        <w:rPr>
          <w:rFonts w:ascii="Courier New" w:cs="Courier New" w:eastAsia="Courier New" w:hAnsi="Courier New"/>
          <w:sz w:val="15"/>
          <w:szCs w:val="15"/>
          <w:color w:val="auto"/>
        </w:rPr>
        <w:t>Title: Senior Vice</w:t>
      </w:r>
    </w:p>
    <w:p>
      <w:pPr>
        <w:ind w:left="4300"/>
        <w:spacing w:after="0"/>
        <w:rPr>
          <w:sz w:val="20"/>
          <w:szCs w:val="20"/>
          <w:color w:val="auto"/>
        </w:rPr>
      </w:pPr>
      <w:r>
        <w:rPr>
          <w:rFonts w:ascii="Courier New" w:cs="Courier New" w:eastAsia="Courier New" w:hAnsi="Courier New"/>
          <w:sz w:val="15"/>
          <w:szCs w:val="15"/>
          <w:color w:val="auto"/>
        </w:rPr>
        <w:t>President, Treasurer</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8" w:right="1440" w:bottom="1440" w:gutter="0" w:footer="0" w:header="0"/>
        </w:sectPr>
      </w:pPr>
    </w:p>
    <w:bookmarkStart w:id="211" w:name="page212"/>
    <w:bookmarkEnd w:id="211"/>
    <w:p>
      <w:pPr>
        <w:ind w:left="1520"/>
        <w:spacing w:after="0"/>
        <w:rPr>
          <w:sz w:val="20"/>
          <w:szCs w:val="20"/>
          <w:color w:val="auto"/>
        </w:rPr>
      </w:pPr>
      <w:r>
        <w:rPr>
          <w:rFonts w:ascii="Courier New" w:cs="Courier New" w:eastAsia="Courier New" w:hAnsi="Courier New"/>
          <w:sz w:val="15"/>
          <w:szCs w:val="15"/>
          <w:color w:val="auto"/>
        </w:rPr>
        <w:t>EXISTING LENDERS</w:t>
      </w:r>
    </w:p>
    <w:p>
      <w:pPr>
        <w:spacing w:after="0" w:line="16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Managing Agents</w:t>
      </w:r>
    </w:p>
    <w:p>
      <w:pPr>
        <w:spacing w:after="0" w:line="16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THE BANK OF NEW YORK, as Managing Agent, the</w:t>
      </w:r>
    </w:p>
    <w:p>
      <w:pPr>
        <w:ind w:left="1520"/>
        <w:spacing w:after="0"/>
        <w:rPr>
          <w:sz w:val="20"/>
          <w:szCs w:val="20"/>
          <w:color w:val="auto"/>
        </w:rPr>
      </w:pPr>
      <w:r>
        <w:rPr>
          <w:rFonts w:ascii="Courier New" w:cs="Courier New" w:eastAsia="Courier New" w:hAnsi="Courier New"/>
          <w:sz w:val="15"/>
          <w:szCs w:val="15"/>
          <w:color w:val="auto"/>
        </w:rPr>
        <w:t>Documentation Agent and a 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Vincent L. Pacilio</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Vincent L. Pacilio</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CITIBANK, N.A., as Managing Agent, the</w:t>
      </w:r>
    </w:p>
    <w:p>
      <w:pPr>
        <w:ind w:left="1520"/>
        <w:spacing w:after="0"/>
        <w:rPr>
          <w:sz w:val="20"/>
          <w:szCs w:val="20"/>
          <w:color w:val="auto"/>
        </w:rPr>
      </w:pPr>
      <w:r>
        <w:rPr>
          <w:rFonts w:ascii="Courier New" w:cs="Courier New" w:eastAsia="Courier New" w:hAnsi="Courier New"/>
          <w:sz w:val="15"/>
          <w:szCs w:val="15"/>
          <w:color w:val="auto"/>
        </w:rPr>
        <w:t>Administrative Agent and a 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David D. Clark</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David D. Clark</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MORGAN GUARANTY TRUST COMPANY OF NEW YORK, as</w:t>
      </w:r>
    </w:p>
    <w:p>
      <w:pPr>
        <w:ind w:left="1520"/>
        <w:spacing w:after="0"/>
        <w:rPr>
          <w:sz w:val="20"/>
          <w:szCs w:val="20"/>
          <w:color w:val="auto"/>
        </w:rPr>
      </w:pPr>
      <w:r>
        <w:rPr>
          <w:rFonts w:ascii="Courier New" w:cs="Courier New" w:eastAsia="Courier New" w:hAnsi="Courier New"/>
          <w:sz w:val="15"/>
          <w:szCs w:val="15"/>
          <w:color w:val="auto"/>
        </w:rPr>
        <w:t>Managing Agent and a 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Stephen J. Kenneally</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Stephen J. Kenneally</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44"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BANK OF AMERICA NT&amp;SA, as Managing Agent and a</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Nancy L. Sun</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Nancy L. Sun</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019"/>
          </w:cols>
          <w:pgMar w:left="1440" w:top="791" w:right="1440" w:bottom="1440" w:gutter="0" w:footer="0" w:header="0"/>
        </w:sectPr>
      </w:pPr>
    </w:p>
    <w:bookmarkStart w:id="212" w:name="page213"/>
    <w:bookmarkEnd w:id="212"/>
    <w:p>
      <w:pPr>
        <w:ind w:left="1520"/>
        <w:spacing w:after="0"/>
        <w:rPr>
          <w:sz w:val="20"/>
          <w:szCs w:val="20"/>
          <w:color w:val="auto"/>
        </w:rPr>
      </w:pPr>
      <w:r>
        <w:rPr>
          <w:rFonts w:ascii="Courier New" w:cs="Courier New" w:eastAsia="Courier New" w:hAnsi="Courier New"/>
          <w:sz w:val="15"/>
          <w:szCs w:val="15"/>
          <w:color w:val="auto"/>
        </w:rPr>
        <w:t>Agents</w:t>
      </w:r>
    </w:p>
    <w:p>
      <w:pPr>
        <w:spacing w:after="0" w:line="16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BANK OF MONTREAL, as Agent and a Bank</w:t>
      </w:r>
    </w:p>
    <w:p>
      <w:pPr>
        <w:spacing w:after="0" w:line="200" w:lineRule="exact"/>
        <w:rPr>
          <w:sz w:val="20"/>
          <w:szCs w:val="20"/>
          <w:color w:val="auto"/>
        </w:rPr>
      </w:pPr>
    </w:p>
    <w:p>
      <w:pPr>
        <w:spacing w:after="0" w:line="308"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By: /s/ Yvonne Bos</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Yvonne Bos</w:t>
      </w:r>
    </w:p>
    <w:p>
      <w:pPr>
        <w:ind w:left="1780"/>
        <w:spacing w:after="0" w:line="238" w:lineRule="auto"/>
        <w:rPr>
          <w:sz w:val="20"/>
          <w:szCs w:val="20"/>
          <w:color w:val="auto"/>
        </w:rPr>
      </w:pPr>
      <w:r>
        <w:rPr>
          <w:rFonts w:ascii="Courier New" w:cs="Courier New" w:eastAsia="Courier New" w:hAnsi="Courier New"/>
          <w:sz w:val="15"/>
          <w:szCs w:val="15"/>
          <w:color w:val="auto"/>
        </w:rPr>
        <w:t>Title: Managing Director</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THE BANK OF NOVA SCOTIA, as Agent and a 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Vince Fitzgerald</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Vince Fitzgerald</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THE BANK OF TOKYO TRUST COMPANY, as Agent and a</w:t>
      </w:r>
    </w:p>
    <w:p>
      <w:pPr>
        <w:ind w:left="1520"/>
        <w:spacing w:after="0"/>
        <w:rPr>
          <w:sz w:val="20"/>
          <w:szCs w:val="20"/>
          <w:color w:val="auto"/>
        </w:rPr>
      </w:pPr>
      <w:r>
        <w:rPr>
          <w:rFonts w:ascii="Courier New" w:cs="Courier New" w:eastAsia="Courier New" w:hAnsi="Courier New"/>
          <w:sz w:val="15"/>
          <w:szCs w:val="15"/>
          <w:color w:val="auto"/>
        </w:rPr>
        <w:t>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Neal Hoffson</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Neal Hoffson</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BARCLAYS BANK PLC, as Agent and a 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James L. Hatter</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James L. Hatter</w:t>
      </w:r>
    </w:p>
    <w:p>
      <w:pPr>
        <w:ind w:left="1780"/>
        <w:spacing w:after="0" w:line="238" w:lineRule="auto"/>
        <w:rPr>
          <w:sz w:val="20"/>
          <w:szCs w:val="20"/>
          <w:color w:val="auto"/>
        </w:rPr>
      </w:pPr>
      <w:r>
        <w:rPr>
          <w:rFonts w:ascii="Courier New" w:cs="Courier New" w:eastAsia="Courier New" w:hAnsi="Courier New"/>
          <w:sz w:val="15"/>
          <w:szCs w:val="15"/>
          <w:color w:val="auto"/>
        </w:rPr>
        <w:t>Title: Director</w:t>
      </w:r>
    </w:p>
    <w:p>
      <w:pPr>
        <w:spacing w:after="0" w:line="344"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CANADIAN IMPERIAL BANK OF COMMERCE, as Agent and</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a 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John H. Tyler</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John H. Tyler</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019"/>
          </w:cols>
          <w:pgMar w:left="1440" w:top="622" w:right="1440" w:bottom="1440" w:gutter="0" w:footer="0" w:header="0"/>
        </w:sectPr>
      </w:pPr>
    </w:p>
    <w:bookmarkStart w:id="213" w:name="page214"/>
    <w:bookmarkEnd w:id="213"/>
    <w:p>
      <w:pPr>
        <w:ind w:left="1520"/>
        <w:spacing w:after="0"/>
        <w:rPr>
          <w:sz w:val="20"/>
          <w:szCs w:val="20"/>
          <w:color w:val="auto"/>
        </w:rPr>
      </w:pPr>
      <w:r>
        <w:rPr>
          <w:rFonts w:ascii="Courier New" w:cs="Courier New" w:eastAsia="Courier New" w:hAnsi="Courier New"/>
          <w:sz w:val="14"/>
          <w:szCs w:val="14"/>
          <w:color w:val="auto"/>
        </w:rPr>
        <w:t>THE CHASE MANHATTAN BANK (NATIONAL ASSOCIATION),</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as Agent and a 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Bruce Langenkamp</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Bruce Langenkamp</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CREDIT LYONNAIS CAYMAN ISLAND BRANCH, as Agent</w:t>
      </w:r>
    </w:p>
    <w:p>
      <w:pPr>
        <w:ind w:left="1520"/>
        <w:spacing w:after="0"/>
        <w:rPr>
          <w:sz w:val="20"/>
          <w:szCs w:val="20"/>
          <w:color w:val="auto"/>
        </w:rPr>
      </w:pPr>
      <w:r>
        <w:rPr>
          <w:rFonts w:ascii="Courier New" w:cs="Courier New" w:eastAsia="Courier New" w:hAnsi="Courier New"/>
          <w:sz w:val="15"/>
          <w:szCs w:val="15"/>
          <w:color w:val="auto"/>
        </w:rPr>
        <w:t>and a 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M. Bernadette Collins</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M. Bernadette Collins</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44"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THE FIRST NATIONAL BANK OF BOSTON, as Agent and a</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Mary M. Barcus</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Mary M. Barcus</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THE FUJI BANK, LIMITED, as Agent and a 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Katsunori Nozawa</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Katsunori Nozawa</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 &amp;</w:t>
      </w:r>
    </w:p>
    <w:p>
      <w:pPr>
        <w:ind w:left="2400"/>
        <w:spacing w:after="0"/>
        <w:rPr>
          <w:sz w:val="20"/>
          <w:szCs w:val="20"/>
          <w:color w:val="auto"/>
        </w:rPr>
      </w:pPr>
      <w:r>
        <w:rPr>
          <w:rFonts w:ascii="Courier New" w:cs="Courier New" w:eastAsia="Courier New" w:hAnsi="Courier New"/>
          <w:sz w:val="15"/>
          <w:szCs w:val="15"/>
          <w:color w:val="auto"/>
        </w:rPr>
        <w:t>Manager</w:t>
      </w:r>
    </w:p>
    <w:p>
      <w:pPr>
        <w:spacing w:after="0" w:line="344"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THE INDUSTRIAL BANK OF JAPAN, LTD., as Agent and</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a 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Jeffrey Cole</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Jeffrey Cole</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019"/>
          </w:cols>
          <w:pgMar w:left="1440" w:top="627" w:right="1440" w:bottom="1440" w:gutter="0" w:footer="0" w:header="0"/>
        </w:sectPr>
      </w:pPr>
    </w:p>
    <w:bookmarkStart w:id="214" w:name="page215"/>
    <w:bookmarkEnd w:id="214"/>
    <w:p>
      <w:pPr>
        <w:ind w:left="1520"/>
        <w:spacing w:after="0"/>
        <w:rPr>
          <w:sz w:val="20"/>
          <w:szCs w:val="20"/>
          <w:color w:val="auto"/>
        </w:rPr>
      </w:pPr>
      <w:r>
        <w:rPr>
          <w:rFonts w:ascii="Courier New" w:cs="Courier New" w:eastAsia="Courier New" w:hAnsi="Courier New"/>
          <w:sz w:val="15"/>
          <w:szCs w:val="15"/>
          <w:color w:val="auto"/>
        </w:rPr>
        <w:t>LTCB TRUST COMPANY, as Agent and a 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Tetsuya Fukunaga</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Tetsuya Fukunaga</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MELLON BANK, N.A., as Agent and a 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Sean C. Gannon</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Sean C. Gannon</w:t>
      </w:r>
    </w:p>
    <w:p>
      <w:pPr>
        <w:ind w:left="1780"/>
        <w:spacing w:after="0" w:line="238" w:lineRule="auto"/>
        <w:rPr>
          <w:sz w:val="20"/>
          <w:szCs w:val="20"/>
          <w:color w:val="auto"/>
        </w:rPr>
      </w:pPr>
      <w:r>
        <w:rPr>
          <w:rFonts w:ascii="Courier New" w:cs="Courier New" w:eastAsia="Courier New" w:hAnsi="Courier New"/>
          <w:sz w:val="15"/>
          <w:szCs w:val="15"/>
          <w:color w:val="auto"/>
        </w:rPr>
        <w:t>Title: Assistant Vice President</w:t>
      </w:r>
    </w:p>
    <w:p>
      <w:pPr>
        <w:spacing w:after="0" w:line="344"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NATIONSBANK OF TEXAS N.A., as Agent and a Bank</w:t>
      </w:r>
    </w:p>
    <w:p>
      <w:pPr>
        <w:spacing w:after="0" w:line="200" w:lineRule="exact"/>
        <w:rPr>
          <w:sz w:val="20"/>
          <w:szCs w:val="20"/>
          <w:color w:val="auto"/>
        </w:rPr>
      </w:pPr>
    </w:p>
    <w:p>
      <w:pPr>
        <w:spacing w:after="0" w:line="31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Chad E. Coben</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Chad E. Coben</w:t>
      </w:r>
    </w:p>
    <w:p>
      <w:pPr>
        <w:ind w:left="1780"/>
        <w:spacing w:after="0" w:line="238" w:lineRule="auto"/>
        <w:rPr>
          <w:sz w:val="20"/>
          <w:szCs w:val="20"/>
          <w:color w:val="auto"/>
        </w:rPr>
      </w:pPr>
      <w:r>
        <w:rPr>
          <w:rFonts w:ascii="Courier New" w:cs="Courier New" w:eastAsia="Courier New" w:hAnsi="Courier New"/>
          <w:sz w:val="15"/>
          <w:szCs w:val="15"/>
          <w:color w:val="auto"/>
        </w:rPr>
        <w:t>Title: Assistant Vice President</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SOCIETE GENERALE, as Agent and a 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Pascale Hainline</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Pascale Hainline</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44"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THE TORONTO-DOMINION BANK, as Agent and a Bank</w:t>
      </w:r>
    </w:p>
    <w:p>
      <w:pPr>
        <w:spacing w:after="0" w:line="200" w:lineRule="exact"/>
        <w:rPr>
          <w:sz w:val="20"/>
          <w:szCs w:val="20"/>
          <w:color w:val="auto"/>
        </w:rPr>
      </w:pPr>
    </w:p>
    <w:p>
      <w:pPr>
        <w:spacing w:after="0" w:line="31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David G. Parker</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David G. Parker</w:t>
      </w:r>
    </w:p>
    <w:p>
      <w:pPr>
        <w:ind w:left="1780"/>
        <w:spacing w:after="0" w:line="238" w:lineRule="auto"/>
        <w:rPr>
          <w:sz w:val="20"/>
          <w:szCs w:val="20"/>
          <w:color w:val="auto"/>
        </w:rPr>
      </w:pPr>
      <w:r>
        <w:rPr>
          <w:rFonts w:ascii="Courier New" w:cs="Courier New" w:eastAsia="Courier New" w:hAnsi="Courier New"/>
          <w:sz w:val="15"/>
          <w:szCs w:val="15"/>
          <w:color w:val="auto"/>
        </w:rPr>
        <w:t>Title: Mgr. Cr. Admin.</w:t>
      </w:r>
    </w:p>
    <w:p>
      <w:pPr>
        <w:spacing w:after="0" w:line="33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019"/>
          </w:cols>
          <w:pgMar w:left="1440" w:top="622" w:right="1440" w:bottom="1440" w:gutter="0" w:footer="0" w:header="0"/>
        </w:sectPr>
      </w:pPr>
    </w:p>
    <w:bookmarkStart w:id="215" w:name="page216"/>
    <w:bookmarkEnd w:id="215"/>
    <w:p>
      <w:pPr>
        <w:ind w:left="1520"/>
        <w:spacing w:after="0"/>
        <w:rPr>
          <w:sz w:val="20"/>
          <w:szCs w:val="20"/>
          <w:color w:val="auto"/>
        </w:rPr>
      </w:pPr>
      <w:r>
        <w:rPr>
          <w:rFonts w:ascii="Courier New" w:cs="Courier New" w:eastAsia="Courier New" w:hAnsi="Courier New"/>
          <w:sz w:val="15"/>
          <w:szCs w:val="15"/>
          <w:color w:val="auto"/>
        </w:rPr>
        <w:t>UNION BANK, as Agent and a 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Bill D. Gooch</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Bill D. Gooch</w:t>
      </w:r>
    </w:p>
    <w:p>
      <w:pPr>
        <w:ind w:left="1780"/>
        <w:spacing w:after="0" w:line="238" w:lineRule="auto"/>
        <w:rPr>
          <w:sz w:val="20"/>
          <w:szCs w:val="20"/>
          <w:color w:val="auto"/>
        </w:rPr>
      </w:pPr>
      <w:r>
        <w:rPr>
          <w:rFonts w:ascii="Courier New" w:cs="Courier New" w:eastAsia="Courier New" w:hAnsi="Courier New"/>
          <w:sz w:val="15"/>
          <w:szCs w:val="15"/>
          <w:color w:val="auto"/>
        </w:rPr>
        <w:t>Title: Assistant Vice President</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Co-Agents</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CREDIT SUISSE, as Co-Agent and a 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Michael C. Mast</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Michael C. Mast</w:t>
      </w:r>
    </w:p>
    <w:p>
      <w:pPr>
        <w:ind w:left="1780"/>
        <w:spacing w:after="0" w:line="238" w:lineRule="auto"/>
        <w:rPr>
          <w:sz w:val="20"/>
          <w:szCs w:val="20"/>
          <w:color w:val="auto"/>
        </w:rPr>
      </w:pPr>
      <w:r>
        <w:rPr>
          <w:rFonts w:ascii="Courier New" w:cs="Courier New" w:eastAsia="Courier New" w:hAnsi="Courier New"/>
          <w:sz w:val="15"/>
          <w:szCs w:val="15"/>
          <w:color w:val="auto"/>
        </w:rPr>
        <w:t>Title: Member of Senior Management</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Scott E. Zoellner</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Scott E. Zoellner</w:t>
      </w:r>
    </w:p>
    <w:p>
      <w:pPr>
        <w:ind w:left="1780"/>
        <w:spacing w:after="0" w:line="238" w:lineRule="auto"/>
        <w:rPr>
          <w:sz w:val="20"/>
          <w:szCs w:val="20"/>
          <w:color w:val="auto"/>
        </w:rPr>
      </w:pPr>
      <w:r>
        <w:rPr>
          <w:rFonts w:ascii="Courier New" w:cs="Courier New" w:eastAsia="Courier New" w:hAnsi="Courier New"/>
          <w:sz w:val="15"/>
          <w:szCs w:val="15"/>
          <w:color w:val="auto"/>
        </w:rPr>
        <w:t>Title: Associate</w:t>
      </w:r>
    </w:p>
    <w:p>
      <w:pPr>
        <w:spacing w:after="0" w:line="200" w:lineRule="exact"/>
        <w:rPr>
          <w:sz w:val="20"/>
          <w:szCs w:val="20"/>
          <w:color w:val="auto"/>
        </w:rPr>
      </w:pPr>
    </w:p>
    <w:p>
      <w:pPr>
        <w:spacing w:after="0" w:line="314"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THE DAI-ICHI KANGYO BANK LTD., NEW YORK BRANCH,</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as Co-Agent and a 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Yosada Onoda</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Yosada Onoda</w:t>
      </w:r>
    </w:p>
    <w:p>
      <w:pPr>
        <w:ind w:left="178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344"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THE MITSUBISHI BANK, LIMITED, as Co-Agent and a</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Paula Mueller</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Paula Mueller</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019"/>
          </w:cols>
          <w:pgMar w:left="1440" w:top="622" w:right="1440" w:bottom="1440" w:gutter="0" w:footer="0" w:header="0"/>
        </w:sectPr>
      </w:pPr>
    </w:p>
    <w:bookmarkStart w:id="216" w:name="page217"/>
    <w:bookmarkEnd w:id="216"/>
    <w:p>
      <w:pPr>
        <w:ind w:left="1520"/>
        <w:spacing w:after="0"/>
        <w:rPr>
          <w:sz w:val="20"/>
          <w:szCs w:val="20"/>
          <w:color w:val="auto"/>
        </w:rPr>
      </w:pPr>
      <w:r>
        <w:rPr>
          <w:rFonts w:ascii="Courier New" w:cs="Courier New" w:eastAsia="Courier New" w:hAnsi="Courier New"/>
          <w:sz w:val="14"/>
          <w:szCs w:val="14"/>
          <w:color w:val="auto"/>
        </w:rPr>
        <w:t>THE MITSUBISHI TRUST &amp; BANKING CORPORATION, as</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Co-Agent and a 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Patricia Loret de Mola</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Patricia Loret de Mola</w:t>
      </w:r>
    </w:p>
    <w:p>
      <w:pPr>
        <w:ind w:left="178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ROYAL BANK OF CANADA, as Co-Agent and a 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E. Salazar</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E. Salazar</w:t>
      </w:r>
    </w:p>
    <w:p>
      <w:pPr>
        <w:ind w:left="1780"/>
        <w:spacing w:after="0" w:line="238" w:lineRule="auto"/>
        <w:rPr>
          <w:sz w:val="20"/>
          <w:szCs w:val="20"/>
          <w:color w:val="auto"/>
        </w:rPr>
      </w:pPr>
      <w:r>
        <w:rPr>
          <w:rFonts w:ascii="Courier New" w:cs="Courier New" w:eastAsia="Courier New" w:hAnsi="Courier New"/>
          <w:sz w:val="15"/>
          <w:szCs w:val="15"/>
          <w:color w:val="auto"/>
        </w:rPr>
        <w:t>Title: Senior Manager</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THE SANWA BANK, LTD., as Co-Agent and a 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Masaaki Ariyoshi</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Masaaki Ariyoshi</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44"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THE SUMITOMO BANK, LIMITED, NEW YORK BRANCH, as</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Co-Agent and a 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Shuntaro Higashi</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Shuntaro Higashi</w:t>
      </w:r>
    </w:p>
    <w:p>
      <w:pPr>
        <w:ind w:left="1780"/>
        <w:spacing w:after="0" w:line="238" w:lineRule="auto"/>
        <w:rPr>
          <w:sz w:val="20"/>
          <w:szCs w:val="20"/>
          <w:color w:val="auto"/>
        </w:rPr>
      </w:pPr>
      <w:r>
        <w:rPr>
          <w:rFonts w:ascii="Courier New" w:cs="Courier New" w:eastAsia="Courier New" w:hAnsi="Courier New"/>
          <w:sz w:val="15"/>
          <w:szCs w:val="15"/>
          <w:color w:val="auto"/>
        </w:rPr>
        <w:t>Title: Joint General Manager</w:t>
      </w:r>
    </w:p>
    <w:p>
      <w:pPr>
        <w:spacing w:after="0" w:line="33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019"/>
          </w:cols>
          <w:pgMar w:left="1440" w:top="628" w:right="1440" w:bottom="1440" w:gutter="0" w:footer="0" w:header="0"/>
        </w:sectPr>
      </w:pPr>
    </w:p>
    <w:bookmarkStart w:id="217" w:name="page218"/>
    <w:bookmarkEnd w:id="217"/>
    <w:p>
      <w:pPr>
        <w:ind w:left="1520"/>
        <w:spacing w:after="0"/>
        <w:rPr>
          <w:sz w:val="20"/>
          <w:szCs w:val="20"/>
          <w:color w:val="auto"/>
        </w:rPr>
      </w:pPr>
      <w:r>
        <w:rPr>
          <w:rFonts w:ascii="Courier New" w:cs="Courier New" w:eastAsia="Courier New" w:hAnsi="Courier New"/>
          <w:sz w:val="14"/>
          <w:szCs w:val="14"/>
          <w:color w:val="auto"/>
        </w:rPr>
        <w:t>UNION BANK OF SWITZERLAND, as Co-Agent and a Bank</w:t>
      </w:r>
    </w:p>
    <w:p>
      <w:pPr>
        <w:spacing w:after="0" w:line="200" w:lineRule="exact"/>
        <w:rPr>
          <w:sz w:val="20"/>
          <w:szCs w:val="20"/>
          <w:color w:val="auto"/>
        </w:rPr>
      </w:pPr>
    </w:p>
    <w:p>
      <w:pPr>
        <w:spacing w:after="0" w:line="31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James P. Kelleher</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James P. Kelleher</w:t>
      </w:r>
    </w:p>
    <w:p>
      <w:pPr>
        <w:ind w:left="1780"/>
        <w:spacing w:after="0" w:line="238" w:lineRule="auto"/>
        <w:rPr>
          <w:sz w:val="20"/>
          <w:szCs w:val="20"/>
          <w:color w:val="auto"/>
        </w:rPr>
      </w:pPr>
      <w:r>
        <w:rPr>
          <w:rFonts w:ascii="Courier New" w:cs="Courier New" w:eastAsia="Courier New" w:hAnsi="Courier New"/>
          <w:sz w:val="15"/>
          <w:szCs w:val="15"/>
          <w:color w:val="auto"/>
        </w:rPr>
        <w:t>Title: Assistant Treasurer</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Peter B. Yearly</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Peter B. Yearly</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Syndication Agent</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JP MORGAN SECURITIES INC., as the Syndication</w:t>
      </w:r>
    </w:p>
    <w:p>
      <w:pPr>
        <w:ind w:left="1520"/>
        <w:spacing w:after="0"/>
        <w:rPr>
          <w:sz w:val="20"/>
          <w:szCs w:val="20"/>
          <w:color w:val="auto"/>
        </w:rPr>
      </w:pPr>
      <w:r>
        <w:rPr>
          <w:rFonts w:ascii="Courier New" w:cs="Courier New" w:eastAsia="Courier New" w:hAnsi="Courier New"/>
          <w:sz w:val="15"/>
          <w:szCs w:val="15"/>
          <w:color w:val="auto"/>
        </w:rPr>
        <w:t>Agent</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Barbara J. Asch</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Barbara J. Asch</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NEW LENDERS</w:t>
      </w:r>
    </w:p>
    <w:p>
      <w:pPr>
        <w:spacing w:after="0" w:line="16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Lead Managers</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CHEMICAL BANK, as Lead Manager and a 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John C. Coffin</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John C. Coffin</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019"/>
          </w:cols>
          <w:pgMar w:left="1440" w:top="967" w:right="1440" w:bottom="1440" w:gutter="0" w:footer="0" w:header="0"/>
        </w:sectPr>
      </w:pPr>
    </w:p>
    <w:bookmarkStart w:id="218" w:name="page219"/>
    <w:bookmarkEnd w:id="218"/>
    <w:p>
      <w:pPr>
        <w:ind w:left="1520"/>
        <w:spacing w:after="0"/>
        <w:rPr>
          <w:sz w:val="20"/>
          <w:szCs w:val="20"/>
          <w:color w:val="auto"/>
        </w:rPr>
      </w:pPr>
      <w:r>
        <w:rPr>
          <w:rFonts w:ascii="Courier New" w:cs="Courier New" w:eastAsia="Courier New" w:hAnsi="Courier New"/>
          <w:sz w:val="15"/>
          <w:szCs w:val="15"/>
          <w:color w:val="auto"/>
        </w:rPr>
        <w:t>DEUTSCHE BANK AG, through its New York and/or</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Cayman Islands Branch, as Lead Manager and a Bank</w:t>
      </w:r>
    </w:p>
    <w:p>
      <w:pPr>
        <w:spacing w:after="0" w:line="200" w:lineRule="exact"/>
        <w:rPr>
          <w:sz w:val="20"/>
          <w:szCs w:val="20"/>
          <w:color w:val="auto"/>
        </w:rPr>
      </w:pPr>
    </w:p>
    <w:p>
      <w:pPr>
        <w:spacing w:after="0" w:line="31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John R. Lilly</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John R. Lilly</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Alain M. Bolea</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Alain M. Bolea</w:t>
      </w:r>
    </w:p>
    <w:p>
      <w:pPr>
        <w:ind w:left="1780"/>
        <w:spacing w:after="0" w:line="238" w:lineRule="auto"/>
        <w:rPr>
          <w:sz w:val="20"/>
          <w:szCs w:val="20"/>
          <w:color w:val="auto"/>
        </w:rPr>
      </w:pPr>
      <w:r>
        <w:rPr>
          <w:rFonts w:ascii="Courier New" w:cs="Courier New" w:eastAsia="Courier New" w:hAnsi="Courier New"/>
          <w:sz w:val="15"/>
          <w:szCs w:val="15"/>
          <w:color w:val="auto"/>
        </w:rPr>
        <w:t>Title: Director</w:t>
      </w:r>
    </w:p>
    <w:p>
      <w:pPr>
        <w:spacing w:after="0" w:line="16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Participants</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THE SAKURA BANK, LIMITED, as Participant and a</w:t>
      </w:r>
    </w:p>
    <w:p>
      <w:pPr>
        <w:ind w:left="1520"/>
        <w:spacing w:after="0"/>
        <w:rPr>
          <w:sz w:val="20"/>
          <w:szCs w:val="20"/>
          <w:color w:val="auto"/>
        </w:rPr>
      </w:pPr>
      <w:r>
        <w:rPr>
          <w:rFonts w:ascii="Courier New" w:cs="Courier New" w:eastAsia="Courier New" w:hAnsi="Courier New"/>
          <w:sz w:val="15"/>
          <w:szCs w:val="15"/>
          <w:color w:val="auto"/>
        </w:rPr>
        <w:t>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Yasuhiro Terada</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Yasahiro Terada</w:t>
      </w:r>
    </w:p>
    <w:p>
      <w:pPr>
        <w:ind w:left="1780"/>
        <w:spacing w:after="0" w:line="238" w:lineRule="auto"/>
        <w:rPr>
          <w:sz w:val="20"/>
          <w:szCs w:val="20"/>
          <w:color w:val="auto"/>
        </w:rPr>
      </w:pPr>
      <w:r>
        <w:rPr>
          <w:rFonts w:ascii="Courier New" w:cs="Courier New" w:eastAsia="Courier New" w:hAnsi="Courier New"/>
          <w:sz w:val="15"/>
          <w:szCs w:val="15"/>
          <w:color w:val="auto"/>
        </w:rPr>
        <w:t>Title: Senior Vice President &amp; Assistant</w:t>
      </w:r>
    </w:p>
    <w:p>
      <w:pPr>
        <w:ind w:left="2400"/>
        <w:spacing w:after="0"/>
        <w:rPr>
          <w:sz w:val="20"/>
          <w:szCs w:val="20"/>
          <w:color w:val="auto"/>
        </w:rPr>
      </w:pPr>
      <w:r>
        <w:rPr>
          <w:rFonts w:ascii="Courier New" w:cs="Courier New" w:eastAsia="Courier New" w:hAnsi="Courier New"/>
          <w:sz w:val="15"/>
          <w:szCs w:val="15"/>
          <w:color w:val="auto"/>
        </w:rPr>
        <w:t>General Manager</w:t>
      </w:r>
    </w:p>
    <w:p>
      <w:pPr>
        <w:spacing w:after="0" w:line="33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COMPAGNIE FINANCIERE DE CIC ET DE L'UNION</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EUROPEENNE, NEW YORK BRANCH, as Participant and a</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Marcus Edward</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Marcus Edward</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16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Sean Mounier</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Sean Mounier</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019"/>
          </w:cols>
          <w:pgMar w:left="1440" w:top="622" w:right="1440" w:bottom="1440" w:gutter="0" w:footer="0" w:header="0"/>
        </w:sectPr>
      </w:pPr>
    </w:p>
    <w:bookmarkStart w:id="219" w:name="page220"/>
    <w:bookmarkEnd w:id="219"/>
    <w:p>
      <w:pPr>
        <w:ind w:left="1520"/>
        <w:spacing w:after="0"/>
        <w:rPr>
          <w:sz w:val="20"/>
          <w:szCs w:val="20"/>
          <w:color w:val="auto"/>
        </w:rPr>
      </w:pPr>
      <w:r>
        <w:rPr>
          <w:rFonts w:ascii="Courier New" w:cs="Courier New" w:eastAsia="Courier New" w:hAnsi="Courier New"/>
          <w:sz w:val="15"/>
          <w:szCs w:val="15"/>
          <w:color w:val="auto"/>
        </w:rPr>
        <w:t>PNC BANK N.A., as Participant and a 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Karen M. Wolters</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Karen M. Wolters</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44"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FIRST INTERSTATE BANK OF WASHINGTON, N.A., as</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Participant and a 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Susan Hendrixson</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Susan Hendrixson</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44"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GULF INTERNATIONAL BANK, as Participant and a</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Abdel-Fattah Tahoun</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Abdel-Fattah Tahoun</w:t>
      </w:r>
    </w:p>
    <w:p>
      <w:pPr>
        <w:ind w:left="178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16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Haytham F. Khalil</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Haytham F. Khalil</w:t>
      </w:r>
    </w:p>
    <w:p>
      <w:pPr>
        <w:ind w:left="1780"/>
        <w:spacing w:after="0" w:line="238" w:lineRule="auto"/>
        <w:rPr>
          <w:sz w:val="20"/>
          <w:szCs w:val="20"/>
          <w:color w:val="auto"/>
        </w:rPr>
      </w:pPr>
      <w:r>
        <w:rPr>
          <w:rFonts w:ascii="Courier New" w:cs="Courier New" w:eastAsia="Courier New" w:hAnsi="Courier New"/>
          <w:sz w:val="15"/>
          <w:szCs w:val="15"/>
          <w:color w:val="auto"/>
        </w:rPr>
        <w:t>Title: Assistant Vice President</w:t>
      </w:r>
    </w:p>
    <w:p>
      <w:pPr>
        <w:spacing w:after="0" w:line="344"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THE TOKAI BANK, LIMITED, NEW YORK BRANCH, as</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Participant and a 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Masaharu Muto</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Masaharu Muto</w:t>
      </w:r>
    </w:p>
    <w:p>
      <w:pPr>
        <w:ind w:left="1780"/>
        <w:spacing w:after="0" w:line="238" w:lineRule="auto"/>
        <w:rPr>
          <w:sz w:val="20"/>
          <w:szCs w:val="20"/>
          <w:color w:val="auto"/>
        </w:rPr>
      </w:pPr>
      <w:r>
        <w:rPr>
          <w:rFonts w:ascii="Courier New" w:cs="Courier New" w:eastAsia="Courier New" w:hAnsi="Courier New"/>
          <w:sz w:val="15"/>
          <w:szCs w:val="15"/>
          <w:color w:val="auto"/>
        </w:rPr>
        <w:t>Title: Deputy General Manager</w:t>
      </w:r>
    </w:p>
    <w:p>
      <w:pPr>
        <w:spacing w:after="0" w:line="33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019"/>
          </w:cols>
          <w:pgMar w:left="1440" w:top="792" w:right="1440" w:bottom="1440" w:gutter="0" w:footer="0" w:header="0"/>
        </w:sectPr>
      </w:pPr>
    </w:p>
    <w:bookmarkStart w:id="220" w:name="page221"/>
    <w:bookmarkEnd w:id="220"/>
    <w:p>
      <w:pPr>
        <w:ind w:left="1520"/>
        <w:spacing w:after="0"/>
        <w:rPr>
          <w:sz w:val="20"/>
          <w:szCs w:val="20"/>
          <w:color w:val="auto"/>
        </w:rPr>
      </w:pPr>
      <w:r>
        <w:rPr>
          <w:rFonts w:ascii="Courier New" w:cs="Courier New" w:eastAsia="Courier New" w:hAnsi="Courier New"/>
          <w:sz w:val="14"/>
          <w:szCs w:val="14"/>
          <w:color w:val="auto"/>
        </w:rPr>
        <w:t>THE YASUDA TRUST AND BANKING CO., LTD., NEW YORK</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BRANCH, as Participant and a 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Neil T. Chau</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Neil T. Chau</w:t>
      </w:r>
    </w:p>
    <w:p>
      <w:pPr>
        <w:ind w:left="1780"/>
        <w:spacing w:after="0" w:line="238" w:lineRule="auto"/>
        <w:rPr>
          <w:sz w:val="20"/>
          <w:szCs w:val="20"/>
          <w:color w:val="auto"/>
        </w:rPr>
      </w:pPr>
      <w:r>
        <w:rPr>
          <w:rFonts w:ascii="Courier New" w:cs="Courier New" w:eastAsia="Courier New" w:hAnsi="Courier New"/>
          <w:sz w:val="15"/>
          <w:szCs w:val="15"/>
          <w:color w:val="auto"/>
        </w:rPr>
        <w:t>Title: First Vice President</w:t>
      </w:r>
    </w:p>
    <w:p>
      <w:pPr>
        <w:sectPr>
          <w:pgSz w:w="11900" w:h="16838" w:orient="portrait"/>
          <w:cols w:equalWidth="0" w:num="1">
            <w:col w:w="9019"/>
          </w:cols>
          <w:pgMar w:left="1440" w:top="628" w:right="1440" w:bottom="1440" w:gutter="0" w:footer="0" w:header="0"/>
        </w:sectPr>
      </w:pPr>
    </w:p>
    <w:bookmarkStart w:id="221" w:name="page222"/>
    <w:bookmarkEnd w:id="221"/>
    <w:p>
      <w:pPr>
        <w:ind w:left="3080"/>
        <w:spacing w:after="0"/>
        <w:rPr>
          <w:sz w:val="20"/>
          <w:szCs w:val="20"/>
          <w:color w:val="auto"/>
        </w:rPr>
      </w:pPr>
      <w:r>
        <w:rPr>
          <w:rFonts w:ascii="Courier New" w:cs="Courier New" w:eastAsia="Courier New" w:hAnsi="Courier New"/>
          <w:sz w:val="15"/>
          <w:szCs w:val="15"/>
          <w:color w:val="auto"/>
        </w:rPr>
        <w:t>Schedule I</w:t>
      </w:r>
    </w:p>
    <w:p>
      <w:pPr>
        <w:spacing w:after="0" w:line="175"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List of Lending Offices</w:t>
      </w:r>
    </w:p>
    <w:p>
      <w:pPr>
        <w:sectPr>
          <w:pgSz w:w="11900" w:h="16838" w:orient="portrait"/>
          <w:cols w:equalWidth="0" w:num="1">
            <w:col w:w="10219"/>
          </w:cols>
          <w:pgMar w:left="240" w:top="622" w:right="1440" w:bottom="1440" w:gutter="0" w:footer="0" w:header="0"/>
        </w:sect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Bank of New York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75" w:lineRule="exact"/>
        <w:rPr>
          <w:sz w:val="20"/>
          <w:szCs w:val="20"/>
          <w:color w:val="auto"/>
        </w:rPr>
      </w:pPr>
    </w:p>
    <w:p>
      <w:pPr>
        <w:sectPr>
          <w:pgSz w:w="11900" w:h="16838" w:orient="portrait"/>
          <w:cols w:equalWidth="0" w:num="2">
            <w:col w:w="2700" w:space="720"/>
            <w:col w:w="6799"/>
          </w:cols>
          <w:pgMar w:left="240" w:top="622"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5"/>
          <w:szCs w:val="15"/>
          <w:color w:val="auto"/>
        </w:rPr>
        <w:t>The Bank of New York</w:t>
      </w:r>
    </w:p>
    <w:p>
      <w:pPr>
        <w:ind w:left="3420"/>
        <w:spacing w:after="0"/>
        <w:rPr>
          <w:sz w:val="20"/>
          <w:szCs w:val="20"/>
          <w:color w:val="auto"/>
        </w:rPr>
      </w:pPr>
      <w:r>
        <w:rPr>
          <w:rFonts w:ascii="Courier New" w:cs="Courier New" w:eastAsia="Courier New" w:hAnsi="Courier New"/>
          <w:sz w:val="15"/>
          <w:szCs w:val="15"/>
          <w:color w:val="auto"/>
        </w:rPr>
        <w:t>One Wall Street</w:t>
      </w:r>
    </w:p>
    <w:p>
      <w:pPr>
        <w:ind w:left="3420"/>
        <w:spacing w:after="0"/>
        <w:rPr>
          <w:sz w:val="20"/>
          <w:szCs w:val="20"/>
          <w:color w:val="auto"/>
        </w:rPr>
      </w:pPr>
      <w:r>
        <w:rPr>
          <w:rFonts w:ascii="Courier New" w:cs="Courier New" w:eastAsia="Courier New" w:hAnsi="Courier New"/>
          <w:sz w:val="15"/>
          <w:szCs w:val="15"/>
          <w:color w:val="auto"/>
        </w:rPr>
        <w:t>16th Floor</w:t>
      </w:r>
    </w:p>
    <w:p>
      <w:pPr>
        <w:ind w:left="3420"/>
        <w:spacing w:after="0" w:line="238" w:lineRule="auto"/>
        <w:rPr>
          <w:sz w:val="20"/>
          <w:szCs w:val="20"/>
          <w:color w:val="auto"/>
        </w:rPr>
      </w:pPr>
      <w:r>
        <w:rPr>
          <w:rFonts w:ascii="Courier New" w:cs="Courier New" w:eastAsia="Courier New" w:hAnsi="Courier New"/>
          <w:sz w:val="15"/>
          <w:szCs w:val="15"/>
          <w:color w:val="auto"/>
        </w:rPr>
        <w:t>New York, New York 10286</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Eurodollar Lending Office: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Same</w:t>
      </w:r>
    </w:p>
    <w:p>
      <w:pPr>
        <w:sectPr>
          <w:pgSz w:w="11900" w:h="16838" w:orient="portrait"/>
          <w:cols w:equalWidth="0" w:num="1">
            <w:col w:w="10219"/>
          </w:cols>
          <w:pgMar w:left="240" w:top="622"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Citibank, N.A.</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75" w:lineRule="exact"/>
        <w:rPr>
          <w:sz w:val="20"/>
          <w:szCs w:val="20"/>
          <w:color w:val="auto"/>
        </w:rPr>
      </w:pPr>
    </w:p>
    <w:p>
      <w:pPr>
        <w:sectPr>
          <w:pgSz w:w="11900" w:h="16838" w:orient="portrait"/>
          <w:cols w:equalWidth="0" w:num="2">
            <w:col w:w="2700" w:space="720"/>
            <w:col w:w="6799"/>
          </w:cols>
          <w:pgMar w:left="240" w:top="622"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5"/>
          <w:szCs w:val="15"/>
          <w:color w:val="auto"/>
        </w:rPr>
        <w:t>Citibank, N.A.</w:t>
      </w:r>
    </w:p>
    <w:p>
      <w:pPr>
        <w:ind w:left="3420"/>
        <w:spacing w:after="0"/>
        <w:rPr>
          <w:sz w:val="20"/>
          <w:szCs w:val="20"/>
          <w:color w:val="auto"/>
        </w:rPr>
      </w:pPr>
      <w:r>
        <w:rPr>
          <w:rFonts w:ascii="Courier New" w:cs="Courier New" w:eastAsia="Courier New" w:hAnsi="Courier New"/>
          <w:sz w:val="15"/>
          <w:szCs w:val="15"/>
          <w:color w:val="auto"/>
        </w:rPr>
        <w:t>399 Park Avenue</w:t>
      </w:r>
    </w:p>
    <w:p>
      <w:pPr>
        <w:ind w:left="3420"/>
        <w:spacing w:after="0"/>
        <w:rPr>
          <w:sz w:val="20"/>
          <w:szCs w:val="20"/>
          <w:color w:val="auto"/>
        </w:rPr>
      </w:pPr>
      <w:r>
        <w:rPr>
          <w:rFonts w:ascii="Courier New" w:cs="Courier New" w:eastAsia="Courier New" w:hAnsi="Courier New"/>
          <w:sz w:val="15"/>
          <w:szCs w:val="15"/>
          <w:color w:val="auto"/>
        </w:rPr>
        <w:t>New York, New York 10043</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Eurodollar Lending Office: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Same</w:t>
      </w:r>
    </w:p>
    <w:p>
      <w:pPr>
        <w:sectPr>
          <w:pgSz w:w="11900" w:h="16838" w:orient="portrait"/>
          <w:cols w:equalWidth="0" w:num="1">
            <w:col w:w="10219"/>
          </w:cols>
          <w:pgMar w:left="240" w:top="622"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Morgan Guaranty Trust Company</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of New York</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80" w:lineRule="exact"/>
        <w:rPr>
          <w:sz w:val="20"/>
          <w:szCs w:val="20"/>
          <w:color w:val="auto"/>
        </w:rPr>
      </w:pPr>
    </w:p>
    <w:p>
      <w:pPr>
        <w:sectPr>
          <w:pgSz w:w="11900" w:h="16838" w:orient="portrait"/>
          <w:cols w:equalWidth="0" w:num="2">
            <w:col w:w="2700" w:space="720"/>
            <w:col w:w="6799"/>
          </w:cols>
          <w:pgMar w:left="240" w:top="622"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4"/>
          <w:szCs w:val="14"/>
          <w:color w:val="auto"/>
        </w:rPr>
        <w:t>Morgan Guaranty Trust Company of</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New York</w:t>
      </w:r>
    </w:p>
    <w:p>
      <w:pPr>
        <w:ind w:left="3420"/>
        <w:spacing w:after="0"/>
        <w:rPr>
          <w:sz w:val="20"/>
          <w:szCs w:val="20"/>
          <w:color w:val="auto"/>
        </w:rPr>
      </w:pPr>
      <w:r>
        <w:rPr>
          <w:rFonts w:ascii="Courier New" w:cs="Courier New" w:eastAsia="Courier New" w:hAnsi="Courier New"/>
          <w:sz w:val="15"/>
          <w:szCs w:val="15"/>
          <w:color w:val="auto"/>
        </w:rPr>
        <w:t>60 Wall Street</w:t>
      </w:r>
    </w:p>
    <w:p>
      <w:pPr>
        <w:ind w:left="3420"/>
        <w:spacing w:after="0"/>
        <w:rPr>
          <w:sz w:val="20"/>
          <w:szCs w:val="20"/>
          <w:color w:val="auto"/>
        </w:rPr>
      </w:pPr>
      <w:r>
        <w:rPr>
          <w:rFonts w:ascii="Courier New" w:cs="Courier New" w:eastAsia="Courier New" w:hAnsi="Courier New"/>
          <w:sz w:val="15"/>
          <w:szCs w:val="15"/>
          <w:color w:val="auto"/>
        </w:rPr>
        <w:t>New York, New York 10260-0060</w:t>
      </w:r>
    </w:p>
    <w:p>
      <w:pPr>
        <w:ind w:left="3420"/>
        <w:spacing w:after="0" w:line="238" w:lineRule="auto"/>
        <w:rPr>
          <w:sz w:val="20"/>
          <w:szCs w:val="20"/>
          <w:color w:val="auto"/>
        </w:rPr>
      </w:pPr>
      <w:r>
        <w:rPr>
          <w:rFonts w:ascii="Courier New" w:cs="Courier New" w:eastAsia="Courier New" w:hAnsi="Courier New"/>
          <w:sz w:val="15"/>
          <w:szCs w:val="15"/>
          <w:color w:val="auto"/>
        </w:rPr>
        <w:t>Attention Loan Department</w:t>
      </w:r>
    </w:p>
    <w:p>
      <w:pPr>
        <w:ind w:left="3420"/>
        <w:spacing w:after="0"/>
        <w:rPr>
          <w:sz w:val="20"/>
          <w:szCs w:val="20"/>
          <w:color w:val="auto"/>
        </w:rPr>
      </w:pPr>
      <w:r>
        <w:rPr>
          <w:rFonts w:ascii="Courier New" w:cs="Courier New" w:eastAsia="Courier New" w:hAnsi="Courier New"/>
          <w:sz w:val="15"/>
          <w:szCs w:val="15"/>
          <w:color w:val="auto"/>
        </w:rPr>
        <w:t>Telex #177615 MGT VT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Eurodollar Lending Office: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Morgan Guaranty Trust</w:t>
      </w:r>
    </w:p>
    <w:p>
      <w:pPr>
        <w:ind w:left="3780"/>
        <w:spacing w:after="0"/>
        <w:rPr>
          <w:sz w:val="20"/>
          <w:szCs w:val="20"/>
          <w:color w:val="auto"/>
        </w:rPr>
      </w:pPr>
      <w:r>
        <w:rPr>
          <w:rFonts w:ascii="Courier New" w:cs="Courier New" w:eastAsia="Courier New" w:hAnsi="Courier New"/>
          <w:sz w:val="15"/>
          <w:szCs w:val="15"/>
          <w:color w:val="auto"/>
        </w:rPr>
        <w:t>Company of New York</w:t>
      </w:r>
    </w:p>
    <w:p>
      <w:pPr>
        <w:ind w:left="3420"/>
        <w:spacing w:after="0"/>
        <w:rPr>
          <w:sz w:val="20"/>
          <w:szCs w:val="20"/>
          <w:color w:val="auto"/>
        </w:rPr>
      </w:pPr>
      <w:r>
        <w:rPr>
          <w:rFonts w:ascii="Courier New" w:cs="Courier New" w:eastAsia="Courier New" w:hAnsi="Courier New"/>
          <w:sz w:val="15"/>
          <w:szCs w:val="15"/>
          <w:color w:val="auto"/>
        </w:rPr>
        <w:t>Nassau, Bahamas Office</w:t>
      </w:r>
    </w:p>
    <w:p>
      <w:pPr>
        <w:ind w:left="3420"/>
        <w:spacing w:after="0" w:line="238" w:lineRule="auto"/>
        <w:rPr>
          <w:sz w:val="20"/>
          <w:szCs w:val="20"/>
          <w:color w:val="auto"/>
        </w:rPr>
      </w:pPr>
      <w:r>
        <w:rPr>
          <w:rFonts w:ascii="Courier New" w:cs="Courier New" w:eastAsia="Courier New" w:hAnsi="Courier New"/>
          <w:sz w:val="15"/>
          <w:szCs w:val="15"/>
          <w:color w:val="auto"/>
        </w:rPr>
        <w:t>c/o J.P. Morgan Services</w:t>
      </w:r>
    </w:p>
    <w:p>
      <w:pPr>
        <w:ind w:left="3420"/>
        <w:spacing w:after="0"/>
        <w:rPr>
          <w:sz w:val="20"/>
          <w:szCs w:val="20"/>
          <w:color w:val="auto"/>
        </w:rPr>
      </w:pPr>
      <w:r>
        <w:rPr>
          <w:rFonts w:ascii="Courier New" w:cs="Courier New" w:eastAsia="Courier New" w:hAnsi="Courier New"/>
          <w:sz w:val="15"/>
          <w:szCs w:val="15"/>
          <w:color w:val="auto"/>
        </w:rPr>
        <w:t>Loan Operations - 3rd Floor</w:t>
      </w:r>
    </w:p>
    <w:p>
      <w:pPr>
        <w:ind w:left="3420"/>
        <w:spacing w:after="0"/>
        <w:rPr>
          <w:sz w:val="20"/>
          <w:szCs w:val="20"/>
          <w:color w:val="auto"/>
        </w:rPr>
      </w:pPr>
      <w:r>
        <w:rPr>
          <w:rFonts w:ascii="Courier New" w:cs="Courier New" w:eastAsia="Courier New" w:hAnsi="Courier New"/>
          <w:sz w:val="15"/>
          <w:szCs w:val="15"/>
          <w:color w:val="auto"/>
        </w:rPr>
        <w:t>500 Stanton Christiana Road</w:t>
      </w:r>
    </w:p>
    <w:p>
      <w:pPr>
        <w:ind w:left="3420"/>
        <w:spacing w:after="0" w:line="238" w:lineRule="auto"/>
        <w:rPr>
          <w:sz w:val="20"/>
          <w:szCs w:val="20"/>
          <w:color w:val="auto"/>
        </w:rPr>
      </w:pPr>
      <w:r>
        <w:rPr>
          <w:rFonts w:ascii="Courier New" w:cs="Courier New" w:eastAsia="Courier New" w:hAnsi="Courier New"/>
          <w:sz w:val="15"/>
          <w:szCs w:val="15"/>
          <w:color w:val="auto"/>
        </w:rPr>
        <w:t>Newark, Delaware 19713</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I-1</w:t>
      </w:r>
    </w:p>
    <w:p>
      <w:pPr>
        <w:sectPr>
          <w:pgSz w:w="11900" w:h="16838" w:orient="portrait"/>
          <w:cols w:equalWidth="0" w:num="1">
            <w:col w:w="10219"/>
          </w:cols>
          <w:pgMar w:left="240" w:top="622" w:right="1440" w:bottom="1440" w:gutter="0" w:footer="0" w:header="0"/>
          <w:type w:val="continuous"/>
        </w:sectPr>
      </w:pPr>
    </w:p>
    <w:bookmarkStart w:id="222" w:name="page223"/>
    <w:bookmarkEnd w:id="222"/>
    <w:p>
      <w:pPr>
        <w:spacing w:after="0"/>
        <w:rPr>
          <w:sz w:val="20"/>
          <w:szCs w:val="20"/>
          <w:color w:val="auto"/>
        </w:rPr>
      </w:pPr>
      <w:r>
        <w:rPr>
          <w:rFonts w:ascii="Courier New" w:cs="Courier New" w:eastAsia="Courier New" w:hAnsi="Courier New"/>
          <w:sz w:val="15"/>
          <w:szCs w:val="15"/>
          <w:color w:val="auto"/>
        </w:rPr>
        <w:t>Bank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of America NT&amp;SA</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75" w:lineRule="exact"/>
        <w:rPr>
          <w:sz w:val="20"/>
          <w:szCs w:val="20"/>
          <w:color w:val="auto"/>
        </w:rPr>
      </w:pPr>
    </w:p>
    <w:p>
      <w:pPr>
        <w:sectPr>
          <w:pgSz w:w="11900" w:h="16838" w:orient="portrait"/>
          <w:cols w:equalWidth="0" w:num="2">
            <w:col w:w="2700" w:space="720"/>
            <w:col w:w="6799"/>
          </w:cols>
          <w:pgMar w:left="240" w:top="622" w:right="1440" w:bottom="1440" w:gutter="0" w:footer="0" w:header="0"/>
        </w:sectPr>
      </w:pPr>
    </w:p>
    <w:p>
      <w:pPr>
        <w:ind w:left="3420"/>
        <w:spacing w:after="0"/>
        <w:rPr>
          <w:sz w:val="20"/>
          <w:szCs w:val="20"/>
          <w:color w:val="auto"/>
        </w:rPr>
      </w:pPr>
      <w:r>
        <w:rPr>
          <w:rFonts w:ascii="Courier New" w:cs="Courier New" w:eastAsia="Courier New" w:hAnsi="Courier New"/>
          <w:sz w:val="15"/>
          <w:szCs w:val="15"/>
          <w:color w:val="auto"/>
        </w:rPr>
        <w:t>Bank of America NT&amp;SA</w:t>
      </w:r>
    </w:p>
    <w:p>
      <w:pPr>
        <w:ind w:left="3420"/>
        <w:spacing w:after="0"/>
        <w:rPr>
          <w:sz w:val="20"/>
          <w:szCs w:val="20"/>
          <w:color w:val="auto"/>
        </w:rPr>
      </w:pPr>
      <w:r>
        <w:rPr>
          <w:rFonts w:ascii="Courier New" w:cs="Courier New" w:eastAsia="Courier New" w:hAnsi="Courier New"/>
          <w:sz w:val="15"/>
          <w:szCs w:val="15"/>
          <w:color w:val="auto"/>
        </w:rPr>
        <w:t>1850 Gateway Boulevard</w:t>
      </w:r>
    </w:p>
    <w:p>
      <w:pPr>
        <w:ind w:left="3420"/>
        <w:spacing w:after="0"/>
        <w:rPr>
          <w:sz w:val="20"/>
          <w:szCs w:val="20"/>
          <w:color w:val="auto"/>
        </w:rPr>
      </w:pPr>
      <w:r>
        <w:rPr>
          <w:rFonts w:ascii="Courier New" w:cs="Courier New" w:eastAsia="Courier New" w:hAnsi="Courier New"/>
          <w:sz w:val="15"/>
          <w:szCs w:val="15"/>
          <w:color w:val="auto"/>
        </w:rPr>
        <w:t>4th Floor</w:t>
      </w:r>
    </w:p>
    <w:p>
      <w:pPr>
        <w:ind w:left="3420"/>
        <w:spacing w:after="0" w:line="238" w:lineRule="auto"/>
        <w:rPr>
          <w:sz w:val="20"/>
          <w:szCs w:val="20"/>
          <w:color w:val="auto"/>
        </w:rPr>
      </w:pPr>
      <w:r>
        <w:rPr>
          <w:rFonts w:ascii="Courier New" w:cs="Courier New" w:eastAsia="Courier New" w:hAnsi="Courier New"/>
          <w:sz w:val="15"/>
          <w:szCs w:val="15"/>
          <w:color w:val="auto"/>
        </w:rPr>
        <w:t>Concord, California 94520</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Eurodollar Lending Office: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Same</w:t>
      </w:r>
    </w:p>
    <w:p>
      <w:pPr>
        <w:sectPr>
          <w:pgSz w:w="11900" w:h="16838" w:orient="portrait"/>
          <w:cols w:equalWidth="0" w:num="1">
            <w:col w:w="10219"/>
          </w:cols>
          <w:pgMar w:left="240" w:top="622"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of Montreal</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80" w:lineRule="exact"/>
        <w:rPr>
          <w:sz w:val="20"/>
          <w:szCs w:val="20"/>
          <w:color w:val="auto"/>
        </w:rPr>
      </w:pPr>
    </w:p>
    <w:p>
      <w:pPr>
        <w:sectPr>
          <w:pgSz w:w="11900" w:h="16838" w:orient="portrait"/>
          <w:cols w:equalWidth="0" w:num="2">
            <w:col w:w="2700" w:space="720"/>
            <w:col w:w="6799"/>
          </w:cols>
          <w:pgMar w:left="240" w:top="622"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4"/>
          <w:szCs w:val="14"/>
          <w:color w:val="auto"/>
        </w:rPr>
        <w:t>Bank of Montreal, Chicago Branch</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115 South LaSalle Street</w:t>
      </w:r>
    </w:p>
    <w:p>
      <w:pPr>
        <w:ind w:left="3420"/>
        <w:spacing w:after="0"/>
        <w:rPr>
          <w:sz w:val="20"/>
          <w:szCs w:val="20"/>
          <w:color w:val="auto"/>
        </w:rPr>
      </w:pPr>
      <w:r>
        <w:rPr>
          <w:rFonts w:ascii="Courier New" w:cs="Courier New" w:eastAsia="Courier New" w:hAnsi="Courier New"/>
          <w:sz w:val="15"/>
          <w:szCs w:val="15"/>
          <w:color w:val="auto"/>
        </w:rPr>
        <w:t>11th Floor</w:t>
      </w:r>
    </w:p>
    <w:p>
      <w:pPr>
        <w:ind w:left="3420"/>
        <w:spacing w:after="0"/>
        <w:rPr>
          <w:sz w:val="20"/>
          <w:szCs w:val="20"/>
          <w:color w:val="auto"/>
        </w:rPr>
      </w:pPr>
      <w:r>
        <w:rPr>
          <w:rFonts w:ascii="Courier New" w:cs="Courier New" w:eastAsia="Courier New" w:hAnsi="Courier New"/>
          <w:sz w:val="15"/>
          <w:szCs w:val="15"/>
          <w:color w:val="auto"/>
        </w:rPr>
        <w:t>Chicago, IL 60603</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Eurodollar Lending Office: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Same</w:t>
      </w:r>
    </w:p>
    <w:p>
      <w:pPr>
        <w:sectPr>
          <w:pgSz w:w="11900" w:h="16838" w:orient="portrait"/>
          <w:cols w:equalWidth="0" w:num="1">
            <w:col w:w="10219"/>
          </w:cols>
          <w:pgMar w:left="240" w:top="622"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Bank of Nova Scotia</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75" w:lineRule="exact"/>
        <w:rPr>
          <w:sz w:val="20"/>
          <w:szCs w:val="20"/>
          <w:color w:val="auto"/>
        </w:rPr>
      </w:pPr>
    </w:p>
    <w:p>
      <w:pPr>
        <w:sectPr>
          <w:pgSz w:w="11900" w:h="16838" w:orient="portrait"/>
          <w:cols w:equalWidth="0" w:num="2">
            <w:col w:w="2700" w:space="720"/>
            <w:col w:w="6799"/>
          </w:cols>
          <w:pgMar w:left="240" w:top="622"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5"/>
          <w:szCs w:val="15"/>
          <w:color w:val="auto"/>
        </w:rPr>
        <w:t>The Bank of Nova Scotia</w:t>
      </w:r>
    </w:p>
    <w:p>
      <w:pPr>
        <w:ind w:left="3420"/>
        <w:spacing w:after="0"/>
        <w:rPr>
          <w:sz w:val="20"/>
          <w:szCs w:val="20"/>
          <w:color w:val="auto"/>
        </w:rPr>
      </w:pPr>
      <w:r>
        <w:rPr>
          <w:rFonts w:ascii="Courier New" w:cs="Courier New" w:eastAsia="Courier New" w:hAnsi="Courier New"/>
          <w:sz w:val="15"/>
          <w:szCs w:val="15"/>
          <w:color w:val="auto"/>
        </w:rPr>
        <w:t>1 Liberty Plaza</w:t>
      </w:r>
    </w:p>
    <w:p>
      <w:pPr>
        <w:ind w:left="3420"/>
        <w:spacing w:after="0"/>
        <w:rPr>
          <w:sz w:val="20"/>
          <w:szCs w:val="20"/>
          <w:color w:val="auto"/>
        </w:rPr>
      </w:pPr>
      <w:r>
        <w:rPr>
          <w:rFonts w:ascii="Courier New" w:cs="Courier New" w:eastAsia="Courier New" w:hAnsi="Courier New"/>
          <w:sz w:val="15"/>
          <w:szCs w:val="15"/>
          <w:color w:val="auto"/>
        </w:rPr>
        <w:t>26th Floor</w:t>
      </w:r>
    </w:p>
    <w:p>
      <w:pPr>
        <w:ind w:left="3420"/>
        <w:spacing w:after="0" w:line="238" w:lineRule="auto"/>
        <w:rPr>
          <w:sz w:val="20"/>
          <w:szCs w:val="20"/>
          <w:color w:val="auto"/>
        </w:rPr>
      </w:pPr>
      <w:r>
        <w:rPr>
          <w:rFonts w:ascii="Courier New" w:cs="Courier New" w:eastAsia="Courier New" w:hAnsi="Courier New"/>
          <w:sz w:val="15"/>
          <w:szCs w:val="15"/>
          <w:color w:val="auto"/>
        </w:rPr>
        <w:t>New York, NY 10006</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Eurodollar Lending Office: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Same</w:t>
      </w:r>
    </w:p>
    <w:p>
      <w:pPr>
        <w:sectPr>
          <w:pgSz w:w="11900" w:h="16838" w:orient="portrait"/>
          <w:cols w:equalWidth="0" w:num="1">
            <w:col w:w="10219"/>
          </w:cols>
          <w:pgMar w:left="240" w:top="622"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Bank of Tokyo Trust Company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80" w:lineRule="exact"/>
        <w:rPr>
          <w:sz w:val="20"/>
          <w:szCs w:val="20"/>
          <w:color w:val="auto"/>
        </w:rPr>
      </w:pPr>
    </w:p>
    <w:p>
      <w:pPr>
        <w:sectPr>
          <w:pgSz w:w="11900" w:h="16838" w:orient="portrait"/>
          <w:cols w:equalWidth="0" w:num="2">
            <w:col w:w="2720" w:space="700"/>
            <w:col w:w="6799"/>
          </w:cols>
          <w:pgMar w:left="240" w:top="622"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4"/>
          <w:szCs w:val="14"/>
          <w:color w:val="auto"/>
        </w:rPr>
        <w:t>The Bank of Tokyo Trust Company</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1251 Avenue of the Americas</w:t>
      </w:r>
    </w:p>
    <w:p>
      <w:pPr>
        <w:ind w:left="3420"/>
        <w:spacing w:after="0"/>
        <w:rPr>
          <w:sz w:val="20"/>
          <w:szCs w:val="20"/>
          <w:color w:val="auto"/>
        </w:rPr>
      </w:pPr>
      <w:r>
        <w:rPr>
          <w:rFonts w:ascii="Courier New" w:cs="Courier New" w:eastAsia="Courier New" w:hAnsi="Courier New"/>
          <w:sz w:val="15"/>
          <w:szCs w:val="15"/>
          <w:color w:val="auto"/>
        </w:rPr>
        <w:t>12th Floor</w:t>
      </w:r>
    </w:p>
    <w:p>
      <w:pPr>
        <w:ind w:left="3420"/>
        <w:spacing w:after="0"/>
        <w:rPr>
          <w:sz w:val="20"/>
          <w:szCs w:val="20"/>
          <w:color w:val="auto"/>
        </w:rPr>
      </w:pPr>
      <w:r>
        <w:rPr>
          <w:rFonts w:ascii="Courier New" w:cs="Courier New" w:eastAsia="Courier New" w:hAnsi="Courier New"/>
          <w:sz w:val="15"/>
          <w:szCs w:val="15"/>
          <w:color w:val="auto"/>
        </w:rPr>
        <w:t>New York, New York 10116</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Eurodollar Lending Office: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Same</w:t>
      </w:r>
    </w:p>
    <w:p>
      <w:pPr>
        <w:spacing w:after="0" w:line="200" w:lineRule="exact"/>
        <w:rPr>
          <w:sz w:val="20"/>
          <w:szCs w:val="20"/>
          <w:color w:val="auto"/>
        </w:rPr>
      </w:pPr>
    </w:p>
    <w:p>
      <w:pPr>
        <w:spacing w:after="0" w:line="30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I-2</w:t>
      </w:r>
    </w:p>
    <w:p>
      <w:pPr>
        <w:sectPr>
          <w:pgSz w:w="11900" w:h="16838" w:orient="portrait"/>
          <w:cols w:equalWidth="0" w:num="1">
            <w:col w:w="10219"/>
          </w:cols>
          <w:pgMar w:left="240" w:top="622" w:right="1440" w:bottom="1440" w:gutter="0" w:footer="0" w:header="0"/>
          <w:type w:val="continuous"/>
        </w:sectPr>
      </w:pPr>
    </w:p>
    <w:bookmarkStart w:id="223" w:name="page224"/>
    <w:bookmarkEnd w:id="223"/>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Bank</w:t>
            </w:r>
          </w:p>
        </w:tc>
        <w:tc>
          <w:tcPr>
            <w:tcW w:w="2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Barclays Bank PLC</w:t>
            </w:r>
          </w:p>
        </w:tc>
        <w:tc>
          <w:tcPr>
            <w:tcW w:w="28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Domestic Lending Office:</w:t>
            </w:r>
          </w:p>
        </w:tc>
      </w:tr>
      <w:tr>
        <w:trPr>
          <w:trHeight w:val="339"/>
        </w:trPr>
        <w:tc>
          <w:tcPr>
            <w:tcW w:w="2980" w:type="dxa"/>
            <w:vAlign w:val="bottom"/>
          </w:tcPr>
          <w:p>
            <w:pPr>
              <w:spacing w:after="0"/>
              <w:rPr>
                <w:sz w:val="24"/>
                <w:szCs w:val="24"/>
                <w:color w:val="auto"/>
              </w:rPr>
            </w:pPr>
          </w:p>
        </w:tc>
        <w:tc>
          <w:tcPr>
            <w:tcW w:w="2220" w:type="dxa"/>
            <w:vAlign w:val="bottom"/>
          </w:tcPr>
          <w:p>
            <w:pPr>
              <w:ind w:left="440"/>
              <w:spacing w:after="0"/>
              <w:rPr>
                <w:sz w:val="20"/>
                <w:szCs w:val="20"/>
                <w:color w:val="auto"/>
              </w:rPr>
            </w:pPr>
            <w:r>
              <w:rPr>
                <w:rFonts w:ascii="Courier New" w:cs="Courier New" w:eastAsia="Courier New" w:hAnsi="Courier New"/>
                <w:sz w:val="15"/>
                <w:szCs w:val="15"/>
                <w:color w:val="auto"/>
              </w:rPr>
              <w:t>Barclays Bank</w:t>
            </w:r>
          </w:p>
        </w:tc>
        <w:tc>
          <w:tcPr>
            <w:tcW w:w="600" w:type="dxa"/>
            <w:vAlign w:val="bottom"/>
          </w:tcPr>
          <w:p>
            <w:pPr>
              <w:spacing w:after="0"/>
              <w:rPr>
                <w:sz w:val="24"/>
                <w:szCs w:val="24"/>
                <w:color w:val="auto"/>
              </w:rPr>
            </w:pPr>
          </w:p>
        </w:tc>
      </w:tr>
      <w:tr>
        <w:trPr>
          <w:trHeight w:val="170"/>
        </w:trPr>
        <w:tc>
          <w:tcPr>
            <w:tcW w:w="2980" w:type="dxa"/>
            <w:vAlign w:val="bottom"/>
          </w:tcPr>
          <w:p>
            <w:pPr>
              <w:spacing w:after="0"/>
              <w:rPr>
                <w:sz w:val="14"/>
                <w:szCs w:val="14"/>
                <w:color w:val="auto"/>
              </w:rPr>
            </w:pPr>
          </w:p>
        </w:tc>
        <w:tc>
          <w:tcPr>
            <w:tcW w:w="2220" w:type="dxa"/>
            <w:vAlign w:val="bottom"/>
          </w:tcPr>
          <w:p>
            <w:pPr>
              <w:ind w:left="440"/>
              <w:spacing w:after="0"/>
              <w:rPr>
                <w:sz w:val="20"/>
                <w:szCs w:val="20"/>
                <w:color w:val="auto"/>
              </w:rPr>
            </w:pPr>
            <w:r>
              <w:rPr>
                <w:rFonts w:ascii="Courier New" w:cs="Courier New" w:eastAsia="Courier New" w:hAnsi="Courier New"/>
                <w:sz w:val="15"/>
                <w:szCs w:val="15"/>
                <w:color w:val="auto"/>
              </w:rPr>
              <w:t>222 Broadway</w:t>
            </w:r>
          </w:p>
        </w:tc>
        <w:tc>
          <w:tcPr>
            <w:tcW w:w="6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2220" w:type="dxa"/>
            <w:vAlign w:val="bottom"/>
          </w:tcPr>
          <w:p>
            <w:pPr>
              <w:ind w:left="440"/>
              <w:spacing w:after="0"/>
              <w:rPr>
                <w:sz w:val="20"/>
                <w:szCs w:val="20"/>
                <w:color w:val="auto"/>
              </w:rPr>
            </w:pPr>
            <w:r>
              <w:rPr>
                <w:rFonts w:ascii="Courier New" w:cs="Courier New" w:eastAsia="Courier New" w:hAnsi="Courier New"/>
                <w:sz w:val="15"/>
                <w:szCs w:val="15"/>
                <w:color w:val="auto"/>
              </w:rPr>
              <w:t>12th Floor</w:t>
            </w:r>
          </w:p>
        </w:tc>
        <w:tc>
          <w:tcPr>
            <w:tcW w:w="6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2220" w:type="dxa"/>
            <w:vAlign w:val="bottom"/>
          </w:tcPr>
          <w:p>
            <w:pPr>
              <w:ind w:left="440"/>
              <w:spacing w:after="0"/>
              <w:rPr>
                <w:sz w:val="20"/>
                <w:szCs w:val="20"/>
                <w:color w:val="auto"/>
              </w:rPr>
            </w:pPr>
            <w:r>
              <w:rPr>
                <w:rFonts w:ascii="Courier New" w:cs="Courier New" w:eastAsia="Courier New" w:hAnsi="Courier New"/>
                <w:sz w:val="15"/>
                <w:szCs w:val="15"/>
                <w:color w:val="auto"/>
              </w:rPr>
              <w:t>New York, NY 10038</w:t>
            </w:r>
          </w:p>
        </w:tc>
        <w:tc>
          <w:tcPr>
            <w:tcW w:w="600" w:type="dxa"/>
            <w:vAlign w:val="bottom"/>
          </w:tcPr>
          <w:p>
            <w:pPr>
              <w:spacing w:after="0"/>
              <w:rPr>
                <w:sz w:val="14"/>
                <w:szCs w:val="14"/>
                <w:color w:val="auto"/>
              </w:rPr>
            </w:pPr>
          </w:p>
        </w:tc>
      </w:tr>
      <w:tr>
        <w:trPr>
          <w:trHeight w:val="339"/>
        </w:trPr>
        <w:tc>
          <w:tcPr>
            <w:tcW w:w="2980" w:type="dxa"/>
            <w:vAlign w:val="bottom"/>
          </w:tcPr>
          <w:p>
            <w:pPr>
              <w:spacing w:after="0"/>
              <w:rPr>
                <w:sz w:val="24"/>
                <w:szCs w:val="24"/>
                <w:color w:val="auto"/>
              </w:rPr>
            </w:pPr>
          </w:p>
        </w:tc>
        <w:tc>
          <w:tcPr>
            <w:tcW w:w="28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Eurodollar Lending Office:</w:t>
            </w:r>
          </w:p>
        </w:tc>
      </w:tr>
      <w:tr>
        <w:trPr>
          <w:trHeight w:val="339"/>
        </w:trPr>
        <w:tc>
          <w:tcPr>
            <w:tcW w:w="2980" w:type="dxa"/>
            <w:vAlign w:val="bottom"/>
          </w:tcPr>
          <w:p>
            <w:pPr>
              <w:spacing w:after="0"/>
              <w:rPr>
                <w:sz w:val="24"/>
                <w:szCs w:val="24"/>
                <w:color w:val="auto"/>
              </w:rPr>
            </w:pPr>
          </w:p>
        </w:tc>
        <w:tc>
          <w:tcPr>
            <w:tcW w:w="2220" w:type="dxa"/>
            <w:vAlign w:val="bottom"/>
          </w:tcPr>
          <w:p>
            <w:pPr>
              <w:ind w:left="440"/>
              <w:spacing w:after="0"/>
              <w:rPr>
                <w:sz w:val="20"/>
                <w:szCs w:val="20"/>
                <w:color w:val="auto"/>
              </w:rPr>
            </w:pPr>
            <w:r>
              <w:rPr>
                <w:rFonts w:ascii="Courier New" w:cs="Courier New" w:eastAsia="Courier New" w:hAnsi="Courier New"/>
                <w:sz w:val="15"/>
                <w:szCs w:val="15"/>
                <w:color w:val="auto"/>
              </w:rPr>
              <w:t>Same</w:t>
            </w:r>
          </w:p>
        </w:tc>
        <w:tc>
          <w:tcPr>
            <w:tcW w:w="600" w:type="dxa"/>
            <w:vAlign w:val="bottom"/>
          </w:tcPr>
          <w:p>
            <w:pPr>
              <w:spacing w:after="0"/>
              <w:rPr>
                <w:sz w:val="24"/>
                <w:szCs w:val="24"/>
                <w:color w:val="auto"/>
              </w:rPr>
            </w:pPr>
          </w:p>
        </w:tc>
      </w:tr>
      <w:tr>
        <w:trPr>
          <w:trHeight w:val="339"/>
        </w:trPr>
        <w:tc>
          <w:tcPr>
            <w:tcW w:w="2980" w:type="dxa"/>
            <w:vAlign w:val="bottom"/>
          </w:tcPr>
          <w:p>
            <w:pPr>
              <w:spacing w:after="0"/>
              <w:rPr>
                <w:sz w:val="20"/>
                <w:szCs w:val="20"/>
                <w:color w:val="auto"/>
              </w:rPr>
            </w:pPr>
            <w:r>
              <w:rPr>
                <w:rFonts w:ascii="Courier New" w:cs="Courier New" w:eastAsia="Courier New" w:hAnsi="Courier New"/>
                <w:sz w:val="15"/>
                <w:szCs w:val="15"/>
                <w:color w:val="auto"/>
              </w:rPr>
              <w:t>Canadian Imperial Bank</w:t>
            </w:r>
          </w:p>
        </w:tc>
        <w:tc>
          <w:tcPr>
            <w:tcW w:w="28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Domestic Lending Office:</w:t>
            </w:r>
          </w:p>
        </w:tc>
      </w:tr>
      <w:tr>
        <w:trPr>
          <w:trHeight w:val="170"/>
        </w:trPr>
        <w:tc>
          <w:tcPr>
            <w:tcW w:w="2980" w:type="dxa"/>
            <w:vAlign w:val="bottom"/>
          </w:tcPr>
          <w:p>
            <w:pPr>
              <w:ind w:left="160"/>
              <w:spacing w:after="0"/>
              <w:rPr>
                <w:sz w:val="20"/>
                <w:szCs w:val="20"/>
                <w:color w:val="auto"/>
              </w:rPr>
            </w:pPr>
            <w:r>
              <w:rPr>
                <w:rFonts w:ascii="Courier New" w:cs="Courier New" w:eastAsia="Courier New" w:hAnsi="Courier New"/>
                <w:sz w:val="15"/>
                <w:szCs w:val="15"/>
                <w:color w:val="auto"/>
              </w:rPr>
              <w:t>of Commerce</w:t>
            </w:r>
          </w:p>
        </w:tc>
        <w:tc>
          <w:tcPr>
            <w:tcW w:w="2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28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Canadian Imperial Bank of</w:t>
            </w:r>
          </w:p>
        </w:tc>
      </w:tr>
      <w:tr>
        <w:trPr>
          <w:trHeight w:val="170"/>
        </w:trPr>
        <w:tc>
          <w:tcPr>
            <w:tcW w:w="2980" w:type="dxa"/>
            <w:vAlign w:val="bottom"/>
          </w:tcPr>
          <w:p>
            <w:pPr>
              <w:spacing w:after="0"/>
              <w:rPr>
                <w:sz w:val="14"/>
                <w:szCs w:val="14"/>
                <w:color w:val="auto"/>
              </w:rPr>
            </w:pPr>
          </w:p>
        </w:tc>
        <w:tc>
          <w:tcPr>
            <w:tcW w:w="2220" w:type="dxa"/>
            <w:vAlign w:val="bottom"/>
          </w:tcPr>
          <w:p>
            <w:pPr>
              <w:ind w:left="440"/>
              <w:spacing w:after="0"/>
              <w:rPr>
                <w:sz w:val="20"/>
                <w:szCs w:val="20"/>
                <w:color w:val="auto"/>
              </w:rPr>
            </w:pPr>
            <w:r>
              <w:rPr>
                <w:rFonts w:ascii="Courier New" w:cs="Courier New" w:eastAsia="Courier New" w:hAnsi="Courier New"/>
                <w:sz w:val="15"/>
                <w:szCs w:val="15"/>
                <w:color w:val="auto"/>
              </w:rPr>
              <w:t>Commerce</w:t>
            </w:r>
          </w:p>
        </w:tc>
        <w:tc>
          <w:tcPr>
            <w:tcW w:w="6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2220" w:type="dxa"/>
            <w:vAlign w:val="bottom"/>
          </w:tcPr>
          <w:p>
            <w:pPr>
              <w:ind w:left="440"/>
              <w:spacing w:after="0"/>
              <w:rPr>
                <w:sz w:val="20"/>
                <w:szCs w:val="20"/>
                <w:color w:val="auto"/>
              </w:rPr>
            </w:pPr>
            <w:r>
              <w:rPr>
                <w:rFonts w:ascii="Courier New" w:cs="Courier New" w:eastAsia="Courier New" w:hAnsi="Courier New"/>
                <w:sz w:val="15"/>
                <w:szCs w:val="15"/>
                <w:color w:val="auto"/>
                <w:w w:val="97"/>
              </w:rPr>
              <w:t>425 Lexington Avenue</w:t>
            </w:r>
          </w:p>
        </w:tc>
        <w:tc>
          <w:tcPr>
            <w:tcW w:w="6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28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Syndication Department</w:t>
            </w:r>
          </w:p>
        </w:tc>
      </w:tr>
      <w:tr>
        <w:trPr>
          <w:trHeight w:val="170"/>
        </w:trPr>
        <w:tc>
          <w:tcPr>
            <w:tcW w:w="2980" w:type="dxa"/>
            <w:vAlign w:val="bottom"/>
          </w:tcPr>
          <w:p>
            <w:pPr>
              <w:spacing w:after="0"/>
              <w:rPr>
                <w:sz w:val="14"/>
                <w:szCs w:val="14"/>
                <w:color w:val="auto"/>
              </w:rPr>
            </w:pPr>
          </w:p>
        </w:tc>
        <w:tc>
          <w:tcPr>
            <w:tcW w:w="2220" w:type="dxa"/>
            <w:vAlign w:val="bottom"/>
          </w:tcPr>
          <w:p>
            <w:pPr>
              <w:ind w:left="440"/>
              <w:spacing w:after="0"/>
              <w:rPr>
                <w:sz w:val="20"/>
                <w:szCs w:val="20"/>
                <w:color w:val="auto"/>
              </w:rPr>
            </w:pPr>
            <w:r>
              <w:rPr>
                <w:rFonts w:ascii="Courier New" w:cs="Courier New" w:eastAsia="Courier New" w:hAnsi="Courier New"/>
                <w:sz w:val="15"/>
                <w:szCs w:val="15"/>
                <w:color w:val="auto"/>
              </w:rPr>
              <w:t>7th Floor</w:t>
            </w:r>
          </w:p>
        </w:tc>
        <w:tc>
          <w:tcPr>
            <w:tcW w:w="6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2220" w:type="dxa"/>
            <w:vAlign w:val="bottom"/>
          </w:tcPr>
          <w:p>
            <w:pPr>
              <w:ind w:left="440"/>
              <w:spacing w:after="0"/>
              <w:rPr>
                <w:sz w:val="20"/>
                <w:szCs w:val="20"/>
                <w:color w:val="auto"/>
              </w:rPr>
            </w:pPr>
            <w:r>
              <w:rPr>
                <w:rFonts w:ascii="Courier New" w:cs="Courier New" w:eastAsia="Courier New" w:hAnsi="Courier New"/>
                <w:sz w:val="15"/>
                <w:szCs w:val="15"/>
                <w:color w:val="auto"/>
              </w:rPr>
              <w:t>New York, New York</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10017</w:t>
            </w:r>
          </w:p>
        </w:tc>
      </w:tr>
      <w:tr>
        <w:trPr>
          <w:trHeight w:val="339"/>
        </w:trPr>
        <w:tc>
          <w:tcPr>
            <w:tcW w:w="2980" w:type="dxa"/>
            <w:vAlign w:val="bottom"/>
          </w:tcPr>
          <w:p>
            <w:pPr>
              <w:spacing w:after="0"/>
              <w:rPr>
                <w:sz w:val="24"/>
                <w:szCs w:val="24"/>
                <w:color w:val="auto"/>
              </w:rPr>
            </w:pPr>
          </w:p>
        </w:tc>
        <w:tc>
          <w:tcPr>
            <w:tcW w:w="28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Eurodollar Lending Office:</w:t>
            </w:r>
          </w:p>
        </w:tc>
      </w:tr>
      <w:tr>
        <w:trPr>
          <w:trHeight w:val="339"/>
        </w:trPr>
        <w:tc>
          <w:tcPr>
            <w:tcW w:w="2980" w:type="dxa"/>
            <w:vAlign w:val="bottom"/>
          </w:tcPr>
          <w:p>
            <w:pPr>
              <w:spacing w:after="0"/>
              <w:rPr>
                <w:sz w:val="24"/>
                <w:szCs w:val="24"/>
                <w:color w:val="auto"/>
              </w:rPr>
            </w:pPr>
          </w:p>
        </w:tc>
        <w:tc>
          <w:tcPr>
            <w:tcW w:w="2220" w:type="dxa"/>
            <w:vAlign w:val="bottom"/>
          </w:tcPr>
          <w:p>
            <w:pPr>
              <w:ind w:left="440"/>
              <w:spacing w:after="0"/>
              <w:rPr>
                <w:sz w:val="20"/>
                <w:szCs w:val="20"/>
                <w:color w:val="auto"/>
              </w:rPr>
            </w:pPr>
            <w:r>
              <w:rPr>
                <w:rFonts w:ascii="Courier New" w:cs="Courier New" w:eastAsia="Courier New" w:hAnsi="Courier New"/>
                <w:sz w:val="15"/>
                <w:szCs w:val="15"/>
                <w:color w:val="auto"/>
              </w:rPr>
              <w:t>Same</w:t>
            </w:r>
          </w:p>
        </w:tc>
        <w:tc>
          <w:tcPr>
            <w:tcW w:w="600" w:type="dxa"/>
            <w:vAlign w:val="bottom"/>
          </w:tcPr>
          <w:p>
            <w:pPr>
              <w:spacing w:after="0"/>
              <w:rPr>
                <w:sz w:val="24"/>
                <w:szCs w:val="24"/>
                <w:color w:val="auto"/>
              </w:rPr>
            </w:pPr>
          </w:p>
        </w:tc>
      </w:tr>
      <w:tr>
        <w:trPr>
          <w:trHeight w:val="339"/>
        </w:trPr>
        <w:tc>
          <w:tcPr>
            <w:tcW w:w="2980" w:type="dxa"/>
            <w:vAlign w:val="bottom"/>
          </w:tcPr>
          <w:p>
            <w:pPr>
              <w:spacing w:after="0"/>
              <w:rPr>
                <w:sz w:val="20"/>
                <w:szCs w:val="20"/>
                <w:color w:val="auto"/>
              </w:rPr>
            </w:pPr>
            <w:r>
              <w:rPr>
                <w:rFonts w:ascii="Courier New" w:cs="Courier New" w:eastAsia="Courier New" w:hAnsi="Courier New"/>
                <w:sz w:val="15"/>
                <w:szCs w:val="15"/>
                <w:color w:val="auto"/>
              </w:rPr>
              <w:t>The Chase Manhattan Bank</w:t>
            </w:r>
          </w:p>
        </w:tc>
        <w:tc>
          <w:tcPr>
            <w:tcW w:w="28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Domestic Lending Office:</w:t>
            </w:r>
          </w:p>
        </w:tc>
      </w:tr>
      <w:tr>
        <w:trPr>
          <w:trHeight w:val="170"/>
        </w:trPr>
        <w:tc>
          <w:tcPr>
            <w:tcW w:w="2980" w:type="dxa"/>
            <w:vAlign w:val="bottom"/>
          </w:tcPr>
          <w:p>
            <w:pPr>
              <w:ind w:left="160"/>
              <w:spacing w:after="0"/>
              <w:rPr>
                <w:sz w:val="20"/>
                <w:szCs w:val="20"/>
                <w:color w:val="auto"/>
              </w:rPr>
            </w:pPr>
            <w:r>
              <w:rPr>
                <w:rFonts w:ascii="Courier New" w:cs="Courier New" w:eastAsia="Courier New" w:hAnsi="Courier New"/>
                <w:sz w:val="15"/>
                <w:szCs w:val="15"/>
                <w:color w:val="auto"/>
              </w:rPr>
              <w:t>(National Association)</w:t>
            </w:r>
          </w:p>
        </w:tc>
        <w:tc>
          <w:tcPr>
            <w:tcW w:w="2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28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The Chase Manhattan Bank</w:t>
            </w:r>
          </w:p>
        </w:tc>
      </w:tr>
      <w:tr>
        <w:trPr>
          <w:trHeight w:val="170"/>
        </w:trPr>
        <w:tc>
          <w:tcPr>
            <w:tcW w:w="2980" w:type="dxa"/>
            <w:vAlign w:val="bottom"/>
          </w:tcPr>
          <w:p>
            <w:pPr>
              <w:spacing w:after="0"/>
              <w:rPr>
                <w:sz w:val="14"/>
                <w:szCs w:val="14"/>
                <w:color w:val="auto"/>
              </w:rPr>
            </w:pPr>
          </w:p>
        </w:tc>
        <w:tc>
          <w:tcPr>
            <w:tcW w:w="28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(National Association)</w:t>
            </w:r>
          </w:p>
        </w:tc>
      </w:tr>
      <w:tr>
        <w:trPr>
          <w:trHeight w:val="170"/>
        </w:trPr>
        <w:tc>
          <w:tcPr>
            <w:tcW w:w="2980" w:type="dxa"/>
            <w:vAlign w:val="bottom"/>
          </w:tcPr>
          <w:p>
            <w:pPr>
              <w:spacing w:after="0"/>
              <w:rPr>
                <w:sz w:val="14"/>
                <w:szCs w:val="14"/>
                <w:color w:val="auto"/>
              </w:rPr>
            </w:pPr>
          </w:p>
        </w:tc>
        <w:tc>
          <w:tcPr>
            <w:tcW w:w="2220" w:type="dxa"/>
            <w:vAlign w:val="bottom"/>
          </w:tcPr>
          <w:p>
            <w:pPr>
              <w:ind w:left="440"/>
              <w:spacing w:after="0"/>
              <w:rPr>
                <w:sz w:val="20"/>
                <w:szCs w:val="20"/>
                <w:color w:val="auto"/>
              </w:rPr>
            </w:pPr>
            <w:r>
              <w:rPr>
                <w:rFonts w:ascii="Courier New" w:cs="Courier New" w:eastAsia="Courier New" w:hAnsi="Courier New"/>
                <w:sz w:val="15"/>
                <w:szCs w:val="15"/>
                <w:color w:val="auto"/>
              </w:rPr>
              <w:t>One Chase Manhattan</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Plaza</w:t>
            </w:r>
          </w:p>
        </w:tc>
      </w:tr>
      <w:tr>
        <w:trPr>
          <w:trHeight w:val="170"/>
        </w:trPr>
        <w:tc>
          <w:tcPr>
            <w:tcW w:w="2980" w:type="dxa"/>
            <w:vAlign w:val="bottom"/>
          </w:tcPr>
          <w:p>
            <w:pPr>
              <w:spacing w:after="0"/>
              <w:rPr>
                <w:sz w:val="14"/>
                <w:szCs w:val="14"/>
                <w:color w:val="auto"/>
              </w:rPr>
            </w:pPr>
          </w:p>
        </w:tc>
        <w:tc>
          <w:tcPr>
            <w:tcW w:w="2220" w:type="dxa"/>
            <w:vAlign w:val="bottom"/>
          </w:tcPr>
          <w:p>
            <w:pPr>
              <w:ind w:left="440"/>
              <w:spacing w:after="0"/>
              <w:rPr>
                <w:sz w:val="20"/>
                <w:szCs w:val="20"/>
                <w:color w:val="auto"/>
              </w:rPr>
            </w:pPr>
            <w:r>
              <w:rPr>
                <w:rFonts w:ascii="Courier New" w:cs="Courier New" w:eastAsia="Courier New" w:hAnsi="Courier New"/>
                <w:sz w:val="15"/>
                <w:szCs w:val="15"/>
                <w:color w:val="auto"/>
              </w:rPr>
              <w:t>New York, New York</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10081</w:t>
            </w:r>
          </w:p>
        </w:tc>
      </w:tr>
      <w:tr>
        <w:trPr>
          <w:trHeight w:val="339"/>
        </w:trPr>
        <w:tc>
          <w:tcPr>
            <w:tcW w:w="2980" w:type="dxa"/>
            <w:vAlign w:val="bottom"/>
          </w:tcPr>
          <w:p>
            <w:pPr>
              <w:spacing w:after="0"/>
              <w:rPr>
                <w:sz w:val="24"/>
                <w:szCs w:val="24"/>
                <w:color w:val="auto"/>
              </w:rPr>
            </w:pPr>
          </w:p>
        </w:tc>
        <w:tc>
          <w:tcPr>
            <w:tcW w:w="28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Eurodollar Lending Office:</w:t>
            </w:r>
          </w:p>
        </w:tc>
      </w:tr>
      <w:tr>
        <w:trPr>
          <w:trHeight w:val="339"/>
        </w:trPr>
        <w:tc>
          <w:tcPr>
            <w:tcW w:w="2980" w:type="dxa"/>
            <w:vAlign w:val="bottom"/>
          </w:tcPr>
          <w:p>
            <w:pPr>
              <w:spacing w:after="0"/>
              <w:rPr>
                <w:sz w:val="24"/>
                <w:szCs w:val="24"/>
                <w:color w:val="auto"/>
              </w:rPr>
            </w:pPr>
          </w:p>
        </w:tc>
        <w:tc>
          <w:tcPr>
            <w:tcW w:w="2220" w:type="dxa"/>
            <w:vAlign w:val="bottom"/>
          </w:tcPr>
          <w:p>
            <w:pPr>
              <w:ind w:left="440"/>
              <w:spacing w:after="0"/>
              <w:rPr>
                <w:sz w:val="20"/>
                <w:szCs w:val="20"/>
                <w:color w:val="auto"/>
              </w:rPr>
            </w:pPr>
            <w:r>
              <w:rPr>
                <w:rFonts w:ascii="Courier New" w:cs="Courier New" w:eastAsia="Courier New" w:hAnsi="Courier New"/>
                <w:sz w:val="15"/>
                <w:szCs w:val="15"/>
                <w:color w:val="auto"/>
              </w:rPr>
              <w:t>Same</w:t>
            </w:r>
          </w:p>
        </w:tc>
        <w:tc>
          <w:tcPr>
            <w:tcW w:w="600" w:type="dxa"/>
            <w:vAlign w:val="bottom"/>
          </w:tcPr>
          <w:p>
            <w:pPr>
              <w:spacing w:after="0"/>
              <w:rPr>
                <w:sz w:val="24"/>
                <w:szCs w:val="24"/>
                <w:color w:val="auto"/>
              </w:rPr>
            </w:pPr>
          </w:p>
        </w:tc>
      </w:tr>
      <w:tr>
        <w:trPr>
          <w:trHeight w:val="339"/>
        </w:trPr>
        <w:tc>
          <w:tcPr>
            <w:tcW w:w="2980" w:type="dxa"/>
            <w:vAlign w:val="bottom"/>
          </w:tcPr>
          <w:p>
            <w:pPr>
              <w:spacing w:after="0"/>
              <w:rPr>
                <w:sz w:val="20"/>
                <w:szCs w:val="20"/>
                <w:color w:val="auto"/>
              </w:rPr>
            </w:pPr>
            <w:r>
              <w:rPr>
                <w:rFonts w:ascii="Courier New" w:cs="Courier New" w:eastAsia="Courier New" w:hAnsi="Courier New"/>
                <w:sz w:val="15"/>
                <w:szCs w:val="15"/>
                <w:color w:val="auto"/>
              </w:rPr>
              <w:t>Credit Lyonnais Cayman Island</w:t>
            </w:r>
          </w:p>
        </w:tc>
        <w:tc>
          <w:tcPr>
            <w:tcW w:w="28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Domestic Lending Office:</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Branch</w:t>
            </w:r>
          </w:p>
        </w:tc>
        <w:tc>
          <w:tcPr>
            <w:tcW w:w="2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2220" w:type="dxa"/>
            <w:vAlign w:val="bottom"/>
          </w:tcPr>
          <w:p>
            <w:pPr>
              <w:ind w:left="440"/>
              <w:spacing w:after="0"/>
              <w:rPr>
                <w:sz w:val="20"/>
                <w:szCs w:val="20"/>
                <w:color w:val="auto"/>
              </w:rPr>
            </w:pPr>
            <w:r>
              <w:rPr>
                <w:rFonts w:ascii="Courier New" w:cs="Courier New" w:eastAsia="Courier New" w:hAnsi="Courier New"/>
                <w:sz w:val="15"/>
                <w:szCs w:val="15"/>
                <w:color w:val="auto"/>
              </w:rPr>
              <w:t>Credit Lyonnais</w:t>
            </w:r>
          </w:p>
        </w:tc>
        <w:tc>
          <w:tcPr>
            <w:tcW w:w="6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28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7"/>
              </w:rPr>
              <w:t>1301 Avenue of the Americas</w:t>
            </w:r>
          </w:p>
        </w:tc>
      </w:tr>
      <w:tr>
        <w:trPr>
          <w:trHeight w:val="170"/>
        </w:trPr>
        <w:tc>
          <w:tcPr>
            <w:tcW w:w="2980" w:type="dxa"/>
            <w:vAlign w:val="bottom"/>
          </w:tcPr>
          <w:p>
            <w:pPr>
              <w:spacing w:after="0"/>
              <w:rPr>
                <w:sz w:val="14"/>
                <w:szCs w:val="14"/>
                <w:color w:val="auto"/>
              </w:rPr>
            </w:pPr>
          </w:p>
        </w:tc>
        <w:tc>
          <w:tcPr>
            <w:tcW w:w="2220" w:type="dxa"/>
            <w:vAlign w:val="bottom"/>
          </w:tcPr>
          <w:p>
            <w:pPr>
              <w:ind w:left="440"/>
              <w:spacing w:after="0"/>
              <w:rPr>
                <w:sz w:val="20"/>
                <w:szCs w:val="20"/>
                <w:color w:val="auto"/>
              </w:rPr>
            </w:pPr>
            <w:r>
              <w:rPr>
                <w:rFonts w:ascii="Courier New" w:cs="Courier New" w:eastAsia="Courier New" w:hAnsi="Courier New"/>
                <w:sz w:val="15"/>
                <w:szCs w:val="15"/>
                <w:color w:val="auto"/>
              </w:rPr>
              <w:t>New York, New York</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10019</w:t>
            </w:r>
          </w:p>
        </w:tc>
      </w:tr>
    </w:tbl>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Eurodollar Lending Office: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Same</w:t>
      </w:r>
    </w:p>
    <w:p>
      <w:pPr>
        <w:spacing w:after="0" w:line="200" w:lineRule="exact"/>
        <w:rPr>
          <w:sz w:val="20"/>
          <w:szCs w:val="20"/>
          <w:color w:val="auto"/>
        </w:rPr>
      </w:pPr>
    </w:p>
    <w:p>
      <w:pPr>
        <w:spacing w:after="0" w:line="30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I-3</w:t>
      </w:r>
    </w:p>
    <w:p>
      <w:pPr>
        <w:sectPr>
          <w:pgSz w:w="11900" w:h="16838" w:orient="portrait"/>
          <w:cols w:equalWidth="0" w:num="1">
            <w:col w:w="10219"/>
          </w:cols>
          <w:pgMar w:left="240" w:top="622" w:right="1440" w:bottom="1440" w:gutter="0" w:footer="0" w:header="0"/>
        </w:sectPr>
      </w:pPr>
    </w:p>
    <w:bookmarkStart w:id="224" w:name="page225"/>
    <w:bookmarkEnd w:id="224"/>
    <w:p>
      <w:pPr>
        <w:spacing w:after="0"/>
        <w:rPr>
          <w:sz w:val="20"/>
          <w:szCs w:val="20"/>
          <w:color w:val="auto"/>
        </w:rPr>
      </w:pPr>
      <w:r>
        <w:rPr>
          <w:rFonts w:ascii="Courier New" w:cs="Courier New" w:eastAsia="Courier New" w:hAnsi="Courier New"/>
          <w:sz w:val="15"/>
          <w:szCs w:val="15"/>
          <w:color w:val="auto"/>
        </w:rPr>
        <w:t>Bank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First National Bank of Boston</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80" w:lineRule="exact"/>
        <w:rPr>
          <w:sz w:val="20"/>
          <w:szCs w:val="20"/>
          <w:color w:val="auto"/>
        </w:rPr>
      </w:pPr>
    </w:p>
    <w:p>
      <w:pPr>
        <w:sectPr>
          <w:pgSz w:w="11900" w:h="16838" w:orient="portrait"/>
          <w:cols w:equalWidth="0" w:num="2">
            <w:col w:w="2900" w:space="520"/>
            <w:col w:w="6799"/>
          </w:cols>
          <w:pgMar w:left="240" w:top="622" w:right="1440" w:bottom="1440" w:gutter="0" w:footer="0" w:header="0"/>
        </w:sectPr>
      </w:pPr>
    </w:p>
    <w:p>
      <w:pPr>
        <w:ind w:left="3420"/>
        <w:spacing w:after="0"/>
        <w:rPr>
          <w:sz w:val="20"/>
          <w:szCs w:val="20"/>
          <w:color w:val="auto"/>
        </w:rPr>
      </w:pPr>
      <w:r>
        <w:rPr>
          <w:rFonts w:ascii="Courier New" w:cs="Courier New" w:eastAsia="Courier New" w:hAnsi="Courier New"/>
          <w:sz w:val="14"/>
          <w:szCs w:val="14"/>
          <w:color w:val="auto"/>
        </w:rPr>
        <w:t>The First National Bank of Boston</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100 Federal Street</w:t>
      </w:r>
    </w:p>
    <w:p>
      <w:pPr>
        <w:ind w:left="3420"/>
        <w:spacing w:after="0"/>
        <w:rPr>
          <w:sz w:val="20"/>
          <w:szCs w:val="20"/>
          <w:color w:val="auto"/>
        </w:rPr>
      </w:pPr>
      <w:r>
        <w:rPr>
          <w:rFonts w:ascii="Courier New" w:cs="Courier New" w:eastAsia="Courier New" w:hAnsi="Courier New"/>
          <w:sz w:val="15"/>
          <w:szCs w:val="15"/>
          <w:color w:val="auto"/>
        </w:rPr>
        <w:t>Mailstop 01-08-08</w:t>
      </w:r>
    </w:p>
    <w:p>
      <w:pPr>
        <w:ind w:left="3420"/>
        <w:spacing w:after="0"/>
        <w:rPr>
          <w:sz w:val="20"/>
          <w:szCs w:val="20"/>
          <w:color w:val="auto"/>
        </w:rPr>
      </w:pPr>
      <w:r>
        <w:rPr>
          <w:rFonts w:ascii="Courier New" w:cs="Courier New" w:eastAsia="Courier New" w:hAnsi="Courier New"/>
          <w:sz w:val="15"/>
          <w:szCs w:val="15"/>
          <w:color w:val="auto"/>
        </w:rPr>
        <w:t>Boston, MA 02110</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Eurodollar Lending Office: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Same</w:t>
      </w:r>
    </w:p>
    <w:p>
      <w:pPr>
        <w:sectPr>
          <w:pgSz w:w="11900" w:h="16838" w:orient="portrait"/>
          <w:cols w:equalWidth="0" w:num="1">
            <w:col w:w="10219"/>
          </w:cols>
          <w:pgMar w:left="240" w:top="622"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Fuji Bank, Limited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75" w:lineRule="exact"/>
        <w:rPr>
          <w:sz w:val="20"/>
          <w:szCs w:val="20"/>
          <w:color w:val="auto"/>
        </w:rPr>
      </w:pPr>
    </w:p>
    <w:p>
      <w:pPr>
        <w:sectPr>
          <w:pgSz w:w="11900" w:h="16838" w:orient="portrait"/>
          <w:cols w:equalWidth="0" w:num="2">
            <w:col w:w="2700" w:space="720"/>
            <w:col w:w="6799"/>
          </w:cols>
          <w:pgMar w:left="240" w:top="622"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5"/>
          <w:szCs w:val="15"/>
          <w:color w:val="auto"/>
        </w:rPr>
        <w:t>The Fuji Bank, Limited</w:t>
      </w:r>
    </w:p>
    <w:p>
      <w:pPr>
        <w:ind w:left="3420"/>
        <w:spacing w:after="0"/>
        <w:rPr>
          <w:sz w:val="20"/>
          <w:szCs w:val="20"/>
          <w:color w:val="auto"/>
        </w:rPr>
      </w:pPr>
      <w:r>
        <w:rPr>
          <w:rFonts w:ascii="Courier New" w:cs="Courier New" w:eastAsia="Courier New" w:hAnsi="Courier New"/>
          <w:sz w:val="15"/>
          <w:szCs w:val="15"/>
          <w:color w:val="auto"/>
        </w:rPr>
        <w:t>Two World Trade Center</w:t>
      </w:r>
    </w:p>
    <w:p>
      <w:pPr>
        <w:ind w:left="3420"/>
        <w:spacing w:after="0"/>
        <w:rPr>
          <w:sz w:val="20"/>
          <w:szCs w:val="20"/>
          <w:color w:val="auto"/>
        </w:rPr>
      </w:pPr>
      <w:r>
        <w:rPr>
          <w:rFonts w:ascii="Courier New" w:cs="Courier New" w:eastAsia="Courier New" w:hAnsi="Courier New"/>
          <w:sz w:val="15"/>
          <w:szCs w:val="15"/>
          <w:color w:val="auto"/>
        </w:rPr>
        <w:t>79th Floor</w:t>
      </w:r>
    </w:p>
    <w:p>
      <w:pPr>
        <w:ind w:left="3420"/>
        <w:spacing w:after="0" w:line="238" w:lineRule="auto"/>
        <w:rPr>
          <w:sz w:val="20"/>
          <w:szCs w:val="20"/>
          <w:color w:val="auto"/>
        </w:rPr>
      </w:pPr>
      <w:r>
        <w:rPr>
          <w:rFonts w:ascii="Courier New" w:cs="Courier New" w:eastAsia="Courier New" w:hAnsi="Courier New"/>
          <w:sz w:val="15"/>
          <w:szCs w:val="15"/>
          <w:color w:val="auto"/>
        </w:rPr>
        <w:t>New York, New York 10048</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Eurodollar Lending Office: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Same</w:t>
      </w:r>
    </w:p>
    <w:p>
      <w:pPr>
        <w:sectPr>
          <w:pgSz w:w="11900" w:h="16838" w:orient="portrait"/>
          <w:cols w:equalWidth="0" w:num="1">
            <w:col w:w="10219"/>
          </w:cols>
          <w:pgMar w:left="240" w:top="622"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Industrial Bank of</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Japan, Ltd.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80" w:lineRule="exact"/>
        <w:rPr>
          <w:sz w:val="20"/>
          <w:szCs w:val="20"/>
          <w:color w:val="auto"/>
        </w:rPr>
      </w:pPr>
    </w:p>
    <w:p>
      <w:pPr>
        <w:sectPr>
          <w:pgSz w:w="11900" w:h="16838" w:orient="portrait"/>
          <w:cols w:equalWidth="0" w:num="2">
            <w:col w:w="2700" w:space="720"/>
            <w:col w:w="6799"/>
          </w:cols>
          <w:pgMar w:left="240" w:top="622"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4"/>
          <w:szCs w:val="14"/>
          <w:color w:val="auto"/>
        </w:rPr>
        <w:t>The Industrial Bank of Japan,</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Ltd.</w:t>
      </w:r>
    </w:p>
    <w:p>
      <w:pPr>
        <w:ind w:left="3420"/>
        <w:spacing w:after="0"/>
        <w:rPr>
          <w:sz w:val="20"/>
          <w:szCs w:val="20"/>
          <w:color w:val="auto"/>
        </w:rPr>
      </w:pPr>
      <w:r>
        <w:rPr>
          <w:rFonts w:ascii="Courier New" w:cs="Courier New" w:eastAsia="Courier New" w:hAnsi="Courier New"/>
          <w:sz w:val="15"/>
          <w:szCs w:val="15"/>
          <w:color w:val="auto"/>
        </w:rPr>
        <w:t>245 Park Avenue</w:t>
      </w:r>
    </w:p>
    <w:p>
      <w:pPr>
        <w:ind w:left="3420"/>
        <w:spacing w:after="0"/>
        <w:rPr>
          <w:sz w:val="20"/>
          <w:szCs w:val="20"/>
          <w:color w:val="auto"/>
        </w:rPr>
      </w:pPr>
      <w:r>
        <w:rPr>
          <w:rFonts w:ascii="Courier New" w:cs="Courier New" w:eastAsia="Courier New" w:hAnsi="Courier New"/>
          <w:sz w:val="15"/>
          <w:szCs w:val="15"/>
          <w:color w:val="auto"/>
        </w:rPr>
        <w:t>New York, New York 10167</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Eurodollar Lending Office: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Same</w:t>
      </w:r>
    </w:p>
    <w:p>
      <w:pPr>
        <w:sectPr>
          <w:pgSz w:w="11900" w:h="16838" w:orient="portrait"/>
          <w:cols w:equalWidth="0" w:num="1">
            <w:col w:w="10219"/>
          </w:cols>
          <w:pgMar w:left="240" w:top="622"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LTCB Trust Company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75" w:lineRule="exact"/>
        <w:rPr>
          <w:sz w:val="20"/>
          <w:szCs w:val="20"/>
          <w:color w:val="auto"/>
        </w:rPr>
      </w:pPr>
    </w:p>
    <w:p>
      <w:pPr>
        <w:sectPr>
          <w:pgSz w:w="11900" w:h="16838" w:orient="portrait"/>
          <w:cols w:equalWidth="0" w:num="2">
            <w:col w:w="2700" w:space="720"/>
            <w:col w:w="6799"/>
          </w:cols>
          <w:pgMar w:left="240" w:top="622"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5"/>
          <w:szCs w:val="15"/>
          <w:color w:val="auto"/>
        </w:rPr>
        <w:t>LTCB Trust Company</w:t>
      </w:r>
    </w:p>
    <w:p>
      <w:pPr>
        <w:ind w:left="3420"/>
        <w:spacing w:after="0"/>
        <w:rPr>
          <w:sz w:val="20"/>
          <w:szCs w:val="20"/>
          <w:color w:val="auto"/>
        </w:rPr>
      </w:pPr>
      <w:r>
        <w:rPr>
          <w:rFonts w:ascii="Courier New" w:cs="Courier New" w:eastAsia="Courier New" w:hAnsi="Courier New"/>
          <w:sz w:val="15"/>
          <w:szCs w:val="15"/>
          <w:color w:val="auto"/>
        </w:rPr>
        <w:t>165 Broadway</w:t>
      </w:r>
    </w:p>
    <w:p>
      <w:pPr>
        <w:ind w:left="3420"/>
        <w:spacing w:after="0"/>
        <w:rPr>
          <w:sz w:val="20"/>
          <w:szCs w:val="20"/>
          <w:color w:val="auto"/>
        </w:rPr>
      </w:pPr>
      <w:r>
        <w:rPr>
          <w:rFonts w:ascii="Courier New" w:cs="Courier New" w:eastAsia="Courier New" w:hAnsi="Courier New"/>
          <w:sz w:val="15"/>
          <w:szCs w:val="15"/>
          <w:color w:val="auto"/>
        </w:rPr>
        <w:t>49th Floor</w:t>
      </w:r>
    </w:p>
    <w:p>
      <w:pPr>
        <w:ind w:left="3420"/>
        <w:spacing w:after="0" w:line="238" w:lineRule="auto"/>
        <w:rPr>
          <w:sz w:val="20"/>
          <w:szCs w:val="20"/>
          <w:color w:val="auto"/>
        </w:rPr>
      </w:pPr>
      <w:r>
        <w:rPr>
          <w:rFonts w:ascii="Courier New" w:cs="Courier New" w:eastAsia="Courier New" w:hAnsi="Courier New"/>
          <w:sz w:val="15"/>
          <w:szCs w:val="15"/>
          <w:color w:val="auto"/>
        </w:rPr>
        <w:t>New York, NY 10006</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Eurodollar Lending Office: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Same</w:t>
      </w:r>
    </w:p>
    <w:p>
      <w:pPr>
        <w:spacing w:after="0" w:line="200" w:lineRule="exact"/>
        <w:rPr>
          <w:sz w:val="20"/>
          <w:szCs w:val="20"/>
          <w:color w:val="auto"/>
        </w:rPr>
      </w:pPr>
    </w:p>
    <w:p>
      <w:pPr>
        <w:spacing w:after="0" w:line="30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I-4</w:t>
      </w:r>
    </w:p>
    <w:p>
      <w:pPr>
        <w:sectPr>
          <w:pgSz w:w="11900" w:h="16838" w:orient="portrait"/>
          <w:cols w:equalWidth="0" w:num="1">
            <w:col w:w="10219"/>
          </w:cols>
          <w:pgMar w:left="240" w:top="622" w:right="1440" w:bottom="1440" w:gutter="0" w:footer="0" w:header="0"/>
          <w:type w:val="continuous"/>
        </w:sectPr>
      </w:pPr>
    </w:p>
    <w:bookmarkStart w:id="225" w:name="page226"/>
    <w:bookmarkEnd w:id="225"/>
    <w:p>
      <w:pPr>
        <w:spacing w:after="0"/>
        <w:rPr>
          <w:sz w:val="20"/>
          <w:szCs w:val="20"/>
          <w:color w:val="auto"/>
        </w:rPr>
      </w:pPr>
      <w:r>
        <w:rPr>
          <w:rFonts w:ascii="Courier New" w:cs="Courier New" w:eastAsia="Courier New" w:hAnsi="Courier New"/>
          <w:sz w:val="15"/>
          <w:szCs w:val="15"/>
          <w:color w:val="auto"/>
        </w:rPr>
        <w:t>Bank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Mellon Bank, N.A.</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75" w:lineRule="exact"/>
        <w:rPr>
          <w:sz w:val="20"/>
          <w:szCs w:val="20"/>
          <w:color w:val="auto"/>
        </w:rPr>
      </w:pPr>
    </w:p>
    <w:p>
      <w:pPr>
        <w:sectPr>
          <w:pgSz w:w="11900" w:h="16838" w:orient="portrait"/>
          <w:cols w:equalWidth="0" w:num="2">
            <w:col w:w="2700" w:space="720"/>
            <w:col w:w="6799"/>
          </w:cols>
          <w:pgMar w:left="240" w:top="622" w:right="1440" w:bottom="1440" w:gutter="0" w:footer="0" w:header="0"/>
        </w:sectPr>
      </w:pPr>
    </w:p>
    <w:p>
      <w:pPr>
        <w:ind w:left="3420"/>
        <w:spacing w:after="0"/>
        <w:rPr>
          <w:sz w:val="20"/>
          <w:szCs w:val="20"/>
          <w:color w:val="auto"/>
        </w:rPr>
      </w:pPr>
      <w:r>
        <w:rPr>
          <w:rFonts w:ascii="Courier New" w:cs="Courier New" w:eastAsia="Courier New" w:hAnsi="Courier New"/>
          <w:sz w:val="15"/>
          <w:szCs w:val="15"/>
          <w:color w:val="auto"/>
        </w:rPr>
        <w:t>Mellon Bank, N.A.</w:t>
      </w:r>
    </w:p>
    <w:p>
      <w:pPr>
        <w:ind w:left="3420"/>
        <w:spacing w:after="0"/>
        <w:rPr>
          <w:sz w:val="20"/>
          <w:szCs w:val="20"/>
          <w:color w:val="auto"/>
        </w:rPr>
      </w:pPr>
      <w:r>
        <w:rPr>
          <w:rFonts w:ascii="Courier New" w:cs="Courier New" w:eastAsia="Courier New" w:hAnsi="Courier New"/>
          <w:sz w:val="15"/>
          <w:szCs w:val="15"/>
          <w:color w:val="auto"/>
        </w:rPr>
        <w:t>3 Mellon Bank Center</w:t>
      </w:r>
    </w:p>
    <w:p>
      <w:pPr>
        <w:ind w:left="3420"/>
        <w:spacing w:after="0"/>
        <w:rPr>
          <w:sz w:val="20"/>
          <w:szCs w:val="20"/>
          <w:color w:val="auto"/>
        </w:rPr>
      </w:pPr>
      <w:r>
        <w:rPr>
          <w:rFonts w:ascii="Courier New" w:cs="Courier New" w:eastAsia="Courier New" w:hAnsi="Courier New"/>
          <w:sz w:val="15"/>
          <w:szCs w:val="15"/>
          <w:color w:val="auto"/>
        </w:rPr>
        <w:t>Room 2304</w:t>
      </w:r>
    </w:p>
    <w:p>
      <w:pPr>
        <w:ind w:left="3420"/>
        <w:spacing w:after="0" w:line="238" w:lineRule="auto"/>
        <w:rPr>
          <w:sz w:val="20"/>
          <w:szCs w:val="20"/>
          <w:color w:val="auto"/>
        </w:rPr>
      </w:pPr>
      <w:r>
        <w:rPr>
          <w:rFonts w:ascii="Courier New" w:cs="Courier New" w:eastAsia="Courier New" w:hAnsi="Courier New"/>
          <w:sz w:val="15"/>
          <w:szCs w:val="15"/>
          <w:color w:val="auto"/>
        </w:rPr>
        <w:t>Pittsburgh, PA 15259</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Eurodollar Lending Office: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Same</w:t>
      </w:r>
    </w:p>
    <w:p>
      <w:pPr>
        <w:sectPr>
          <w:pgSz w:w="11900" w:h="16838" w:orient="portrait"/>
          <w:cols w:equalWidth="0" w:num="1">
            <w:col w:w="10219"/>
          </w:cols>
          <w:pgMar w:left="240" w:top="622"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NationsBank of Texas N.A.</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75" w:lineRule="exact"/>
        <w:rPr>
          <w:sz w:val="20"/>
          <w:szCs w:val="20"/>
          <w:color w:val="auto"/>
        </w:rPr>
      </w:pPr>
    </w:p>
    <w:p>
      <w:pPr>
        <w:sectPr>
          <w:pgSz w:w="11900" w:h="16838" w:orient="portrait"/>
          <w:cols w:equalWidth="0" w:num="2">
            <w:col w:w="2700" w:space="720"/>
            <w:col w:w="6799"/>
          </w:cols>
          <w:pgMar w:left="240" w:top="622"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5"/>
          <w:szCs w:val="15"/>
          <w:color w:val="auto"/>
        </w:rPr>
        <w:t>NationsBank</w:t>
      </w:r>
    </w:p>
    <w:p>
      <w:pPr>
        <w:ind w:left="3420"/>
        <w:spacing w:after="0"/>
        <w:rPr>
          <w:sz w:val="20"/>
          <w:szCs w:val="20"/>
          <w:color w:val="auto"/>
        </w:rPr>
      </w:pPr>
      <w:r>
        <w:rPr>
          <w:rFonts w:ascii="Courier New" w:cs="Courier New" w:eastAsia="Courier New" w:hAnsi="Courier New"/>
          <w:sz w:val="15"/>
          <w:szCs w:val="15"/>
          <w:color w:val="auto"/>
        </w:rPr>
        <w:t>901 Miami Street</w:t>
      </w:r>
    </w:p>
    <w:p>
      <w:pPr>
        <w:ind w:left="3420"/>
        <w:spacing w:after="0"/>
        <w:rPr>
          <w:sz w:val="20"/>
          <w:szCs w:val="20"/>
          <w:color w:val="auto"/>
        </w:rPr>
      </w:pPr>
      <w:r>
        <w:rPr>
          <w:rFonts w:ascii="Courier New" w:cs="Courier New" w:eastAsia="Courier New" w:hAnsi="Courier New"/>
          <w:sz w:val="15"/>
          <w:szCs w:val="15"/>
          <w:color w:val="auto"/>
        </w:rPr>
        <w:t>67th Floor</w:t>
      </w:r>
    </w:p>
    <w:p>
      <w:pPr>
        <w:ind w:left="3420"/>
        <w:spacing w:after="0" w:line="238" w:lineRule="auto"/>
        <w:rPr>
          <w:sz w:val="20"/>
          <w:szCs w:val="20"/>
          <w:color w:val="auto"/>
        </w:rPr>
      </w:pPr>
      <w:r>
        <w:rPr>
          <w:rFonts w:ascii="Courier New" w:cs="Courier New" w:eastAsia="Courier New" w:hAnsi="Courier New"/>
          <w:sz w:val="15"/>
          <w:szCs w:val="15"/>
          <w:color w:val="auto"/>
        </w:rPr>
        <w:t>Dallas, TX 75202</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Eurodollar Lending Office: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Same</w:t>
      </w:r>
    </w:p>
    <w:p>
      <w:pPr>
        <w:sectPr>
          <w:pgSz w:w="11900" w:h="16838" w:orient="portrait"/>
          <w:cols w:equalWidth="0" w:num="1">
            <w:col w:w="10219"/>
          </w:cols>
          <w:pgMar w:left="240" w:top="622"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Societe Generale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75" w:lineRule="exact"/>
        <w:rPr>
          <w:sz w:val="20"/>
          <w:szCs w:val="20"/>
          <w:color w:val="auto"/>
        </w:rPr>
      </w:pPr>
    </w:p>
    <w:p>
      <w:pPr>
        <w:sectPr>
          <w:pgSz w:w="11900" w:h="16838" w:orient="portrait"/>
          <w:cols w:equalWidth="0" w:num="2">
            <w:col w:w="2700" w:space="720"/>
            <w:col w:w="6799"/>
          </w:cols>
          <w:pgMar w:left="240" w:top="622"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5"/>
          <w:szCs w:val="15"/>
          <w:color w:val="auto"/>
        </w:rPr>
        <w:t>Societe Generale</w:t>
      </w:r>
    </w:p>
    <w:p>
      <w:pPr>
        <w:ind w:left="3420"/>
        <w:spacing w:after="0"/>
        <w:rPr>
          <w:sz w:val="20"/>
          <w:szCs w:val="20"/>
          <w:color w:val="auto"/>
        </w:rPr>
      </w:pPr>
      <w:r>
        <w:rPr>
          <w:rFonts w:ascii="Courier New" w:cs="Courier New" w:eastAsia="Courier New" w:hAnsi="Courier New"/>
          <w:sz w:val="15"/>
          <w:szCs w:val="15"/>
          <w:color w:val="auto"/>
        </w:rPr>
        <w:t>50 Rockefeller Plaza</w:t>
      </w:r>
    </w:p>
    <w:p>
      <w:pPr>
        <w:ind w:left="3420"/>
        <w:spacing w:after="0"/>
        <w:rPr>
          <w:sz w:val="20"/>
          <w:szCs w:val="20"/>
          <w:color w:val="auto"/>
        </w:rPr>
      </w:pPr>
      <w:r>
        <w:rPr>
          <w:rFonts w:ascii="Courier New" w:cs="Courier New" w:eastAsia="Courier New" w:hAnsi="Courier New"/>
          <w:sz w:val="15"/>
          <w:szCs w:val="15"/>
          <w:color w:val="auto"/>
        </w:rPr>
        <w:t>5th Avenue</w:t>
      </w:r>
    </w:p>
    <w:p>
      <w:pPr>
        <w:ind w:left="3420"/>
        <w:spacing w:after="0" w:line="238" w:lineRule="auto"/>
        <w:rPr>
          <w:sz w:val="20"/>
          <w:szCs w:val="20"/>
          <w:color w:val="auto"/>
        </w:rPr>
      </w:pPr>
      <w:r>
        <w:rPr>
          <w:rFonts w:ascii="Courier New" w:cs="Courier New" w:eastAsia="Courier New" w:hAnsi="Courier New"/>
          <w:sz w:val="15"/>
          <w:szCs w:val="15"/>
          <w:color w:val="auto"/>
        </w:rPr>
        <w:t>14th Floor</w:t>
      </w:r>
    </w:p>
    <w:p>
      <w:pPr>
        <w:ind w:left="3420"/>
        <w:spacing w:after="0"/>
        <w:rPr>
          <w:sz w:val="20"/>
          <w:szCs w:val="20"/>
          <w:color w:val="auto"/>
        </w:rPr>
      </w:pPr>
      <w:r>
        <w:rPr>
          <w:rFonts w:ascii="Courier New" w:cs="Courier New" w:eastAsia="Courier New" w:hAnsi="Courier New"/>
          <w:sz w:val="15"/>
          <w:szCs w:val="15"/>
          <w:color w:val="auto"/>
        </w:rPr>
        <w:t>New York, NY 10020</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Eurodollar Lending Office: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Same</w:t>
      </w:r>
    </w:p>
    <w:p>
      <w:pPr>
        <w:sectPr>
          <w:pgSz w:w="11900" w:h="16838" w:orient="portrait"/>
          <w:cols w:equalWidth="0" w:num="1">
            <w:col w:w="10219"/>
          </w:cols>
          <w:pgMar w:left="240" w:top="622"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Toronto-Dominion Bank</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75" w:lineRule="exact"/>
        <w:rPr>
          <w:sz w:val="20"/>
          <w:szCs w:val="20"/>
          <w:color w:val="auto"/>
        </w:rPr>
      </w:pPr>
    </w:p>
    <w:p>
      <w:pPr>
        <w:sectPr>
          <w:pgSz w:w="11900" w:h="16838" w:orient="portrait"/>
          <w:cols w:equalWidth="0" w:num="2">
            <w:col w:w="2700" w:space="720"/>
            <w:col w:w="6799"/>
          </w:cols>
          <w:pgMar w:left="240" w:top="622"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5"/>
          <w:szCs w:val="15"/>
          <w:color w:val="auto"/>
        </w:rPr>
        <w:t>The Toronto-Dominion Bank</w:t>
      </w:r>
    </w:p>
    <w:p>
      <w:pPr>
        <w:ind w:left="3420"/>
        <w:spacing w:after="0"/>
        <w:rPr>
          <w:sz w:val="20"/>
          <w:szCs w:val="20"/>
          <w:color w:val="auto"/>
        </w:rPr>
      </w:pPr>
      <w:r>
        <w:rPr>
          <w:rFonts w:ascii="Courier New" w:cs="Courier New" w:eastAsia="Courier New" w:hAnsi="Courier New"/>
          <w:sz w:val="15"/>
          <w:szCs w:val="15"/>
          <w:color w:val="auto"/>
        </w:rPr>
        <w:t>909 Fannin Street</w:t>
      </w:r>
    </w:p>
    <w:p>
      <w:pPr>
        <w:ind w:left="3420"/>
        <w:spacing w:after="0"/>
        <w:rPr>
          <w:sz w:val="20"/>
          <w:szCs w:val="20"/>
          <w:color w:val="auto"/>
        </w:rPr>
      </w:pPr>
      <w:r>
        <w:rPr>
          <w:rFonts w:ascii="Courier New" w:cs="Courier New" w:eastAsia="Courier New" w:hAnsi="Courier New"/>
          <w:sz w:val="15"/>
          <w:szCs w:val="15"/>
          <w:color w:val="auto"/>
        </w:rPr>
        <w:t>Houston, TX 77010</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Eurodollar Lending Office: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Same</w:t>
      </w:r>
    </w:p>
    <w:p>
      <w:pPr>
        <w:spacing w:after="0" w:line="200" w:lineRule="exact"/>
        <w:rPr>
          <w:sz w:val="20"/>
          <w:szCs w:val="20"/>
          <w:color w:val="auto"/>
        </w:rPr>
      </w:pPr>
    </w:p>
    <w:p>
      <w:pPr>
        <w:spacing w:after="0" w:line="30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I-5</w:t>
      </w:r>
    </w:p>
    <w:p>
      <w:pPr>
        <w:sectPr>
          <w:pgSz w:w="11900" w:h="16838" w:orient="portrait"/>
          <w:cols w:equalWidth="0" w:num="1">
            <w:col w:w="10219"/>
          </w:cols>
          <w:pgMar w:left="240" w:top="622" w:right="1440" w:bottom="1440" w:gutter="0" w:footer="0" w:header="0"/>
          <w:type w:val="continuous"/>
        </w:sectPr>
      </w:pPr>
    </w:p>
    <w:bookmarkStart w:id="226" w:name="page227"/>
    <w:bookmarkEnd w:id="226"/>
    <w:p>
      <w:pPr>
        <w:spacing w:after="0"/>
        <w:rPr>
          <w:sz w:val="20"/>
          <w:szCs w:val="20"/>
          <w:color w:val="auto"/>
        </w:rPr>
      </w:pPr>
      <w:r>
        <w:rPr>
          <w:rFonts w:ascii="Courier New" w:cs="Courier New" w:eastAsia="Courier New" w:hAnsi="Courier New"/>
          <w:sz w:val="15"/>
          <w:szCs w:val="15"/>
          <w:color w:val="auto"/>
        </w:rPr>
        <w:t>Bank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Union Bank</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75" w:lineRule="exact"/>
        <w:rPr>
          <w:sz w:val="20"/>
          <w:szCs w:val="20"/>
          <w:color w:val="auto"/>
        </w:rPr>
      </w:pPr>
    </w:p>
    <w:p>
      <w:pPr>
        <w:sectPr>
          <w:pgSz w:w="11900" w:h="16838" w:orient="portrait"/>
          <w:cols w:equalWidth="0" w:num="2">
            <w:col w:w="2700" w:space="720"/>
            <w:col w:w="6799"/>
          </w:cols>
          <w:pgMar w:left="240" w:top="622" w:right="1440" w:bottom="1440" w:gutter="0" w:footer="0" w:header="0"/>
        </w:sectPr>
      </w:pPr>
    </w:p>
    <w:p>
      <w:pPr>
        <w:ind w:left="3420"/>
        <w:spacing w:after="0"/>
        <w:rPr>
          <w:sz w:val="20"/>
          <w:szCs w:val="20"/>
          <w:color w:val="auto"/>
        </w:rPr>
      </w:pPr>
      <w:r>
        <w:rPr>
          <w:rFonts w:ascii="Courier New" w:cs="Courier New" w:eastAsia="Courier New" w:hAnsi="Courier New"/>
          <w:sz w:val="15"/>
          <w:szCs w:val="15"/>
          <w:color w:val="auto"/>
        </w:rPr>
        <w:t>Union Bank of California</w:t>
      </w:r>
    </w:p>
    <w:p>
      <w:pPr>
        <w:ind w:left="3420"/>
        <w:spacing w:after="0"/>
        <w:rPr>
          <w:sz w:val="20"/>
          <w:szCs w:val="20"/>
          <w:color w:val="auto"/>
        </w:rPr>
      </w:pPr>
      <w:r>
        <w:rPr>
          <w:rFonts w:ascii="Courier New" w:cs="Courier New" w:eastAsia="Courier New" w:hAnsi="Courier New"/>
          <w:sz w:val="15"/>
          <w:szCs w:val="15"/>
          <w:color w:val="auto"/>
        </w:rPr>
        <w:t>445 South Figuera Street</w:t>
      </w:r>
    </w:p>
    <w:p>
      <w:pPr>
        <w:ind w:left="3420"/>
        <w:spacing w:after="0"/>
        <w:rPr>
          <w:sz w:val="20"/>
          <w:szCs w:val="20"/>
          <w:color w:val="auto"/>
        </w:rPr>
      </w:pPr>
      <w:r>
        <w:rPr>
          <w:rFonts w:ascii="Courier New" w:cs="Courier New" w:eastAsia="Courier New" w:hAnsi="Courier New"/>
          <w:sz w:val="15"/>
          <w:szCs w:val="15"/>
          <w:color w:val="auto"/>
        </w:rPr>
        <w:t>15th Floor</w:t>
      </w:r>
    </w:p>
    <w:p>
      <w:pPr>
        <w:ind w:left="3420"/>
        <w:spacing w:after="0" w:line="238" w:lineRule="auto"/>
        <w:rPr>
          <w:sz w:val="20"/>
          <w:szCs w:val="20"/>
          <w:color w:val="auto"/>
        </w:rPr>
      </w:pPr>
      <w:r>
        <w:rPr>
          <w:rFonts w:ascii="Courier New" w:cs="Courier New" w:eastAsia="Courier New" w:hAnsi="Courier New"/>
          <w:sz w:val="15"/>
          <w:szCs w:val="15"/>
          <w:color w:val="auto"/>
        </w:rPr>
        <w:t>Los Angeles, CA 90071</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Eurodollar Lending Office: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Same</w:t>
      </w:r>
    </w:p>
    <w:p>
      <w:pPr>
        <w:sectPr>
          <w:pgSz w:w="11900" w:h="16838" w:orient="portrait"/>
          <w:cols w:equalWidth="0" w:num="1">
            <w:col w:w="10219"/>
          </w:cols>
          <w:pgMar w:left="240" w:top="622"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Suisse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75" w:lineRule="exact"/>
        <w:rPr>
          <w:sz w:val="20"/>
          <w:szCs w:val="20"/>
          <w:color w:val="auto"/>
        </w:rPr>
      </w:pPr>
    </w:p>
    <w:p>
      <w:pPr>
        <w:sectPr>
          <w:pgSz w:w="11900" w:h="16838" w:orient="portrait"/>
          <w:cols w:equalWidth="0" w:num="2">
            <w:col w:w="2700" w:space="720"/>
            <w:col w:w="6799"/>
          </w:cols>
          <w:pgMar w:left="240" w:top="622"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5"/>
          <w:szCs w:val="15"/>
          <w:color w:val="auto"/>
        </w:rPr>
        <w:t>Credit Suisse</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12 East 49th Street</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New York, New York</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10017</w:t>
      </w:r>
    </w:p>
    <w:p>
      <w:pPr>
        <w:spacing w:after="0" w:line="180" w:lineRule="exact"/>
        <w:rPr>
          <w:sz w:val="20"/>
          <w:szCs w:val="20"/>
          <w:color w:val="auto"/>
        </w:rPr>
      </w:pPr>
    </w:p>
    <w:p>
      <w:pPr>
        <w:sectPr>
          <w:pgSz w:w="11900" w:h="16838" w:orient="portrait"/>
          <w:cols w:equalWidth="0" w:num="2">
            <w:col w:w="5100" w:space="100"/>
            <w:col w:w="5019"/>
          </w:cols>
          <w:pgMar w:left="240" w:top="622"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4"/>
          <w:szCs w:val="14"/>
          <w:color w:val="auto"/>
        </w:rPr>
        <w:t>Eurodollar Lending Office: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Same</w:t>
      </w:r>
    </w:p>
    <w:p>
      <w:pPr>
        <w:sectPr>
          <w:pgSz w:w="11900" w:h="16838" w:orient="portrait"/>
          <w:cols w:equalWidth="0" w:num="1">
            <w:col w:w="10219"/>
          </w:cols>
          <w:pgMar w:left="240" w:top="622" w:right="1440" w:bottom="1440" w:gutter="0" w:footer="0" w:header="0"/>
          <w:type w:val="continuous"/>
        </w:sectPr>
      </w:pPr>
    </w:p>
    <w:p>
      <w:pPr>
        <w:spacing w:after="0" w:line="175"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The Dai-Ichi Kangyo Bank Ltd., New York Branch</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75" w:lineRule="exact"/>
        <w:rPr>
          <w:sz w:val="20"/>
          <w:szCs w:val="20"/>
          <w:color w:val="auto"/>
        </w:rPr>
      </w:pPr>
    </w:p>
    <w:p>
      <w:pPr>
        <w:sectPr>
          <w:pgSz w:w="11900" w:h="16838" w:orient="portrait"/>
          <w:cols w:equalWidth="0" w:num="2">
            <w:col w:w="2980" w:space="440"/>
            <w:col w:w="6799"/>
          </w:cols>
          <w:pgMar w:left="240" w:top="622"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5"/>
          <w:szCs w:val="15"/>
          <w:color w:val="auto"/>
        </w:rPr>
        <w:t>The Dai-Ichi Kangyo Bank</w:t>
      </w:r>
    </w:p>
    <w:p>
      <w:pPr>
        <w:ind w:left="3420"/>
        <w:spacing w:after="0"/>
        <w:rPr>
          <w:sz w:val="20"/>
          <w:szCs w:val="20"/>
          <w:color w:val="auto"/>
        </w:rPr>
      </w:pPr>
      <w:r>
        <w:rPr>
          <w:rFonts w:ascii="Courier New" w:cs="Courier New" w:eastAsia="Courier New" w:hAnsi="Courier New"/>
          <w:sz w:val="15"/>
          <w:szCs w:val="15"/>
          <w:color w:val="auto"/>
        </w:rPr>
        <w:t>One World Trade Center</w:t>
      </w:r>
    </w:p>
    <w:p>
      <w:pPr>
        <w:ind w:left="3420"/>
        <w:spacing w:after="0"/>
        <w:rPr>
          <w:sz w:val="20"/>
          <w:szCs w:val="20"/>
          <w:color w:val="auto"/>
        </w:rPr>
      </w:pPr>
      <w:r>
        <w:rPr>
          <w:rFonts w:ascii="Courier New" w:cs="Courier New" w:eastAsia="Courier New" w:hAnsi="Courier New"/>
          <w:sz w:val="15"/>
          <w:szCs w:val="15"/>
          <w:color w:val="auto"/>
        </w:rPr>
        <w:t>Suite 4911</w:t>
      </w:r>
    </w:p>
    <w:p>
      <w:pPr>
        <w:ind w:left="3420"/>
        <w:spacing w:after="0" w:line="238" w:lineRule="auto"/>
        <w:rPr>
          <w:sz w:val="20"/>
          <w:szCs w:val="20"/>
          <w:color w:val="auto"/>
        </w:rPr>
      </w:pPr>
      <w:r>
        <w:rPr>
          <w:rFonts w:ascii="Courier New" w:cs="Courier New" w:eastAsia="Courier New" w:hAnsi="Courier New"/>
          <w:sz w:val="15"/>
          <w:szCs w:val="15"/>
          <w:color w:val="auto"/>
        </w:rPr>
        <w:t>New York, NY 10048</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Eurodollar Lending Office: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Same</w:t>
      </w:r>
    </w:p>
    <w:p>
      <w:pPr>
        <w:sectPr>
          <w:pgSz w:w="11900" w:h="16838" w:orient="portrait"/>
          <w:cols w:equalWidth="0" w:num="1">
            <w:col w:w="10219"/>
          </w:cols>
          <w:pgMar w:left="240" w:top="622"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Mitsubishi Bank, Limited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75" w:lineRule="exact"/>
        <w:rPr>
          <w:sz w:val="20"/>
          <w:szCs w:val="20"/>
          <w:color w:val="auto"/>
        </w:rPr>
      </w:pPr>
    </w:p>
    <w:p>
      <w:pPr>
        <w:sectPr>
          <w:pgSz w:w="11900" w:h="16838" w:orient="portrait"/>
          <w:cols w:equalWidth="0" w:num="2">
            <w:col w:w="2700" w:space="720"/>
            <w:col w:w="6799"/>
          </w:cols>
          <w:pgMar w:left="240" w:top="622"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5"/>
          <w:szCs w:val="15"/>
          <w:color w:val="auto"/>
        </w:rPr>
        <w:t>The Mitsubishi Bank, Ltd.</w:t>
      </w:r>
    </w:p>
    <w:p>
      <w:pPr>
        <w:ind w:left="3420"/>
        <w:spacing w:after="0"/>
        <w:rPr>
          <w:sz w:val="20"/>
          <w:szCs w:val="20"/>
          <w:color w:val="auto"/>
        </w:rPr>
      </w:pPr>
      <w:r>
        <w:rPr>
          <w:rFonts w:ascii="Courier New" w:cs="Courier New" w:eastAsia="Courier New" w:hAnsi="Courier New"/>
          <w:sz w:val="15"/>
          <w:szCs w:val="15"/>
          <w:color w:val="auto"/>
        </w:rPr>
        <w:t>New York Branch</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Two World Financial Center</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225 Liberty Street</w:t>
      </w:r>
    </w:p>
    <w:p>
      <w:pPr>
        <w:ind w:left="3420"/>
        <w:spacing w:after="0"/>
        <w:rPr>
          <w:sz w:val="20"/>
          <w:szCs w:val="20"/>
          <w:color w:val="auto"/>
        </w:rPr>
      </w:pPr>
      <w:r>
        <w:rPr>
          <w:rFonts w:ascii="Courier New" w:cs="Courier New" w:eastAsia="Courier New" w:hAnsi="Courier New"/>
          <w:sz w:val="15"/>
          <w:szCs w:val="15"/>
          <w:color w:val="auto"/>
        </w:rPr>
        <w:t>New York, New York 10281</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Eurodollar Lending Office: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Same</w:t>
      </w:r>
    </w:p>
    <w:p>
      <w:pPr>
        <w:spacing w:after="0" w:line="200" w:lineRule="exact"/>
        <w:rPr>
          <w:sz w:val="20"/>
          <w:szCs w:val="20"/>
          <w:color w:val="auto"/>
        </w:rPr>
      </w:pPr>
    </w:p>
    <w:p>
      <w:pPr>
        <w:spacing w:after="0" w:line="30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I-6</w:t>
      </w:r>
    </w:p>
    <w:p>
      <w:pPr>
        <w:sectPr>
          <w:pgSz w:w="11900" w:h="16838" w:orient="portrait"/>
          <w:cols w:equalWidth="0" w:num="1">
            <w:col w:w="10219"/>
          </w:cols>
          <w:pgMar w:left="240" w:top="622" w:right="1440" w:bottom="1440" w:gutter="0" w:footer="0" w:header="0"/>
          <w:type w:val="continuous"/>
        </w:sectPr>
      </w:pPr>
    </w:p>
    <w:bookmarkStart w:id="227" w:name="page228"/>
    <w:bookmarkEnd w:id="227"/>
    <w:p>
      <w:pPr>
        <w:spacing w:after="0"/>
        <w:rPr>
          <w:sz w:val="20"/>
          <w:szCs w:val="20"/>
          <w:color w:val="auto"/>
        </w:rPr>
      </w:pPr>
      <w:r>
        <w:rPr>
          <w:rFonts w:ascii="Courier New" w:cs="Courier New" w:eastAsia="Courier New" w:hAnsi="Courier New"/>
          <w:sz w:val="15"/>
          <w:szCs w:val="15"/>
          <w:color w:val="auto"/>
        </w:rPr>
        <w:t>Bank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Mitsubishi Trust &amp; Banking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Corporation</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80" w:lineRule="exact"/>
        <w:rPr>
          <w:sz w:val="20"/>
          <w:szCs w:val="20"/>
          <w:color w:val="auto"/>
        </w:rPr>
      </w:pPr>
    </w:p>
    <w:p>
      <w:pPr>
        <w:sectPr>
          <w:pgSz w:w="11900" w:h="16838" w:orient="portrait"/>
          <w:cols w:equalWidth="0" w:num="2">
            <w:col w:w="2700" w:space="720"/>
            <w:col w:w="6799"/>
          </w:cols>
          <w:pgMar w:left="240" w:top="622" w:right="1440" w:bottom="1440" w:gutter="0" w:footer="0" w:header="0"/>
        </w:sectPr>
      </w:pPr>
    </w:p>
    <w:p>
      <w:pPr>
        <w:ind w:left="3420"/>
        <w:spacing w:after="0"/>
        <w:rPr>
          <w:sz w:val="20"/>
          <w:szCs w:val="20"/>
          <w:color w:val="auto"/>
        </w:rPr>
      </w:pPr>
      <w:r>
        <w:rPr>
          <w:rFonts w:ascii="Courier New" w:cs="Courier New" w:eastAsia="Courier New" w:hAnsi="Courier New"/>
          <w:sz w:val="14"/>
          <w:szCs w:val="14"/>
          <w:color w:val="auto"/>
        </w:rPr>
        <w:t>The Mitsubishi Trust &amp; Banking</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Corp.</w:t>
      </w:r>
    </w:p>
    <w:p>
      <w:pPr>
        <w:ind w:left="3420"/>
        <w:spacing w:after="0"/>
        <w:rPr>
          <w:sz w:val="20"/>
          <w:szCs w:val="20"/>
          <w:color w:val="auto"/>
        </w:rPr>
      </w:pPr>
      <w:r>
        <w:rPr>
          <w:rFonts w:ascii="Courier New" w:cs="Courier New" w:eastAsia="Courier New" w:hAnsi="Courier New"/>
          <w:sz w:val="15"/>
          <w:szCs w:val="15"/>
          <w:color w:val="auto"/>
        </w:rPr>
        <w:t>520 Madison Avenue</w:t>
      </w:r>
    </w:p>
    <w:p>
      <w:pPr>
        <w:ind w:left="3420"/>
        <w:spacing w:after="0"/>
        <w:rPr>
          <w:sz w:val="20"/>
          <w:szCs w:val="20"/>
          <w:color w:val="auto"/>
        </w:rPr>
      </w:pPr>
      <w:r>
        <w:rPr>
          <w:rFonts w:ascii="Courier New" w:cs="Courier New" w:eastAsia="Courier New" w:hAnsi="Courier New"/>
          <w:sz w:val="15"/>
          <w:szCs w:val="15"/>
          <w:color w:val="auto"/>
        </w:rPr>
        <w:t>26th Floor</w:t>
      </w:r>
    </w:p>
    <w:p>
      <w:pPr>
        <w:ind w:left="3420"/>
        <w:spacing w:after="0" w:line="238" w:lineRule="auto"/>
        <w:rPr>
          <w:sz w:val="20"/>
          <w:szCs w:val="20"/>
          <w:color w:val="auto"/>
        </w:rPr>
      </w:pPr>
      <w:r>
        <w:rPr>
          <w:rFonts w:ascii="Courier New" w:cs="Courier New" w:eastAsia="Courier New" w:hAnsi="Courier New"/>
          <w:sz w:val="15"/>
          <w:szCs w:val="15"/>
          <w:color w:val="auto"/>
        </w:rPr>
        <w:t>New York, NY 10022</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Eurodollar Lending Office: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Same</w:t>
      </w:r>
    </w:p>
    <w:p>
      <w:pPr>
        <w:sectPr>
          <w:pgSz w:w="11900" w:h="16838" w:orient="portrait"/>
          <w:cols w:equalWidth="0" w:num="1">
            <w:col w:w="10219"/>
          </w:cols>
          <w:pgMar w:left="240" w:top="622"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Royal Bank of Canada</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75" w:lineRule="exact"/>
        <w:rPr>
          <w:sz w:val="20"/>
          <w:szCs w:val="20"/>
          <w:color w:val="auto"/>
        </w:rPr>
      </w:pPr>
    </w:p>
    <w:p>
      <w:pPr>
        <w:sectPr>
          <w:pgSz w:w="11900" w:h="16838" w:orient="portrait"/>
          <w:cols w:equalWidth="0" w:num="2">
            <w:col w:w="2700" w:space="720"/>
            <w:col w:w="6799"/>
          </w:cols>
          <w:pgMar w:left="240" w:top="622"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5"/>
          <w:szCs w:val="15"/>
          <w:color w:val="auto"/>
        </w:rPr>
        <w:t>Royal Bank of Canada</w:t>
      </w:r>
    </w:p>
    <w:p>
      <w:pPr>
        <w:ind w:left="3420"/>
        <w:spacing w:after="0"/>
        <w:rPr>
          <w:sz w:val="20"/>
          <w:szCs w:val="20"/>
          <w:color w:val="auto"/>
        </w:rPr>
      </w:pPr>
      <w:r>
        <w:rPr>
          <w:rFonts w:ascii="Courier New" w:cs="Courier New" w:eastAsia="Courier New" w:hAnsi="Courier New"/>
          <w:sz w:val="15"/>
          <w:szCs w:val="15"/>
          <w:color w:val="auto"/>
        </w:rPr>
        <w:t>New York Branch</w:t>
      </w:r>
    </w:p>
    <w:p>
      <w:pPr>
        <w:ind w:left="3420"/>
        <w:spacing w:after="0"/>
        <w:rPr>
          <w:sz w:val="20"/>
          <w:szCs w:val="20"/>
          <w:color w:val="auto"/>
        </w:rPr>
      </w:pPr>
      <w:r>
        <w:rPr>
          <w:rFonts w:ascii="Courier New" w:cs="Courier New" w:eastAsia="Courier New" w:hAnsi="Courier New"/>
          <w:sz w:val="15"/>
          <w:szCs w:val="15"/>
          <w:color w:val="auto"/>
        </w:rPr>
        <w:t>c/o Royal Bank of Canada</w:t>
      </w:r>
    </w:p>
    <w:p>
      <w:pPr>
        <w:ind w:left="3420"/>
        <w:spacing w:after="0" w:line="238" w:lineRule="auto"/>
        <w:rPr>
          <w:sz w:val="20"/>
          <w:szCs w:val="20"/>
          <w:color w:val="auto"/>
        </w:rPr>
      </w:pPr>
      <w:r>
        <w:rPr>
          <w:rFonts w:ascii="Courier New" w:cs="Courier New" w:eastAsia="Courier New" w:hAnsi="Courier New"/>
          <w:sz w:val="15"/>
          <w:szCs w:val="15"/>
          <w:color w:val="auto"/>
        </w:rPr>
        <w:t>New York Operations Center</w:t>
      </w:r>
    </w:p>
    <w:p>
      <w:pPr>
        <w:ind w:left="3420"/>
        <w:spacing w:after="0"/>
        <w:rPr>
          <w:sz w:val="20"/>
          <w:szCs w:val="20"/>
          <w:color w:val="auto"/>
        </w:rPr>
      </w:pPr>
      <w:r>
        <w:rPr>
          <w:rFonts w:ascii="Courier New" w:cs="Courier New" w:eastAsia="Courier New" w:hAnsi="Courier New"/>
          <w:sz w:val="15"/>
          <w:szCs w:val="15"/>
          <w:color w:val="auto"/>
        </w:rPr>
        <w:t>Pierrepont Plaza</w:t>
      </w:r>
    </w:p>
    <w:p>
      <w:pPr>
        <w:ind w:left="3420"/>
        <w:spacing w:after="0"/>
        <w:rPr>
          <w:sz w:val="20"/>
          <w:szCs w:val="20"/>
          <w:color w:val="auto"/>
        </w:rPr>
      </w:pPr>
      <w:r>
        <w:rPr>
          <w:rFonts w:ascii="Courier New" w:cs="Courier New" w:eastAsia="Courier New" w:hAnsi="Courier New"/>
          <w:sz w:val="15"/>
          <w:szCs w:val="15"/>
          <w:color w:val="auto"/>
        </w:rPr>
        <w:t>300 Cadman Plaza West</w:t>
      </w:r>
    </w:p>
    <w:p>
      <w:pPr>
        <w:spacing w:after="0" w:line="4"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Brooklyn, New York 11201-2701</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Eurodollar Lending Office: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Same</w:t>
      </w:r>
    </w:p>
    <w:p>
      <w:pPr>
        <w:sectPr>
          <w:pgSz w:w="11900" w:h="16838" w:orient="portrait"/>
          <w:cols w:equalWidth="0" w:num="1">
            <w:col w:w="10219"/>
          </w:cols>
          <w:pgMar w:left="240" w:top="622"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Sanwa Bank, Ltd.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75" w:lineRule="exact"/>
        <w:rPr>
          <w:sz w:val="20"/>
          <w:szCs w:val="20"/>
          <w:color w:val="auto"/>
        </w:rPr>
      </w:pPr>
    </w:p>
    <w:p>
      <w:pPr>
        <w:sectPr>
          <w:pgSz w:w="11900" w:h="16838" w:orient="portrait"/>
          <w:cols w:equalWidth="0" w:num="2">
            <w:col w:w="2700" w:space="720"/>
            <w:col w:w="6799"/>
          </w:cols>
          <w:pgMar w:left="240" w:top="622"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5"/>
          <w:szCs w:val="15"/>
          <w:color w:val="auto"/>
        </w:rPr>
        <w:t>The Sanwa Bank, Ltd.</w:t>
      </w:r>
    </w:p>
    <w:p>
      <w:pPr>
        <w:ind w:left="3420"/>
        <w:spacing w:after="0"/>
        <w:rPr>
          <w:sz w:val="20"/>
          <w:szCs w:val="20"/>
          <w:color w:val="auto"/>
        </w:rPr>
      </w:pPr>
      <w:r>
        <w:rPr>
          <w:rFonts w:ascii="Courier New" w:cs="Courier New" w:eastAsia="Courier New" w:hAnsi="Courier New"/>
          <w:sz w:val="15"/>
          <w:szCs w:val="15"/>
          <w:color w:val="auto"/>
        </w:rPr>
        <w:t>Park Avenue Plaza</w:t>
      </w:r>
    </w:p>
    <w:p>
      <w:pPr>
        <w:ind w:left="3420"/>
        <w:spacing w:after="0"/>
        <w:rPr>
          <w:sz w:val="20"/>
          <w:szCs w:val="20"/>
          <w:color w:val="auto"/>
        </w:rPr>
      </w:pPr>
      <w:r>
        <w:rPr>
          <w:rFonts w:ascii="Courier New" w:cs="Courier New" w:eastAsia="Courier New" w:hAnsi="Courier New"/>
          <w:sz w:val="15"/>
          <w:szCs w:val="15"/>
          <w:color w:val="auto"/>
        </w:rPr>
        <w:t>55 East 52nd Street</w:t>
      </w:r>
    </w:p>
    <w:p>
      <w:pPr>
        <w:ind w:left="3420"/>
        <w:spacing w:after="0" w:line="238" w:lineRule="auto"/>
        <w:rPr>
          <w:sz w:val="20"/>
          <w:szCs w:val="20"/>
          <w:color w:val="auto"/>
        </w:rPr>
      </w:pPr>
      <w:r>
        <w:rPr>
          <w:rFonts w:ascii="Courier New" w:cs="Courier New" w:eastAsia="Courier New" w:hAnsi="Courier New"/>
          <w:sz w:val="15"/>
          <w:szCs w:val="15"/>
          <w:color w:val="auto"/>
        </w:rPr>
        <w:t>24th Floor</w:t>
      </w:r>
    </w:p>
    <w:p>
      <w:pPr>
        <w:ind w:left="3420"/>
        <w:spacing w:after="0"/>
        <w:rPr>
          <w:sz w:val="20"/>
          <w:szCs w:val="20"/>
          <w:color w:val="auto"/>
        </w:rPr>
      </w:pPr>
      <w:r>
        <w:rPr>
          <w:rFonts w:ascii="Courier New" w:cs="Courier New" w:eastAsia="Courier New" w:hAnsi="Courier New"/>
          <w:sz w:val="15"/>
          <w:szCs w:val="15"/>
          <w:color w:val="auto"/>
        </w:rPr>
        <w:t>New York, New York 10055</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Eurodollar Lending Office: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Same</w:t>
      </w:r>
    </w:p>
    <w:p>
      <w:pPr>
        <w:spacing w:after="0" w:line="200" w:lineRule="exact"/>
        <w:rPr>
          <w:sz w:val="20"/>
          <w:szCs w:val="20"/>
          <w:color w:val="auto"/>
        </w:rPr>
      </w:pPr>
    </w:p>
    <w:p>
      <w:pPr>
        <w:spacing w:after="0" w:line="30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I-7</w:t>
      </w:r>
    </w:p>
    <w:p>
      <w:pPr>
        <w:sectPr>
          <w:pgSz w:w="11900" w:h="16838" w:orient="portrait"/>
          <w:cols w:equalWidth="0" w:num="1">
            <w:col w:w="10219"/>
          </w:cols>
          <w:pgMar w:left="240" w:top="622" w:right="1440" w:bottom="1440" w:gutter="0" w:footer="0" w:header="0"/>
          <w:type w:val="continuous"/>
        </w:sectPr>
      </w:pPr>
    </w:p>
    <w:bookmarkStart w:id="228" w:name="page229"/>
    <w:bookmarkEnd w:id="228"/>
    <w:p>
      <w:pPr>
        <w:spacing w:after="0"/>
        <w:rPr>
          <w:sz w:val="20"/>
          <w:szCs w:val="20"/>
          <w:color w:val="auto"/>
        </w:rPr>
      </w:pPr>
      <w:r>
        <w:rPr>
          <w:rFonts w:ascii="Courier New" w:cs="Courier New" w:eastAsia="Courier New" w:hAnsi="Courier New"/>
          <w:sz w:val="15"/>
          <w:szCs w:val="15"/>
          <w:color w:val="auto"/>
        </w:rPr>
        <w:t>Bank</w:t>
      </w:r>
    </w:p>
    <w:p>
      <w:pPr>
        <w:spacing w:after="0"/>
        <w:tabs>
          <w:tab w:leader="none" w:pos="3400" w:val="left"/>
        </w:tabs>
        <w:rPr>
          <w:sz w:val="20"/>
          <w:szCs w:val="20"/>
          <w:color w:val="auto"/>
        </w:rPr>
      </w:pPr>
      <w:r>
        <w:rPr>
          <w:rFonts w:ascii="Courier New" w:cs="Courier New" w:eastAsia="Courier New" w:hAnsi="Courier New"/>
          <w:sz w:val="15"/>
          <w:szCs w:val="15"/>
          <w:color w:val="auto"/>
        </w:rPr>
        <w:t>The Sumitomo Bank, Limited, New York</w:t>
      </w:r>
      <w:r>
        <w:rPr>
          <w:sz w:val="20"/>
          <w:szCs w:val="20"/>
          <w:color w:val="auto"/>
        </w:rPr>
        <w:tab/>
      </w:r>
      <w:r>
        <w:rPr>
          <w:rFonts w:ascii="Courier New" w:cs="Courier New" w:eastAsia="Courier New" w:hAnsi="Courier New"/>
          <w:sz w:val="14"/>
          <w:szCs w:val="14"/>
          <w:color w:val="auto"/>
        </w:rPr>
        <w:t>Domestic Lending Office:</w:t>
      </w:r>
    </w:p>
    <w:p>
      <w:pPr>
        <w:spacing w:after="0"/>
        <w:rPr>
          <w:sz w:val="20"/>
          <w:szCs w:val="20"/>
          <w:color w:val="auto"/>
        </w:rPr>
      </w:pPr>
      <w:r>
        <w:rPr>
          <w:rFonts w:ascii="Courier New" w:cs="Courier New" w:eastAsia="Courier New" w:hAnsi="Courier New"/>
          <w:sz w:val="15"/>
          <w:szCs w:val="15"/>
          <w:color w:val="auto"/>
        </w:rPr>
        <w:t>Branch</w:t>
      </w:r>
    </w:p>
    <w:p>
      <w:pPr>
        <w:spacing w:after="0" w:line="4"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The Sumitomo Bank, Limited, New</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York Branch</w:t>
      </w:r>
    </w:p>
    <w:p>
      <w:pPr>
        <w:ind w:left="3420"/>
        <w:spacing w:after="0"/>
        <w:rPr>
          <w:sz w:val="20"/>
          <w:szCs w:val="20"/>
          <w:color w:val="auto"/>
        </w:rPr>
      </w:pPr>
      <w:r>
        <w:rPr>
          <w:rFonts w:ascii="Courier New" w:cs="Courier New" w:eastAsia="Courier New" w:hAnsi="Courier New"/>
          <w:sz w:val="15"/>
          <w:szCs w:val="15"/>
          <w:color w:val="auto"/>
        </w:rPr>
        <w:t>One World Trade Center</w:t>
      </w:r>
    </w:p>
    <w:p>
      <w:pPr>
        <w:ind w:left="3420"/>
        <w:spacing w:after="0"/>
        <w:rPr>
          <w:sz w:val="20"/>
          <w:szCs w:val="20"/>
          <w:color w:val="auto"/>
        </w:rPr>
      </w:pPr>
      <w:r>
        <w:rPr>
          <w:rFonts w:ascii="Courier New" w:cs="Courier New" w:eastAsia="Courier New" w:hAnsi="Courier New"/>
          <w:sz w:val="15"/>
          <w:szCs w:val="15"/>
          <w:color w:val="auto"/>
        </w:rPr>
        <w:t>Suite 9651</w:t>
      </w:r>
    </w:p>
    <w:p>
      <w:pPr>
        <w:ind w:left="3420"/>
        <w:spacing w:after="0" w:line="238" w:lineRule="auto"/>
        <w:rPr>
          <w:sz w:val="20"/>
          <w:szCs w:val="20"/>
          <w:color w:val="auto"/>
        </w:rPr>
      </w:pPr>
      <w:r>
        <w:rPr>
          <w:rFonts w:ascii="Courier New" w:cs="Courier New" w:eastAsia="Courier New" w:hAnsi="Courier New"/>
          <w:sz w:val="15"/>
          <w:szCs w:val="15"/>
          <w:color w:val="auto"/>
        </w:rPr>
        <w:t>New York, NY 10048</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Eurodollar Lending Office: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Same</w:t>
      </w:r>
    </w:p>
    <w:p>
      <w:pPr>
        <w:sectPr>
          <w:pgSz w:w="11900" w:h="16838" w:orient="portrait"/>
          <w:cols w:equalWidth="0" w:num="1">
            <w:col w:w="10219"/>
          </w:cols>
          <w:pgMar w:left="240" w:top="622"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Union Bank of Switzerland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75" w:lineRule="exact"/>
        <w:rPr>
          <w:sz w:val="20"/>
          <w:szCs w:val="20"/>
          <w:color w:val="auto"/>
        </w:rPr>
      </w:pPr>
    </w:p>
    <w:p>
      <w:pPr>
        <w:sectPr>
          <w:pgSz w:w="11900" w:h="16838" w:orient="portrait"/>
          <w:cols w:equalWidth="0" w:num="2">
            <w:col w:w="2700" w:space="720"/>
            <w:col w:w="6799"/>
          </w:cols>
          <w:pgMar w:left="240" w:top="622"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5"/>
          <w:szCs w:val="15"/>
          <w:color w:val="auto"/>
        </w:rPr>
        <w:t>Union Bank of Switzerland</w:t>
      </w:r>
    </w:p>
    <w:p>
      <w:pPr>
        <w:ind w:left="3420"/>
        <w:spacing w:after="0"/>
        <w:rPr>
          <w:sz w:val="20"/>
          <w:szCs w:val="20"/>
          <w:color w:val="auto"/>
        </w:rPr>
      </w:pPr>
      <w:r>
        <w:rPr>
          <w:rFonts w:ascii="Courier New" w:cs="Courier New" w:eastAsia="Courier New" w:hAnsi="Courier New"/>
          <w:sz w:val="15"/>
          <w:szCs w:val="15"/>
          <w:color w:val="auto"/>
        </w:rPr>
        <w:t>299 Park Avenue</w:t>
      </w:r>
    </w:p>
    <w:p>
      <w:pPr>
        <w:ind w:left="3420"/>
        <w:spacing w:after="0"/>
        <w:rPr>
          <w:sz w:val="20"/>
          <w:szCs w:val="20"/>
          <w:color w:val="auto"/>
        </w:rPr>
      </w:pPr>
      <w:r>
        <w:rPr>
          <w:rFonts w:ascii="Courier New" w:cs="Courier New" w:eastAsia="Courier New" w:hAnsi="Courier New"/>
          <w:sz w:val="15"/>
          <w:szCs w:val="15"/>
          <w:color w:val="auto"/>
        </w:rPr>
        <w:t>33rd Floor</w:t>
      </w:r>
    </w:p>
    <w:p>
      <w:pPr>
        <w:ind w:left="3420"/>
        <w:spacing w:after="0" w:line="238" w:lineRule="auto"/>
        <w:rPr>
          <w:sz w:val="20"/>
          <w:szCs w:val="20"/>
          <w:color w:val="auto"/>
        </w:rPr>
      </w:pPr>
      <w:r>
        <w:rPr>
          <w:rFonts w:ascii="Courier New" w:cs="Courier New" w:eastAsia="Courier New" w:hAnsi="Courier New"/>
          <w:sz w:val="15"/>
          <w:szCs w:val="15"/>
          <w:color w:val="auto"/>
        </w:rPr>
        <w:t>New York, NY 10171</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Eurodollar Lending Office: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Same</w:t>
      </w:r>
    </w:p>
    <w:p>
      <w:pPr>
        <w:sectPr>
          <w:pgSz w:w="11900" w:h="16838" w:orient="portrait"/>
          <w:cols w:equalWidth="0" w:num="1">
            <w:col w:w="10219"/>
          </w:cols>
          <w:pgMar w:left="240" w:top="622"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Chemical Bank</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75" w:lineRule="exact"/>
        <w:rPr>
          <w:sz w:val="20"/>
          <w:szCs w:val="20"/>
          <w:color w:val="auto"/>
        </w:rPr>
      </w:pPr>
    </w:p>
    <w:p>
      <w:pPr>
        <w:sectPr>
          <w:pgSz w:w="11900" w:h="16838" w:orient="portrait"/>
          <w:cols w:equalWidth="0" w:num="2">
            <w:col w:w="2700" w:space="720"/>
            <w:col w:w="6799"/>
          </w:cols>
          <w:pgMar w:left="240" w:top="622"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5"/>
          <w:szCs w:val="15"/>
          <w:color w:val="auto"/>
        </w:rPr>
        <w:t>Chemical Bank</w:t>
      </w:r>
    </w:p>
    <w:p>
      <w:pPr>
        <w:ind w:left="3420"/>
        <w:spacing w:after="0"/>
        <w:rPr>
          <w:sz w:val="20"/>
          <w:szCs w:val="20"/>
          <w:color w:val="auto"/>
        </w:rPr>
      </w:pPr>
      <w:r>
        <w:rPr>
          <w:rFonts w:ascii="Courier New" w:cs="Courier New" w:eastAsia="Courier New" w:hAnsi="Courier New"/>
          <w:sz w:val="15"/>
          <w:szCs w:val="15"/>
          <w:color w:val="auto"/>
        </w:rPr>
        <w:t>270 Park Avenue</w:t>
      </w:r>
    </w:p>
    <w:p>
      <w:pPr>
        <w:ind w:left="3420"/>
        <w:spacing w:after="0"/>
        <w:rPr>
          <w:sz w:val="20"/>
          <w:szCs w:val="20"/>
          <w:color w:val="auto"/>
        </w:rPr>
      </w:pPr>
      <w:r>
        <w:rPr>
          <w:rFonts w:ascii="Courier New" w:cs="Courier New" w:eastAsia="Courier New" w:hAnsi="Courier New"/>
          <w:sz w:val="15"/>
          <w:szCs w:val="15"/>
          <w:color w:val="auto"/>
        </w:rPr>
        <w:t>10th Floor</w:t>
      </w:r>
    </w:p>
    <w:p>
      <w:pPr>
        <w:ind w:left="3420"/>
        <w:spacing w:after="0" w:line="238" w:lineRule="auto"/>
        <w:rPr>
          <w:sz w:val="20"/>
          <w:szCs w:val="20"/>
          <w:color w:val="auto"/>
        </w:rPr>
      </w:pPr>
      <w:r>
        <w:rPr>
          <w:rFonts w:ascii="Courier New" w:cs="Courier New" w:eastAsia="Courier New" w:hAnsi="Courier New"/>
          <w:sz w:val="15"/>
          <w:szCs w:val="15"/>
          <w:color w:val="auto"/>
        </w:rPr>
        <w:t>New York, New York 10172</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Eurodollar Lending Office: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Same</w:t>
      </w:r>
    </w:p>
    <w:p>
      <w:pPr>
        <w:sectPr>
          <w:pgSz w:w="11900" w:h="16838" w:orient="portrait"/>
          <w:cols w:equalWidth="0" w:num="1">
            <w:col w:w="10219"/>
          </w:cols>
          <w:pgMar w:left="240" w:top="622"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Deutsche Bank AG</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pacing w:after="0" w:line="175" w:lineRule="exact"/>
        <w:rPr>
          <w:sz w:val="20"/>
          <w:szCs w:val="20"/>
          <w:color w:val="auto"/>
        </w:rPr>
      </w:pPr>
    </w:p>
    <w:p>
      <w:pPr>
        <w:sectPr>
          <w:pgSz w:w="11900" w:h="16838" w:orient="portrait"/>
          <w:cols w:equalWidth="0" w:num="2">
            <w:col w:w="2700" w:space="720"/>
            <w:col w:w="6799"/>
          </w:cols>
          <w:pgMar w:left="240" w:top="622"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5"/>
          <w:szCs w:val="15"/>
          <w:color w:val="auto"/>
        </w:rPr>
        <w:t>Deutsche Bank</w:t>
      </w:r>
    </w:p>
    <w:p>
      <w:pPr>
        <w:ind w:left="3420"/>
        <w:spacing w:after="0"/>
        <w:rPr>
          <w:sz w:val="20"/>
          <w:szCs w:val="20"/>
          <w:color w:val="auto"/>
        </w:rPr>
      </w:pPr>
      <w:r>
        <w:rPr>
          <w:rFonts w:ascii="Courier New" w:cs="Courier New" w:eastAsia="Courier New" w:hAnsi="Courier New"/>
          <w:sz w:val="15"/>
          <w:szCs w:val="15"/>
          <w:color w:val="auto"/>
        </w:rPr>
        <w:t>31 West 52nd Street</w:t>
      </w:r>
    </w:p>
    <w:p>
      <w:pPr>
        <w:ind w:left="3420"/>
        <w:spacing w:after="0"/>
        <w:rPr>
          <w:sz w:val="20"/>
          <w:szCs w:val="20"/>
          <w:color w:val="auto"/>
        </w:rPr>
      </w:pPr>
      <w:r>
        <w:rPr>
          <w:rFonts w:ascii="Courier New" w:cs="Courier New" w:eastAsia="Courier New" w:hAnsi="Courier New"/>
          <w:sz w:val="15"/>
          <w:szCs w:val="15"/>
          <w:color w:val="auto"/>
        </w:rPr>
        <w:t>24th Floor</w:t>
      </w:r>
    </w:p>
    <w:p>
      <w:pPr>
        <w:ind w:left="3420"/>
        <w:spacing w:after="0" w:line="238" w:lineRule="auto"/>
        <w:rPr>
          <w:sz w:val="20"/>
          <w:szCs w:val="20"/>
          <w:color w:val="auto"/>
        </w:rPr>
      </w:pPr>
      <w:r>
        <w:rPr>
          <w:rFonts w:ascii="Courier New" w:cs="Courier New" w:eastAsia="Courier New" w:hAnsi="Courier New"/>
          <w:sz w:val="15"/>
          <w:szCs w:val="15"/>
          <w:color w:val="auto"/>
        </w:rPr>
        <w:t>New York, New York 10019</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Eurodollar Lending Office: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Same</w:t>
      </w:r>
    </w:p>
    <w:p>
      <w:pPr>
        <w:spacing w:after="0" w:line="200" w:lineRule="exact"/>
        <w:rPr>
          <w:sz w:val="20"/>
          <w:szCs w:val="20"/>
          <w:color w:val="auto"/>
        </w:rPr>
      </w:pPr>
    </w:p>
    <w:p>
      <w:pPr>
        <w:spacing w:after="0" w:line="30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I-8</w:t>
      </w:r>
    </w:p>
    <w:p>
      <w:pPr>
        <w:sectPr>
          <w:pgSz w:w="11900" w:h="16838" w:orient="portrait"/>
          <w:cols w:equalWidth="0" w:num="1">
            <w:col w:w="10219"/>
          </w:cols>
          <w:pgMar w:left="240" w:top="622" w:right="1440" w:bottom="1440" w:gutter="0" w:footer="0" w:header="0"/>
          <w:type w:val="continuous"/>
        </w:sectPr>
      </w:pPr>
    </w:p>
    <w:bookmarkStart w:id="229" w:name="page230"/>
    <w:bookmarkEnd w:id="229"/>
    <w:p>
      <w:pPr>
        <w:spacing w:after="0"/>
        <w:rPr>
          <w:sz w:val="20"/>
          <w:szCs w:val="20"/>
          <w:color w:val="auto"/>
        </w:rPr>
      </w:pPr>
      <w:r>
        <w:rPr>
          <w:rFonts w:ascii="Courier New" w:cs="Courier New" w:eastAsia="Courier New" w:hAnsi="Courier New"/>
          <w:sz w:val="15"/>
          <w:szCs w:val="15"/>
          <w:color w:val="auto"/>
        </w:rPr>
        <w:t>Bank</w:t>
      </w:r>
    </w:p>
    <w:p>
      <w:pPr>
        <w:spacing w:after="0"/>
        <w:rPr>
          <w:sz w:val="20"/>
          <w:szCs w:val="20"/>
          <w:color w:val="auto"/>
        </w:rPr>
      </w:pPr>
      <w:r>
        <w:rPr>
          <w:rFonts w:ascii="Courier New" w:cs="Courier New" w:eastAsia="Courier New" w:hAnsi="Courier New"/>
          <w:sz w:val="15"/>
          <w:szCs w:val="15"/>
          <w:color w:val="auto"/>
        </w:rPr>
        <w:t>The Sakura Bank,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780"/>
        <w:spacing w:after="0" w:line="260" w:lineRule="auto"/>
        <w:rPr>
          <w:sz w:val="20"/>
          <w:szCs w:val="20"/>
          <w:color w:val="auto"/>
        </w:rPr>
      </w:pPr>
      <w:r>
        <w:rPr>
          <w:rFonts w:ascii="Courier New" w:cs="Courier New" w:eastAsia="Courier New" w:hAnsi="Courier New"/>
          <w:sz w:val="14"/>
          <w:szCs w:val="14"/>
          <w:color w:val="auto"/>
        </w:rPr>
        <w:t>Compagnie Financiere de CIC et de l'Union Europeenne, New York Branch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PNC Bank 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First Interstate Bank of Washington, N.A.</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Domestic Lending Office:</w:t>
      </w:r>
    </w:p>
    <w:p>
      <w:pPr>
        <w:spacing w:after="0" w:line="16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The Sakura Bank, Limited,</w:t>
      </w:r>
    </w:p>
    <w:p>
      <w:pPr>
        <w:ind w:left="80"/>
        <w:spacing w:after="0"/>
        <w:rPr>
          <w:sz w:val="20"/>
          <w:szCs w:val="20"/>
          <w:color w:val="auto"/>
        </w:rPr>
      </w:pPr>
      <w:r>
        <w:rPr>
          <w:rFonts w:ascii="Courier New" w:cs="Courier New" w:eastAsia="Courier New" w:hAnsi="Courier New"/>
          <w:sz w:val="15"/>
          <w:szCs w:val="15"/>
          <w:color w:val="auto"/>
        </w:rPr>
        <w:t>New York Branch</w:t>
      </w:r>
    </w:p>
    <w:p>
      <w:pPr>
        <w:ind w:left="80"/>
        <w:spacing w:after="0"/>
        <w:rPr>
          <w:sz w:val="20"/>
          <w:szCs w:val="20"/>
          <w:color w:val="auto"/>
        </w:rPr>
      </w:pPr>
      <w:r>
        <w:rPr>
          <w:rFonts w:ascii="Courier New" w:cs="Courier New" w:eastAsia="Courier New" w:hAnsi="Courier New"/>
          <w:sz w:val="15"/>
          <w:szCs w:val="15"/>
          <w:color w:val="auto"/>
        </w:rPr>
        <w:t>277 Park Avenue</w:t>
      </w:r>
    </w:p>
    <w:p>
      <w:pPr>
        <w:ind w:left="80"/>
        <w:spacing w:after="0" w:line="238" w:lineRule="auto"/>
        <w:rPr>
          <w:sz w:val="20"/>
          <w:szCs w:val="20"/>
          <w:color w:val="auto"/>
        </w:rPr>
      </w:pPr>
      <w:r>
        <w:rPr>
          <w:rFonts w:ascii="Courier New" w:cs="Courier New" w:eastAsia="Courier New" w:hAnsi="Courier New"/>
          <w:sz w:val="15"/>
          <w:szCs w:val="15"/>
          <w:color w:val="auto"/>
        </w:rPr>
        <w:t>45th Floor</w:t>
      </w:r>
    </w:p>
    <w:p>
      <w:pPr>
        <w:ind w:left="80"/>
        <w:spacing w:after="0"/>
        <w:rPr>
          <w:sz w:val="20"/>
          <w:szCs w:val="20"/>
          <w:color w:val="auto"/>
        </w:rPr>
      </w:pPr>
      <w:r>
        <w:rPr>
          <w:rFonts w:ascii="Courier New" w:cs="Courier New" w:eastAsia="Courier New" w:hAnsi="Courier New"/>
          <w:sz w:val="15"/>
          <w:szCs w:val="15"/>
          <w:color w:val="auto"/>
        </w:rPr>
        <w:t>New York, New York 10172</w:t>
      </w:r>
    </w:p>
    <w:p>
      <w:pPr>
        <w:spacing w:after="0" w:line="16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Eurodollar Lending Office:</w:t>
      </w:r>
    </w:p>
    <w:p>
      <w:pPr>
        <w:spacing w:after="0" w:line="16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Same</w:t>
      </w:r>
    </w:p>
    <w:p>
      <w:pPr>
        <w:ind w:left="80"/>
        <w:spacing w:after="0"/>
        <w:rPr>
          <w:sz w:val="20"/>
          <w:szCs w:val="20"/>
          <w:color w:val="auto"/>
        </w:rPr>
      </w:pPr>
      <w:r>
        <w:rPr>
          <w:rFonts w:ascii="Courier New" w:cs="Courier New" w:eastAsia="Courier New" w:hAnsi="Courier New"/>
          <w:sz w:val="15"/>
          <w:szCs w:val="15"/>
          <w:color w:val="auto"/>
        </w:rPr>
        <w:t>Domestic Lending Office:</w:t>
      </w:r>
    </w:p>
    <w:p>
      <w:pPr>
        <w:spacing w:after="0" w:line="16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Compagnie Financiere de CIC</w:t>
      </w:r>
    </w:p>
    <w:p>
      <w:pPr>
        <w:ind w:left="80"/>
        <w:spacing w:after="0"/>
        <w:rPr>
          <w:sz w:val="20"/>
          <w:szCs w:val="20"/>
          <w:color w:val="auto"/>
        </w:rPr>
      </w:pPr>
      <w:r>
        <w:rPr>
          <w:rFonts w:ascii="Courier New" w:cs="Courier New" w:eastAsia="Courier New" w:hAnsi="Courier New"/>
          <w:sz w:val="15"/>
          <w:szCs w:val="15"/>
          <w:color w:val="auto"/>
        </w:rPr>
        <w:t>et de l'Union Europeenne,</w:t>
      </w:r>
    </w:p>
    <w:p>
      <w:pPr>
        <w:ind w:left="80"/>
        <w:spacing w:after="0"/>
        <w:rPr>
          <w:sz w:val="20"/>
          <w:szCs w:val="20"/>
          <w:color w:val="auto"/>
        </w:rPr>
      </w:pPr>
      <w:r>
        <w:rPr>
          <w:rFonts w:ascii="Courier New" w:cs="Courier New" w:eastAsia="Courier New" w:hAnsi="Courier New"/>
          <w:sz w:val="15"/>
          <w:szCs w:val="15"/>
          <w:color w:val="auto"/>
        </w:rPr>
        <w:t>New York Branch</w:t>
      </w:r>
    </w:p>
    <w:p>
      <w:pPr>
        <w:ind w:left="80"/>
        <w:spacing w:after="0" w:line="238" w:lineRule="auto"/>
        <w:rPr>
          <w:sz w:val="20"/>
          <w:szCs w:val="20"/>
          <w:color w:val="auto"/>
        </w:rPr>
      </w:pPr>
      <w:r>
        <w:rPr>
          <w:rFonts w:ascii="Courier New" w:cs="Courier New" w:eastAsia="Courier New" w:hAnsi="Courier New"/>
          <w:sz w:val="15"/>
          <w:szCs w:val="15"/>
          <w:color w:val="auto"/>
        </w:rPr>
        <w:t>520 Madison Avenue</w:t>
      </w:r>
    </w:p>
    <w:p>
      <w:pPr>
        <w:ind w:left="80"/>
        <w:spacing w:after="0"/>
        <w:rPr>
          <w:sz w:val="20"/>
          <w:szCs w:val="20"/>
          <w:color w:val="auto"/>
        </w:rPr>
      </w:pPr>
      <w:r>
        <w:rPr>
          <w:rFonts w:ascii="Courier New" w:cs="Courier New" w:eastAsia="Courier New" w:hAnsi="Courier New"/>
          <w:sz w:val="15"/>
          <w:szCs w:val="15"/>
          <w:color w:val="auto"/>
        </w:rPr>
        <w:t>37th Floor</w:t>
      </w:r>
    </w:p>
    <w:p>
      <w:pPr>
        <w:ind w:left="80"/>
        <w:spacing w:after="0"/>
        <w:rPr>
          <w:sz w:val="20"/>
          <w:szCs w:val="20"/>
          <w:color w:val="auto"/>
        </w:rPr>
      </w:pPr>
      <w:r>
        <w:rPr>
          <w:rFonts w:ascii="Courier New" w:cs="Courier New" w:eastAsia="Courier New" w:hAnsi="Courier New"/>
          <w:sz w:val="15"/>
          <w:szCs w:val="15"/>
          <w:color w:val="auto"/>
        </w:rPr>
        <w:t>New York, New York 10022</w:t>
      </w:r>
    </w:p>
    <w:p>
      <w:pPr>
        <w:spacing w:after="0" w:line="16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Eurodollar Lending Office:</w:t>
      </w:r>
    </w:p>
    <w:p>
      <w:pPr>
        <w:spacing w:after="0" w:line="16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Same</w:t>
      </w:r>
    </w:p>
    <w:p>
      <w:pPr>
        <w:ind w:left="80"/>
        <w:spacing w:after="0"/>
        <w:rPr>
          <w:sz w:val="20"/>
          <w:szCs w:val="20"/>
          <w:color w:val="auto"/>
        </w:rPr>
      </w:pPr>
      <w:r>
        <w:rPr>
          <w:rFonts w:ascii="Courier New" w:cs="Courier New" w:eastAsia="Courier New" w:hAnsi="Courier New"/>
          <w:sz w:val="15"/>
          <w:szCs w:val="15"/>
          <w:color w:val="auto"/>
        </w:rPr>
        <w:t>Domestic Lending Office:</w:t>
      </w:r>
    </w:p>
    <w:p>
      <w:pPr>
        <w:spacing w:after="0" w:line="16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PNC Bank N.A.</w:t>
      </w:r>
    </w:p>
    <w:p>
      <w:pPr>
        <w:ind w:left="80"/>
        <w:spacing w:after="0"/>
        <w:rPr>
          <w:sz w:val="20"/>
          <w:szCs w:val="20"/>
          <w:color w:val="auto"/>
        </w:rPr>
      </w:pPr>
      <w:r>
        <w:rPr>
          <w:rFonts w:ascii="Courier New" w:cs="Courier New" w:eastAsia="Courier New" w:hAnsi="Courier New"/>
          <w:sz w:val="15"/>
          <w:szCs w:val="15"/>
          <w:color w:val="auto"/>
        </w:rPr>
        <w:t>Broad &amp; Chestnut Streets</w:t>
      </w:r>
    </w:p>
    <w:p>
      <w:pPr>
        <w:ind w:left="80"/>
        <w:spacing w:after="0"/>
        <w:rPr>
          <w:sz w:val="20"/>
          <w:szCs w:val="20"/>
          <w:color w:val="auto"/>
        </w:rPr>
      </w:pPr>
      <w:r>
        <w:rPr>
          <w:rFonts w:ascii="Courier New" w:cs="Courier New" w:eastAsia="Courier New" w:hAnsi="Courier New"/>
          <w:sz w:val="15"/>
          <w:szCs w:val="15"/>
          <w:color w:val="auto"/>
        </w:rPr>
        <w:t>P. O. Box 7648</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Philadelphia, Pennsylvania 19101</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Eurodollar Lending Office:</w:t>
      </w:r>
    </w:p>
    <w:p>
      <w:pPr>
        <w:spacing w:after="0" w:line="16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Same</w:t>
      </w:r>
    </w:p>
    <w:p>
      <w:pPr>
        <w:ind w:left="80"/>
        <w:spacing w:after="0"/>
        <w:rPr>
          <w:sz w:val="20"/>
          <w:szCs w:val="20"/>
          <w:color w:val="auto"/>
        </w:rPr>
      </w:pPr>
      <w:r>
        <w:rPr>
          <w:rFonts w:ascii="Courier New" w:cs="Courier New" w:eastAsia="Courier New" w:hAnsi="Courier New"/>
          <w:sz w:val="15"/>
          <w:szCs w:val="15"/>
          <w:color w:val="auto"/>
        </w:rPr>
        <w:t>Domestic Lending Office:</w:t>
      </w:r>
    </w:p>
    <w:p>
      <w:pPr>
        <w:spacing w:after="0" w:line="16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First Interstate Bank of</w:t>
      </w:r>
    </w:p>
    <w:p>
      <w:pPr>
        <w:ind w:left="80"/>
        <w:spacing w:after="0"/>
        <w:rPr>
          <w:sz w:val="20"/>
          <w:szCs w:val="20"/>
          <w:color w:val="auto"/>
        </w:rPr>
      </w:pPr>
      <w:r>
        <w:rPr>
          <w:rFonts w:ascii="Courier New" w:cs="Courier New" w:eastAsia="Courier New" w:hAnsi="Courier New"/>
          <w:sz w:val="15"/>
          <w:szCs w:val="15"/>
          <w:color w:val="auto"/>
        </w:rPr>
        <w:t>Washington, N.A.</w:t>
      </w:r>
    </w:p>
    <w:p>
      <w:pPr>
        <w:ind w:left="80"/>
        <w:spacing w:after="0"/>
        <w:rPr>
          <w:sz w:val="20"/>
          <w:szCs w:val="20"/>
          <w:color w:val="auto"/>
        </w:rPr>
      </w:pPr>
      <w:r>
        <w:rPr>
          <w:rFonts w:ascii="Courier New" w:cs="Courier New" w:eastAsia="Courier New" w:hAnsi="Courier New"/>
          <w:sz w:val="15"/>
          <w:szCs w:val="15"/>
          <w:color w:val="auto"/>
        </w:rPr>
        <w:t>999 Third Avenue</w:t>
      </w:r>
    </w:p>
    <w:p>
      <w:pPr>
        <w:ind w:left="80"/>
        <w:spacing w:after="0" w:line="238" w:lineRule="auto"/>
        <w:rPr>
          <w:sz w:val="20"/>
          <w:szCs w:val="20"/>
          <w:color w:val="auto"/>
        </w:rPr>
      </w:pPr>
      <w:r>
        <w:rPr>
          <w:rFonts w:ascii="Courier New" w:cs="Courier New" w:eastAsia="Courier New" w:hAnsi="Courier New"/>
          <w:sz w:val="15"/>
          <w:szCs w:val="15"/>
          <w:color w:val="auto"/>
        </w:rPr>
        <w:t>Mail Stop 984</w:t>
      </w:r>
    </w:p>
    <w:p>
      <w:pPr>
        <w:ind w:left="80"/>
        <w:spacing w:after="0"/>
        <w:rPr>
          <w:sz w:val="20"/>
          <w:szCs w:val="20"/>
          <w:color w:val="auto"/>
        </w:rPr>
      </w:pPr>
      <w:r>
        <w:rPr>
          <w:rFonts w:ascii="Courier New" w:cs="Courier New" w:eastAsia="Courier New" w:hAnsi="Courier New"/>
          <w:sz w:val="15"/>
          <w:szCs w:val="15"/>
          <w:color w:val="auto"/>
        </w:rPr>
        <w:t>Seattle, Washington 98104</w:t>
      </w:r>
    </w:p>
    <w:p>
      <w:pPr>
        <w:spacing w:after="0" w:line="16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Eurodollar Lending Office:</w:t>
      </w:r>
    </w:p>
    <w:p>
      <w:pPr>
        <w:spacing w:after="0" w:line="16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Same</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I-9</w:t>
      </w:r>
    </w:p>
    <w:p>
      <w:pPr>
        <w:sectPr>
          <w:pgSz w:w="11900" w:h="16838" w:orient="portrait"/>
          <w:cols w:equalWidth="0" w:num="2">
            <w:col w:w="3160" w:space="180"/>
            <w:col w:w="6879"/>
          </w:cols>
          <w:pgMar w:left="240" w:top="622" w:right="1440" w:bottom="1440" w:gutter="0" w:footer="0" w:header="0"/>
        </w:sectPr>
      </w:pPr>
    </w:p>
    <w:bookmarkStart w:id="230" w:name="page231"/>
    <w:bookmarkEnd w:id="230"/>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Gulf International</w:t>
            </w:r>
          </w:p>
        </w:tc>
        <w:tc>
          <w:tcPr>
            <w:tcW w:w="29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Domestic Lending Office:</w:t>
            </w:r>
          </w:p>
        </w:tc>
      </w:tr>
      <w:tr>
        <w:trPr>
          <w:trHeight w:val="339"/>
        </w:trPr>
        <w:tc>
          <w:tcPr>
            <w:tcW w:w="2760" w:type="dxa"/>
            <w:vAlign w:val="bottom"/>
          </w:tcPr>
          <w:p>
            <w:pPr>
              <w:spacing w:after="0"/>
              <w:rPr>
                <w:sz w:val="24"/>
                <w:szCs w:val="24"/>
                <w:color w:val="auto"/>
              </w:rPr>
            </w:pPr>
          </w:p>
        </w:tc>
        <w:tc>
          <w:tcPr>
            <w:tcW w:w="29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Gulf International Bank</w:t>
            </w:r>
          </w:p>
        </w:tc>
      </w:tr>
      <w:tr>
        <w:trPr>
          <w:trHeight w:val="170"/>
        </w:trPr>
        <w:tc>
          <w:tcPr>
            <w:tcW w:w="2760" w:type="dxa"/>
            <w:vAlign w:val="bottom"/>
          </w:tcPr>
          <w:p>
            <w:pPr>
              <w:spacing w:after="0"/>
              <w:rPr>
                <w:sz w:val="14"/>
                <w:szCs w:val="14"/>
                <w:color w:val="auto"/>
              </w:rPr>
            </w:pPr>
          </w:p>
        </w:tc>
        <w:tc>
          <w:tcPr>
            <w:tcW w:w="1020" w:type="dxa"/>
            <w:vAlign w:val="bottom"/>
          </w:tcPr>
          <w:p>
            <w:pPr>
              <w:ind w:left="660"/>
              <w:spacing w:after="0"/>
              <w:rPr>
                <w:sz w:val="20"/>
                <w:szCs w:val="20"/>
                <w:color w:val="auto"/>
              </w:rPr>
            </w:pPr>
            <w:r>
              <w:rPr>
                <w:rFonts w:ascii="Courier New" w:cs="Courier New" w:eastAsia="Courier New" w:hAnsi="Courier New"/>
                <w:sz w:val="15"/>
                <w:szCs w:val="15"/>
                <w:color w:val="auto"/>
              </w:rPr>
              <w:t>380</w:t>
            </w:r>
          </w:p>
        </w:tc>
        <w:tc>
          <w:tcPr>
            <w:tcW w:w="1940" w:type="dxa"/>
            <w:vAlign w:val="bottom"/>
          </w:tcPr>
          <w:p>
            <w:pPr>
              <w:spacing w:after="0"/>
              <w:rPr>
                <w:sz w:val="20"/>
                <w:szCs w:val="20"/>
                <w:color w:val="auto"/>
              </w:rPr>
            </w:pPr>
            <w:r>
              <w:rPr>
                <w:rFonts w:ascii="Courier New" w:cs="Courier New" w:eastAsia="Courier New" w:hAnsi="Courier New"/>
                <w:sz w:val="15"/>
                <w:szCs w:val="15"/>
                <w:color w:val="auto"/>
              </w:rPr>
              <w:t>Madison Avenue</w:t>
            </w:r>
          </w:p>
        </w:tc>
      </w:tr>
      <w:tr>
        <w:trPr>
          <w:trHeight w:val="170"/>
        </w:trPr>
        <w:tc>
          <w:tcPr>
            <w:tcW w:w="2760" w:type="dxa"/>
            <w:vAlign w:val="bottom"/>
          </w:tcPr>
          <w:p>
            <w:pPr>
              <w:spacing w:after="0"/>
              <w:rPr>
                <w:sz w:val="14"/>
                <w:szCs w:val="14"/>
                <w:color w:val="auto"/>
              </w:rPr>
            </w:pPr>
          </w:p>
        </w:tc>
        <w:tc>
          <w:tcPr>
            <w:tcW w:w="29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New York, New York 10017</w:t>
            </w:r>
          </w:p>
        </w:tc>
      </w:tr>
      <w:tr>
        <w:trPr>
          <w:trHeight w:val="339"/>
        </w:trPr>
        <w:tc>
          <w:tcPr>
            <w:tcW w:w="2760" w:type="dxa"/>
            <w:vAlign w:val="bottom"/>
          </w:tcPr>
          <w:p>
            <w:pPr>
              <w:spacing w:after="0"/>
              <w:rPr>
                <w:sz w:val="24"/>
                <w:szCs w:val="24"/>
                <w:color w:val="auto"/>
              </w:rPr>
            </w:pPr>
          </w:p>
        </w:tc>
        <w:tc>
          <w:tcPr>
            <w:tcW w:w="296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7"/>
              </w:rPr>
              <w:t>Eurodollar Lending Office:</w:t>
            </w:r>
          </w:p>
        </w:tc>
      </w:tr>
      <w:tr>
        <w:trPr>
          <w:trHeight w:val="339"/>
        </w:trPr>
        <w:tc>
          <w:tcPr>
            <w:tcW w:w="2760" w:type="dxa"/>
            <w:vAlign w:val="bottom"/>
          </w:tcPr>
          <w:p>
            <w:pPr>
              <w:spacing w:after="0"/>
              <w:rPr>
                <w:sz w:val="24"/>
                <w:szCs w:val="24"/>
                <w:color w:val="auto"/>
              </w:rPr>
            </w:pPr>
          </w:p>
        </w:tc>
        <w:tc>
          <w:tcPr>
            <w:tcW w:w="1020" w:type="dxa"/>
            <w:vAlign w:val="bottom"/>
          </w:tcPr>
          <w:p>
            <w:pPr>
              <w:ind w:left="660"/>
              <w:spacing w:after="0"/>
              <w:rPr>
                <w:sz w:val="20"/>
                <w:szCs w:val="20"/>
                <w:color w:val="auto"/>
              </w:rPr>
            </w:pPr>
            <w:r>
              <w:rPr>
                <w:rFonts w:ascii="Courier New" w:cs="Courier New" w:eastAsia="Courier New" w:hAnsi="Courier New"/>
                <w:sz w:val="15"/>
                <w:szCs w:val="15"/>
                <w:color w:val="auto"/>
                <w:w w:val="94"/>
              </w:rPr>
              <w:t>Same</w:t>
            </w:r>
          </w:p>
        </w:tc>
        <w:tc>
          <w:tcPr>
            <w:tcW w:w="1940" w:type="dxa"/>
            <w:vAlign w:val="bottom"/>
          </w:tcPr>
          <w:p>
            <w:pPr>
              <w:spacing w:after="0"/>
              <w:rPr>
                <w:sz w:val="24"/>
                <w:szCs w:val="24"/>
                <w:color w:val="auto"/>
              </w:rPr>
            </w:pP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The Tokai Bank, Limited,</w:t>
            </w:r>
          </w:p>
        </w:tc>
        <w:tc>
          <w:tcPr>
            <w:tcW w:w="29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Domestic Lending Office:</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New York Branch</w:t>
            </w:r>
          </w:p>
        </w:tc>
        <w:tc>
          <w:tcPr>
            <w:tcW w:w="10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70"/>
        </w:trPr>
        <w:tc>
          <w:tcPr>
            <w:tcW w:w="2760" w:type="dxa"/>
            <w:vAlign w:val="bottom"/>
          </w:tcPr>
          <w:p>
            <w:pPr>
              <w:spacing w:after="0"/>
              <w:rPr>
                <w:sz w:val="14"/>
                <w:szCs w:val="14"/>
                <w:color w:val="auto"/>
              </w:rPr>
            </w:pPr>
          </w:p>
        </w:tc>
        <w:tc>
          <w:tcPr>
            <w:tcW w:w="29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The Tokai Bank, Limited,</w:t>
            </w:r>
          </w:p>
        </w:tc>
      </w:tr>
      <w:tr>
        <w:trPr>
          <w:trHeight w:val="170"/>
        </w:trPr>
        <w:tc>
          <w:tcPr>
            <w:tcW w:w="2760" w:type="dxa"/>
            <w:vAlign w:val="bottom"/>
          </w:tcPr>
          <w:p>
            <w:pPr>
              <w:spacing w:after="0"/>
              <w:rPr>
                <w:sz w:val="14"/>
                <w:szCs w:val="14"/>
                <w:color w:val="auto"/>
              </w:rPr>
            </w:pPr>
          </w:p>
        </w:tc>
        <w:tc>
          <w:tcPr>
            <w:tcW w:w="29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New York Branch</w:t>
            </w:r>
          </w:p>
        </w:tc>
      </w:tr>
      <w:tr>
        <w:trPr>
          <w:trHeight w:val="170"/>
        </w:trPr>
        <w:tc>
          <w:tcPr>
            <w:tcW w:w="2760" w:type="dxa"/>
            <w:vAlign w:val="bottom"/>
          </w:tcPr>
          <w:p>
            <w:pPr>
              <w:spacing w:after="0"/>
              <w:rPr>
                <w:sz w:val="14"/>
                <w:szCs w:val="14"/>
                <w:color w:val="auto"/>
              </w:rPr>
            </w:pPr>
          </w:p>
        </w:tc>
        <w:tc>
          <w:tcPr>
            <w:tcW w:w="29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55 East 52nd Street</w:t>
            </w:r>
          </w:p>
        </w:tc>
      </w:tr>
      <w:tr>
        <w:trPr>
          <w:trHeight w:val="170"/>
        </w:trPr>
        <w:tc>
          <w:tcPr>
            <w:tcW w:w="2760" w:type="dxa"/>
            <w:vAlign w:val="bottom"/>
          </w:tcPr>
          <w:p>
            <w:pPr>
              <w:spacing w:after="0"/>
              <w:rPr>
                <w:sz w:val="14"/>
                <w:szCs w:val="14"/>
                <w:color w:val="auto"/>
              </w:rPr>
            </w:pPr>
          </w:p>
        </w:tc>
        <w:tc>
          <w:tcPr>
            <w:tcW w:w="29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(Park Avenue Plaza)</w:t>
            </w:r>
          </w:p>
        </w:tc>
      </w:tr>
      <w:tr>
        <w:trPr>
          <w:trHeight w:val="170"/>
        </w:trPr>
        <w:tc>
          <w:tcPr>
            <w:tcW w:w="2760" w:type="dxa"/>
            <w:vAlign w:val="bottom"/>
          </w:tcPr>
          <w:p>
            <w:pPr>
              <w:spacing w:after="0"/>
              <w:rPr>
                <w:sz w:val="14"/>
                <w:szCs w:val="14"/>
                <w:color w:val="auto"/>
              </w:rPr>
            </w:pPr>
          </w:p>
        </w:tc>
        <w:tc>
          <w:tcPr>
            <w:tcW w:w="29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New York, New York 10055</w:t>
            </w:r>
          </w:p>
        </w:tc>
      </w:tr>
      <w:tr>
        <w:trPr>
          <w:trHeight w:val="339"/>
        </w:trPr>
        <w:tc>
          <w:tcPr>
            <w:tcW w:w="2760" w:type="dxa"/>
            <w:vAlign w:val="bottom"/>
          </w:tcPr>
          <w:p>
            <w:pPr>
              <w:spacing w:after="0"/>
              <w:rPr>
                <w:sz w:val="24"/>
                <w:szCs w:val="24"/>
                <w:color w:val="auto"/>
              </w:rPr>
            </w:pPr>
          </w:p>
        </w:tc>
        <w:tc>
          <w:tcPr>
            <w:tcW w:w="296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7"/>
              </w:rPr>
              <w:t>Eurodollar Lending Office:</w:t>
            </w:r>
          </w:p>
        </w:tc>
      </w:tr>
      <w:tr>
        <w:trPr>
          <w:trHeight w:val="339"/>
        </w:trPr>
        <w:tc>
          <w:tcPr>
            <w:tcW w:w="2760" w:type="dxa"/>
            <w:vAlign w:val="bottom"/>
          </w:tcPr>
          <w:p>
            <w:pPr>
              <w:spacing w:after="0"/>
              <w:rPr>
                <w:sz w:val="24"/>
                <w:szCs w:val="24"/>
                <w:color w:val="auto"/>
              </w:rPr>
            </w:pPr>
          </w:p>
        </w:tc>
        <w:tc>
          <w:tcPr>
            <w:tcW w:w="1020" w:type="dxa"/>
            <w:vAlign w:val="bottom"/>
          </w:tcPr>
          <w:p>
            <w:pPr>
              <w:ind w:left="660"/>
              <w:spacing w:after="0"/>
              <w:rPr>
                <w:sz w:val="20"/>
                <w:szCs w:val="20"/>
                <w:color w:val="auto"/>
              </w:rPr>
            </w:pPr>
            <w:r>
              <w:rPr>
                <w:rFonts w:ascii="Courier New" w:cs="Courier New" w:eastAsia="Courier New" w:hAnsi="Courier New"/>
                <w:sz w:val="15"/>
                <w:szCs w:val="15"/>
                <w:color w:val="auto"/>
                <w:w w:val="94"/>
              </w:rPr>
              <w:t>Same</w:t>
            </w:r>
          </w:p>
        </w:tc>
        <w:tc>
          <w:tcPr>
            <w:tcW w:w="1940" w:type="dxa"/>
            <w:vAlign w:val="bottom"/>
          </w:tcPr>
          <w:p>
            <w:pPr>
              <w:spacing w:after="0"/>
              <w:rPr>
                <w:sz w:val="24"/>
                <w:szCs w:val="24"/>
                <w:color w:val="auto"/>
              </w:rPr>
            </w:pP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The Yasuda Trust and</w:t>
            </w:r>
          </w:p>
        </w:tc>
        <w:tc>
          <w:tcPr>
            <w:tcW w:w="29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Domestic Lending Office:</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Banking Co., Ltd.,</w:t>
            </w:r>
          </w:p>
        </w:tc>
        <w:tc>
          <w:tcPr>
            <w:tcW w:w="10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New York Branch</w:t>
            </w:r>
          </w:p>
        </w:tc>
        <w:tc>
          <w:tcPr>
            <w:tcW w:w="29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The Yasuda Trust and</w:t>
            </w:r>
          </w:p>
        </w:tc>
      </w:tr>
      <w:tr>
        <w:trPr>
          <w:trHeight w:val="170"/>
        </w:trPr>
        <w:tc>
          <w:tcPr>
            <w:tcW w:w="2760" w:type="dxa"/>
            <w:vAlign w:val="bottom"/>
          </w:tcPr>
          <w:p>
            <w:pPr>
              <w:spacing w:after="0"/>
              <w:rPr>
                <w:sz w:val="14"/>
                <w:szCs w:val="14"/>
                <w:color w:val="auto"/>
              </w:rPr>
            </w:pPr>
          </w:p>
        </w:tc>
        <w:tc>
          <w:tcPr>
            <w:tcW w:w="29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Banking Co., Ltd.,</w:t>
            </w:r>
          </w:p>
        </w:tc>
      </w:tr>
      <w:tr>
        <w:trPr>
          <w:trHeight w:val="170"/>
        </w:trPr>
        <w:tc>
          <w:tcPr>
            <w:tcW w:w="2760" w:type="dxa"/>
            <w:vAlign w:val="bottom"/>
          </w:tcPr>
          <w:p>
            <w:pPr>
              <w:spacing w:after="0"/>
              <w:rPr>
                <w:sz w:val="14"/>
                <w:szCs w:val="14"/>
                <w:color w:val="auto"/>
              </w:rPr>
            </w:pPr>
          </w:p>
        </w:tc>
        <w:tc>
          <w:tcPr>
            <w:tcW w:w="29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New York Branch</w:t>
            </w:r>
          </w:p>
        </w:tc>
      </w:tr>
      <w:tr>
        <w:trPr>
          <w:trHeight w:val="170"/>
        </w:trPr>
        <w:tc>
          <w:tcPr>
            <w:tcW w:w="2760" w:type="dxa"/>
            <w:vAlign w:val="bottom"/>
          </w:tcPr>
          <w:p>
            <w:pPr>
              <w:spacing w:after="0"/>
              <w:rPr>
                <w:sz w:val="14"/>
                <w:szCs w:val="14"/>
                <w:color w:val="auto"/>
              </w:rPr>
            </w:pPr>
          </w:p>
        </w:tc>
        <w:tc>
          <w:tcPr>
            <w:tcW w:w="29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666 Fifth Avenue</w:t>
            </w:r>
          </w:p>
        </w:tc>
      </w:tr>
      <w:tr>
        <w:trPr>
          <w:trHeight w:val="170"/>
        </w:trPr>
        <w:tc>
          <w:tcPr>
            <w:tcW w:w="2760" w:type="dxa"/>
            <w:vAlign w:val="bottom"/>
          </w:tcPr>
          <w:p>
            <w:pPr>
              <w:spacing w:after="0"/>
              <w:rPr>
                <w:sz w:val="14"/>
                <w:szCs w:val="14"/>
                <w:color w:val="auto"/>
              </w:rPr>
            </w:pPr>
          </w:p>
        </w:tc>
        <w:tc>
          <w:tcPr>
            <w:tcW w:w="29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Suite 801</w:t>
            </w:r>
          </w:p>
        </w:tc>
      </w:tr>
      <w:tr>
        <w:trPr>
          <w:trHeight w:val="170"/>
        </w:trPr>
        <w:tc>
          <w:tcPr>
            <w:tcW w:w="2760" w:type="dxa"/>
            <w:vAlign w:val="bottom"/>
          </w:tcPr>
          <w:p>
            <w:pPr>
              <w:spacing w:after="0"/>
              <w:rPr>
                <w:sz w:val="14"/>
                <w:szCs w:val="14"/>
                <w:color w:val="auto"/>
              </w:rPr>
            </w:pPr>
          </w:p>
        </w:tc>
        <w:tc>
          <w:tcPr>
            <w:tcW w:w="29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New York, New York 10103</w:t>
            </w:r>
          </w:p>
        </w:tc>
      </w:tr>
    </w:tbl>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Eurodollar Lending Office: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Same</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I-10</w:t>
      </w:r>
    </w:p>
    <w:p>
      <w:pPr>
        <w:sectPr>
          <w:pgSz w:w="11900" w:h="16838" w:orient="portrait"/>
          <w:cols w:equalWidth="0" w:num="1">
            <w:col w:w="10219"/>
          </w:cols>
          <w:pgMar w:left="240" w:top="622" w:right="1440" w:bottom="1440" w:gutter="0" w:footer="0" w:header="0"/>
        </w:sectPr>
      </w:pPr>
    </w:p>
    <w:bookmarkStart w:id="231" w:name="page232"/>
    <w:bookmarkEnd w:id="231"/>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35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SCHEDULE II - PARENT FACILITY</w:t>
            </w:r>
          </w:p>
        </w:tc>
        <w:tc>
          <w:tcPr>
            <w:tcW w:w="17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509"/>
        </w:trPr>
        <w:tc>
          <w:tcPr>
            <w:tcW w:w="3120" w:type="dxa"/>
            <w:vAlign w:val="bottom"/>
          </w:tcPr>
          <w:p>
            <w:pPr>
              <w:spacing w:after="0"/>
              <w:rPr>
                <w:sz w:val="24"/>
                <w:szCs w:val="24"/>
                <w:color w:val="auto"/>
              </w:rPr>
            </w:pP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Short-Term Loan</w:t>
            </w:r>
          </w:p>
        </w:tc>
        <w:tc>
          <w:tcPr>
            <w:tcW w:w="1760" w:type="dxa"/>
            <w:vAlign w:val="bottom"/>
          </w:tcPr>
          <w:p>
            <w:pPr>
              <w:jc w:val="center"/>
              <w:spacing w:after="0"/>
              <w:rPr>
                <w:sz w:val="20"/>
                <w:szCs w:val="20"/>
                <w:color w:val="auto"/>
              </w:rPr>
            </w:pPr>
            <w:r>
              <w:rPr>
                <w:rFonts w:ascii="Courier New" w:cs="Courier New" w:eastAsia="Courier New" w:hAnsi="Courier New"/>
                <w:sz w:val="15"/>
                <w:szCs w:val="15"/>
                <w:color w:val="auto"/>
                <w:w w:val="96"/>
              </w:rPr>
              <w:t>Revolving Loan</w:t>
            </w:r>
          </w:p>
        </w:tc>
        <w:tc>
          <w:tcPr>
            <w:tcW w:w="1780" w:type="dxa"/>
            <w:vAlign w:val="bottom"/>
          </w:tcPr>
          <w:p>
            <w:pPr>
              <w:ind w:left="540"/>
              <w:spacing w:after="0"/>
              <w:rPr>
                <w:sz w:val="20"/>
                <w:szCs w:val="20"/>
                <w:color w:val="auto"/>
              </w:rPr>
            </w:pPr>
            <w:r>
              <w:rPr>
                <w:rFonts w:ascii="Courier New" w:cs="Courier New" w:eastAsia="Courier New" w:hAnsi="Courier New"/>
                <w:sz w:val="15"/>
                <w:szCs w:val="15"/>
                <w:color w:val="auto"/>
              </w:rPr>
              <w:t>Term Loan</w:t>
            </w:r>
          </w:p>
        </w:tc>
        <w:tc>
          <w:tcPr>
            <w:tcW w:w="1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3120" w:type="dxa"/>
            <w:vAlign w:val="bottom"/>
          </w:tcPr>
          <w:p>
            <w:pPr>
              <w:spacing w:after="0"/>
              <w:rPr>
                <w:sz w:val="14"/>
                <w:szCs w:val="14"/>
                <w:color w:val="auto"/>
              </w:rPr>
            </w:pPr>
          </w:p>
        </w:tc>
        <w:tc>
          <w:tcPr>
            <w:tcW w:w="1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Commitment</w:t>
            </w:r>
          </w:p>
        </w:tc>
        <w:tc>
          <w:tcPr>
            <w:tcW w:w="1760" w:type="dxa"/>
            <w:vAlign w:val="bottom"/>
          </w:tcPr>
          <w:p>
            <w:pPr>
              <w:jc w:val="center"/>
              <w:spacing w:after="0"/>
              <w:rPr>
                <w:sz w:val="20"/>
                <w:szCs w:val="20"/>
                <w:color w:val="auto"/>
              </w:rPr>
            </w:pPr>
            <w:r>
              <w:rPr>
                <w:rFonts w:ascii="Courier New" w:cs="Courier New" w:eastAsia="Courier New" w:hAnsi="Courier New"/>
                <w:sz w:val="15"/>
                <w:szCs w:val="15"/>
                <w:color w:val="auto"/>
                <w:w w:val="97"/>
              </w:rPr>
              <w:t>Commitment</w:t>
            </w:r>
          </w:p>
        </w:tc>
        <w:tc>
          <w:tcPr>
            <w:tcW w:w="1780" w:type="dxa"/>
            <w:vAlign w:val="bottom"/>
          </w:tcPr>
          <w:p>
            <w:pPr>
              <w:ind w:left="540"/>
              <w:spacing w:after="0"/>
              <w:rPr>
                <w:sz w:val="20"/>
                <w:szCs w:val="20"/>
                <w:color w:val="auto"/>
              </w:rPr>
            </w:pPr>
            <w:r>
              <w:rPr>
                <w:rFonts w:ascii="Courier New" w:cs="Courier New" w:eastAsia="Courier New" w:hAnsi="Courier New"/>
                <w:sz w:val="15"/>
                <w:szCs w:val="15"/>
                <w:color w:val="auto"/>
              </w:rPr>
              <w:t>Commitment</w:t>
            </w:r>
          </w:p>
        </w:tc>
        <w:tc>
          <w:tcPr>
            <w:tcW w:w="1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Commitment</w:t>
            </w:r>
          </w:p>
        </w:tc>
      </w:tr>
      <w:tr>
        <w:trPr>
          <w:trHeight w:val="170"/>
        </w:trPr>
        <w:tc>
          <w:tcPr>
            <w:tcW w:w="3120" w:type="dxa"/>
            <w:vAlign w:val="bottom"/>
          </w:tcPr>
          <w:p>
            <w:pPr>
              <w:spacing w:after="0"/>
              <w:rPr>
                <w:sz w:val="14"/>
                <w:szCs w:val="14"/>
                <w:color w:val="auto"/>
              </w:rPr>
            </w:pP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120" w:type="dxa"/>
            <w:vAlign w:val="bottom"/>
          </w:tcPr>
          <w:p>
            <w:pPr>
              <w:spacing w:after="0"/>
              <w:rPr>
                <w:sz w:val="20"/>
                <w:szCs w:val="20"/>
                <w:color w:val="auto"/>
              </w:rPr>
            </w:pPr>
            <w:r>
              <w:rPr>
                <w:rFonts w:ascii="Courier New" w:cs="Courier New" w:eastAsia="Courier New" w:hAnsi="Courier New"/>
                <w:sz w:val="15"/>
                <w:szCs w:val="15"/>
                <w:color w:val="auto"/>
              </w:rPr>
              <w:t>The Bank of New York</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$110,294,117.65</w:t>
            </w:r>
          </w:p>
        </w:tc>
        <w:tc>
          <w:tcPr>
            <w:tcW w:w="17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$79,411,764.71</w:t>
            </w:r>
          </w:p>
        </w:tc>
        <w:tc>
          <w:tcPr>
            <w:tcW w:w="1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$96,573,529.42</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$286,279,411.78</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Citibank, N.A.</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$110,294,117.64</w:t>
            </w:r>
          </w:p>
        </w:tc>
        <w:tc>
          <w:tcPr>
            <w:tcW w:w="17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$79,411,764.70</w:t>
            </w:r>
          </w:p>
        </w:tc>
        <w:tc>
          <w:tcPr>
            <w:tcW w:w="1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$96,573,529.44</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$286,279,411.78</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Morgan Guaranty Trust</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$110,294,117.65</w:t>
            </w:r>
          </w:p>
        </w:tc>
        <w:tc>
          <w:tcPr>
            <w:tcW w:w="17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$79,411,764.71</w:t>
            </w:r>
          </w:p>
        </w:tc>
        <w:tc>
          <w:tcPr>
            <w:tcW w:w="1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$96,573,529.42</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$286,279,411.78</w:t>
            </w:r>
          </w:p>
        </w:tc>
      </w:tr>
      <w:tr>
        <w:trPr>
          <w:trHeight w:val="170"/>
        </w:trPr>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Company of New York</w:t>
            </w:r>
          </w:p>
        </w:tc>
        <w:tc>
          <w:tcPr>
            <w:tcW w:w="18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Bank of America NT&amp;SA</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$110,294,117.65</w:t>
            </w:r>
          </w:p>
        </w:tc>
        <w:tc>
          <w:tcPr>
            <w:tcW w:w="17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$79,411,764.71</w:t>
            </w:r>
          </w:p>
        </w:tc>
        <w:tc>
          <w:tcPr>
            <w:tcW w:w="1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$96,573,529.42</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$286,279,411.78</w:t>
            </w:r>
          </w:p>
        </w:tc>
      </w:tr>
      <w:tr>
        <w:trPr>
          <w:trHeight w:val="339"/>
        </w:trPr>
        <w:tc>
          <w:tcPr>
            <w:tcW w:w="3120" w:type="dxa"/>
            <w:vAlign w:val="bottom"/>
          </w:tcPr>
          <w:p>
            <w:pPr>
              <w:spacing w:after="0"/>
              <w:rPr>
                <w:sz w:val="20"/>
                <w:szCs w:val="20"/>
                <w:color w:val="auto"/>
              </w:rPr>
            </w:pPr>
            <w:r>
              <w:rPr>
                <w:rFonts w:ascii="Courier New" w:cs="Courier New" w:eastAsia="Courier New" w:hAnsi="Courier New"/>
                <w:sz w:val="15"/>
                <w:szCs w:val="15"/>
                <w:color w:val="auto"/>
              </w:rPr>
              <w:t>Bank of Montreal</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$90,960,953.35</w:t>
            </w:r>
          </w:p>
        </w:tc>
        <w:tc>
          <w:tcPr>
            <w:tcW w:w="17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$65,491,886.41</w:t>
            </w:r>
          </w:p>
        </w:tc>
        <w:tc>
          <w:tcPr>
            <w:tcW w:w="1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$79,645,410.75</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$236,098,250.51</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The Bank of Nova Scotia</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$90,960,953.35</w:t>
            </w:r>
          </w:p>
        </w:tc>
        <w:tc>
          <w:tcPr>
            <w:tcW w:w="17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$65,491,886.41</w:t>
            </w:r>
          </w:p>
        </w:tc>
        <w:tc>
          <w:tcPr>
            <w:tcW w:w="1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$79,645,410.75</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$236,098,250.51</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The Bank of Tokyo Trust Company</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$68,220,715.01</w:t>
            </w:r>
          </w:p>
        </w:tc>
        <w:tc>
          <w:tcPr>
            <w:tcW w:w="17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$49,118,914.81</w:t>
            </w:r>
          </w:p>
        </w:tc>
        <w:tc>
          <w:tcPr>
            <w:tcW w:w="1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$59,734,058.06</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$177,073,687.88</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Barclays Bank PLC</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$90,960,953.35</w:t>
            </w:r>
          </w:p>
        </w:tc>
        <w:tc>
          <w:tcPr>
            <w:tcW w:w="17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$65,491,886.41</w:t>
            </w:r>
          </w:p>
        </w:tc>
        <w:tc>
          <w:tcPr>
            <w:tcW w:w="1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$79,645,410.75</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$236,098,250.51</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Canadian Imperial Bank</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$90,960,953.35</w:t>
            </w:r>
          </w:p>
        </w:tc>
        <w:tc>
          <w:tcPr>
            <w:tcW w:w="17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$65,491,886.41</w:t>
            </w:r>
          </w:p>
        </w:tc>
        <w:tc>
          <w:tcPr>
            <w:tcW w:w="1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$79,645,410.75</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$236,098,250.51</w:t>
            </w:r>
          </w:p>
        </w:tc>
      </w:tr>
      <w:tr>
        <w:trPr>
          <w:trHeight w:val="170"/>
        </w:trPr>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of Commerce</w:t>
            </w:r>
          </w:p>
        </w:tc>
        <w:tc>
          <w:tcPr>
            <w:tcW w:w="18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The Chase Manhattan Bank N.A.</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$90,960,953.35</w:t>
            </w:r>
          </w:p>
        </w:tc>
        <w:tc>
          <w:tcPr>
            <w:tcW w:w="17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$65,491,886.41</w:t>
            </w:r>
          </w:p>
        </w:tc>
        <w:tc>
          <w:tcPr>
            <w:tcW w:w="1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$79,645,410.75</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$236,098,250.51</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Credit Lyonnais Cayman</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$90,960,953.35</w:t>
            </w:r>
          </w:p>
        </w:tc>
        <w:tc>
          <w:tcPr>
            <w:tcW w:w="17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$65,491,886.41</w:t>
            </w:r>
          </w:p>
        </w:tc>
        <w:tc>
          <w:tcPr>
            <w:tcW w:w="1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$79,645,410.75</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$236,098,250.51</w:t>
            </w:r>
          </w:p>
        </w:tc>
      </w:tr>
      <w:tr>
        <w:trPr>
          <w:trHeight w:val="170"/>
        </w:trPr>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Island Branch</w:t>
            </w:r>
          </w:p>
        </w:tc>
        <w:tc>
          <w:tcPr>
            <w:tcW w:w="18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The First National Bank of Boston</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$90,960,953.35</w:t>
            </w:r>
          </w:p>
        </w:tc>
        <w:tc>
          <w:tcPr>
            <w:tcW w:w="17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$65,491,886.41</w:t>
            </w:r>
          </w:p>
        </w:tc>
        <w:tc>
          <w:tcPr>
            <w:tcW w:w="1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$79,645,410.75</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$236,098,250.51</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The Fuji Bank, Limited</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$90,960,953.35</w:t>
            </w:r>
          </w:p>
        </w:tc>
        <w:tc>
          <w:tcPr>
            <w:tcW w:w="17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$65,491,886.41</w:t>
            </w:r>
          </w:p>
        </w:tc>
        <w:tc>
          <w:tcPr>
            <w:tcW w:w="1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$79,645,410.75</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$236,098,250.51</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The Industrial Bank of</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$90,960,953.35</w:t>
            </w:r>
          </w:p>
        </w:tc>
        <w:tc>
          <w:tcPr>
            <w:tcW w:w="17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$65,491,886.41</w:t>
            </w:r>
          </w:p>
        </w:tc>
        <w:tc>
          <w:tcPr>
            <w:tcW w:w="1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$79,645,410.75</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$236,098,250.51</w:t>
            </w:r>
          </w:p>
        </w:tc>
      </w:tr>
      <w:tr>
        <w:trPr>
          <w:trHeight w:val="170"/>
        </w:trPr>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Japan, Ltd.</w:t>
            </w:r>
          </w:p>
        </w:tc>
        <w:tc>
          <w:tcPr>
            <w:tcW w:w="18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LTCB Trust Company</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$90,960,953.35</w:t>
            </w:r>
          </w:p>
        </w:tc>
        <w:tc>
          <w:tcPr>
            <w:tcW w:w="17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$65,491,886.41</w:t>
            </w:r>
          </w:p>
        </w:tc>
        <w:tc>
          <w:tcPr>
            <w:tcW w:w="1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$79,645,410.75</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$236,098,250.51</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Mellon Bank, N.A.</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$90,960,953.35</w:t>
            </w:r>
          </w:p>
        </w:tc>
        <w:tc>
          <w:tcPr>
            <w:tcW w:w="17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$65,491,886.41</w:t>
            </w:r>
          </w:p>
        </w:tc>
        <w:tc>
          <w:tcPr>
            <w:tcW w:w="1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$79,645,410.75</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$236,098,250.51</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NationsBank of Texas N.A.</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$90,960,953.35</w:t>
            </w:r>
          </w:p>
        </w:tc>
        <w:tc>
          <w:tcPr>
            <w:tcW w:w="17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$65,491,886.41</w:t>
            </w:r>
          </w:p>
        </w:tc>
        <w:tc>
          <w:tcPr>
            <w:tcW w:w="1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$79,645,410.75</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$236,098,250.51</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Societe Generale</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$90,960,953.35</w:t>
            </w:r>
          </w:p>
        </w:tc>
        <w:tc>
          <w:tcPr>
            <w:tcW w:w="17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$65,491,886.41</w:t>
            </w:r>
          </w:p>
        </w:tc>
        <w:tc>
          <w:tcPr>
            <w:tcW w:w="1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$79,645,410.75</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$236,098,250.51</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Toronto-Dominion Bank</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$90,960,953.35</w:t>
            </w:r>
          </w:p>
        </w:tc>
        <w:tc>
          <w:tcPr>
            <w:tcW w:w="17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$65,491,886.41</w:t>
            </w:r>
          </w:p>
        </w:tc>
        <w:tc>
          <w:tcPr>
            <w:tcW w:w="1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$79,645,410.75</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$236,098,250.51</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Union Bank</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$22,740,238.33</w:t>
            </w:r>
          </w:p>
        </w:tc>
        <w:tc>
          <w:tcPr>
            <w:tcW w:w="17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$16,372,971.60</w:t>
            </w:r>
          </w:p>
        </w:tc>
        <w:tc>
          <w:tcPr>
            <w:tcW w:w="1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$19,911,362.69</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$59,024,562.62</w:t>
            </w:r>
          </w:p>
        </w:tc>
      </w:tr>
      <w:tr>
        <w:trPr>
          <w:trHeight w:val="339"/>
        </w:trPr>
        <w:tc>
          <w:tcPr>
            <w:tcW w:w="3120" w:type="dxa"/>
            <w:vAlign w:val="bottom"/>
          </w:tcPr>
          <w:p>
            <w:pPr>
              <w:spacing w:after="0"/>
              <w:rPr>
                <w:sz w:val="20"/>
                <w:szCs w:val="20"/>
                <w:color w:val="auto"/>
              </w:rPr>
            </w:pPr>
            <w:r>
              <w:rPr>
                <w:rFonts w:ascii="Courier New" w:cs="Courier New" w:eastAsia="Courier New" w:hAnsi="Courier New"/>
                <w:sz w:val="15"/>
                <w:szCs w:val="15"/>
                <w:color w:val="auto"/>
              </w:rPr>
              <w:t>Credit Suisse</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$64,972,109.53</w:t>
            </w:r>
          </w:p>
        </w:tc>
        <w:tc>
          <w:tcPr>
            <w:tcW w:w="17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$46,779,918.86</w:t>
            </w:r>
          </w:p>
        </w:tc>
        <w:tc>
          <w:tcPr>
            <w:tcW w:w="1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$56,889,579.10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$168,641,607.49</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The Dai-Ichi Kangyo Bank</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$64,972,109.53</w:t>
            </w:r>
          </w:p>
        </w:tc>
        <w:tc>
          <w:tcPr>
            <w:tcW w:w="17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$46,779,918.86</w:t>
            </w:r>
          </w:p>
        </w:tc>
        <w:tc>
          <w:tcPr>
            <w:tcW w:w="1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$56,889,579.10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$168,641,607.49</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The Mitsubishi Bank, Limited</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$64,972,109.53</w:t>
            </w:r>
          </w:p>
        </w:tc>
        <w:tc>
          <w:tcPr>
            <w:tcW w:w="17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$46,779,918.86</w:t>
            </w:r>
          </w:p>
        </w:tc>
        <w:tc>
          <w:tcPr>
            <w:tcW w:w="1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$56,889,579.10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$168,641,607.49</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The Mitsubishi Trust &amp;</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$64,972,109.53</w:t>
            </w:r>
          </w:p>
        </w:tc>
        <w:tc>
          <w:tcPr>
            <w:tcW w:w="17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$46,779,918.86</w:t>
            </w:r>
          </w:p>
        </w:tc>
        <w:tc>
          <w:tcPr>
            <w:tcW w:w="1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$56,889,579.10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$168,641,607.49</w:t>
            </w:r>
          </w:p>
        </w:tc>
      </w:tr>
      <w:tr>
        <w:trPr>
          <w:trHeight w:val="170"/>
        </w:trPr>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Banking Corporation</w:t>
            </w:r>
          </w:p>
        </w:tc>
        <w:tc>
          <w:tcPr>
            <w:tcW w:w="18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Royal Bank of Canada</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$64,972,109.53</w:t>
            </w:r>
          </w:p>
        </w:tc>
        <w:tc>
          <w:tcPr>
            <w:tcW w:w="17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$46,779,918.86</w:t>
            </w:r>
          </w:p>
        </w:tc>
        <w:tc>
          <w:tcPr>
            <w:tcW w:w="1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$56,889,579.10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$168,641,607.49</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The Sanwa Bank, Ltd.</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$64,972,109.53</w:t>
            </w:r>
          </w:p>
        </w:tc>
        <w:tc>
          <w:tcPr>
            <w:tcW w:w="17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$46,779,918.86</w:t>
            </w:r>
          </w:p>
        </w:tc>
        <w:tc>
          <w:tcPr>
            <w:tcW w:w="1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$56,889,579.10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$168,641,607.49</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Sumitomo Bank, Limited,</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$64,972,109.53</w:t>
            </w:r>
          </w:p>
        </w:tc>
        <w:tc>
          <w:tcPr>
            <w:tcW w:w="17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$46,779,918.86</w:t>
            </w:r>
          </w:p>
        </w:tc>
        <w:tc>
          <w:tcPr>
            <w:tcW w:w="1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$56,889,579.10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$168,641,607.49</w:t>
            </w:r>
          </w:p>
        </w:tc>
      </w:tr>
      <w:tr>
        <w:trPr>
          <w:trHeight w:val="170"/>
        </w:trPr>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New York Branch</w:t>
            </w:r>
          </w:p>
        </w:tc>
        <w:tc>
          <w:tcPr>
            <w:tcW w:w="18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Union Bank of Switzerland</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$64,972,109.53</w:t>
            </w:r>
          </w:p>
        </w:tc>
        <w:tc>
          <w:tcPr>
            <w:tcW w:w="17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$46,779,918.86</w:t>
            </w:r>
          </w:p>
        </w:tc>
        <w:tc>
          <w:tcPr>
            <w:tcW w:w="1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$56,889,579.10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$168,641,607.49</w:t>
            </w:r>
          </w:p>
        </w:tc>
      </w:tr>
      <w:tr>
        <w:trPr>
          <w:trHeight w:val="339"/>
        </w:trPr>
        <w:tc>
          <w:tcPr>
            <w:tcW w:w="3120" w:type="dxa"/>
            <w:vAlign w:val="bottom"/>
          </w:tcPr>
          <w:p>
            <w:pPr>
              <w:spacing w:after="0"/>
              <w:rPr>
                <w:sz w:val="20"/>
                <w:szCs w:val="20"/>
                <w:color w:val="auto"/>
              </w:rPr>
            </w:pPr>
            <w:r>
              <w:rPr>
                <w:rFonts w:ascii="Courier New" w:cs="Courier New" w:eastAsia="Courier New" w:hAnsi="Courier New"/>
                <w:sz w:val="15"/>
                <w:szCs w:val="15"/>
                <w:color w:val="auto"/>
              </w:rPr>
              <w:t>Chemical Bank</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$36,764,705.88</w:t>
            </w:r>
          </w:p>
        </w:tc>
        <w:tc>
          <w:tcPr>
            <w:tcW w:w="17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$26,470,588.24</w:t>
            </w:r>
          </w:p>
        </w:tc>
        <w:tc>
          <w:tcPr>
            <w:tcW w:w="1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$32,191,176.47</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$95,426,470.59</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Deutsche Bank AG</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$36,764,705.88</w:t>
            </w:r>
          </w:p>
        </w:tc>
        <w:tc>
          <w:tcPr>
            <w:tcW w:w="17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$26,470,588.24</w:t>
            </w:r>
          </w:p>
        </w:tc>
        <w:tc>
          <w:tcPr>
            <w:tcW w:w="1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$32,191,176.47</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$95,426,470.59</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The Sakura Bank, Limited</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$27,573,529.41</w:t>
            </w:r>
          </w:p>
        </w:tc>
        <w:tc>
          <w:tcPr>
            <w:tcW w:w="17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$19,852,941.18</w:t>
            </w:r>
          </w:p>
        </w:tc>
        <w:tc>
          <w:tcPr>
            <w:tcW w:w="1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$24,143,382.35</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$71,569,852.94</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Compagnie Financiere de CIC</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$18,382,352.94</w:t>
            </w:r>
          </w:p>
        </w:tc>
        <w:tc>
          <w:tcPr>
            <w:tcW w:w="17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$13,235,294.12</w:t>
            </w:r>
          </w:p>
        </w:tc>
        <w:tc>
          <w:tcPr>
            <w:tcW w:w="1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$16,095,588.24</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$47,713,235.30</w:t>
            </w:r>
          </w:p>
        </w:tc>
      </w:tr>
      <w:tr>
        <w:trPr>
          <w:trHeight w:val="170"/>
        </w:trPr>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et de L'Union Europeenne,</w:t>
            </w:r>
          </w:p>
        </w:tc>
        <w:tc>
          <w:tcPr>
            <w:tcW w:w="18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0"/>
        </w:trPr>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New York Branch</w:t>
            </w:r>
          </w:p>
        </w:tc>
        <w:tc>
          <w:tcPr>
            <w:tcW w:w="18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PNC Bank N.A.</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$18,382,352.94</w:t>
            </w:r>
          </w:p>
        </w:tc>
        <w:tc>
          <w:tcPr>
            <w:tcW w:w="17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$13,235,294.12</w:t>
            </w:r>
          </w:p>
        </w:tc>
        <w:tc>
          <w:tcPr>
            <w:tcW w:w="1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$16,095,588.24</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$47,713,235.30</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First Interstate Bank of</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$9,191,176.47</w:t>
            </w:r>
          </w:p>
        </w:tc>
        <w:tc>
          <w:tcPr>
            <w:tcW w:w="17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$6,617,647.06</w:t>
            </w:r>
          </w:p>
        </w:tc>
        <w:tc>
          <w:tcPr>
            <w:tcW w:w="1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$8,047,794.12</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$23,856,617.65</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Washington, N.A.</w:t>
            </w:r>
          </w:p>
        </w:tc>
        <w:tc>
          <w:tcPr>
            <w:tcW w:w="18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Gulf International Bank</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$9,191,176.47</w:t>
            </w:r>
          </w:p>
        </w:tc>
        <w:tc>
          <w:tcPr>
            <w:tcW w:w="17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$6,617,647.06</w:t>
            </w:r>
          </w:p>
        </w:tc>
        <w:tc>
          <w:tcPr>
            <w:tcW w:w="1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$8,047,794.12</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$23,856,617.65</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The Tokai Bank, Limited,</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$9,191,176.47</w:t>
            </w:r>
          </w:p>
        </w:tc>
        <w:tc>
          <w:tcPr>
            <w:tcW w:w="17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$6,617,647.06</w:t>
            </w:r>
          </w:p>
        </w:tc>
        <w:tc>
          <w:tcPr>
            <w:tcW w:w="1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$8,047,794.12</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$23,856,617.65</w:t>
            </w:r>
          </w:p>
        </w:tc>
      </w:tr>
      <w:tr>
        <w:trPr>
          <w:trHeight w:val="170"/>
        </w:trPr>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New York Branch</w:t>
            </w:r>
          </w:p>
        </w:tc>
        <w:tc>
          <w:tcPr>
            <w:tcW w:w="18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The Yasuda Trust and Banking</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$9,191,176.47</w:t>
            </w:r>
          </w:p>
        </w:tc>
        <w:tc>
          <w:tcPr>
            <w:tcW w:w="17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$6,617,647.06</w:t>
            </w:r>
          </w:p>
        </w:tc>
        <w:tc>
          <w:tcPr>
            <w:tcW w:w="1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$8,047,794.12</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$23,856,617.65</w:t>
            </w:r>
          </w:p>
        </w:tc>
      </w:tr>
      <w:tr>
        <w:trPr>
          <w:trHeight w:val="170"/>
        </w:trPr>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Co., Ltd., New York Branch</w:t>
            </w:r>
          </w:p>
        </w:tc>
        <w:tc>
          <w:tcPr>
            <w:tcW w:w="18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39"/>
        </w:trPr>
        <w:tc>
          <w:tcPr>
            <w:tcW w:w="3120" w:type="dxa"/>
            <w:vAlign w:val="bottom"/>
          </w:tcPr>
          <w:p>
            <w:pPr>
              <w:spacing w:after="0"/>
              <w:rPr>
                <w:sz w:val="24"/>
                <w:szCs w:val="24"/>
                <w:color w:val="auto"/>
              </w:rPr>
            </w:pP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$2,500,000,000.00</w:t>
            </w:r>
          </w:p>
        </w:tc>
        <w:tc>
          <w:tcPr>
            <w:tcW w:w="17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$1,800,000,000.00</w:t>
            </w:r>
          </w:p>
        </w:tc>
        <w:tc>
          <w:tcPr>
            <w:tcW w:w="1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$2,189,000,000.00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$6,489,000,000.00</w:t>
            </w:r>
          </w:p>
        </w:tc>
      </w:tr>
    </w:tbl>
    <w:p>
      <w:pPr>
        <w:sectPr>
          <w:pgSz w:w="11900" w:h="16838" w:orient="portrait"/>
          <w:cols w:equalWidth="0" w:num="1">
            <w:col w:w="10219"/>
          </w:cols>
          <w:pgMar w:left="240" w:top="792" w:right="1440" w:bottom="1440" w:gutter="0" w:footer="0" w:header="0"/>
        </w:sectPr>
      </w:pPr>
    </w:p>
    <w:bookmarkStart w:id="232" w:name="page233"/>
    <w:bookmarkEnd w:id="2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388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SCHEDULE II - SUBSIDIARY FACILITY</w:t>
            </w:r>
          </w:p>
        </w:tc>
        <w:tc>
          <w:tcPr>
            <w:tcW w:w="1360" w:type="dxa"/>
            <w:vAlign w:val="bottom"/>
          </w:tcPr>
          <w:p>
            <w:pPr>
              <w:spacing w:after="0"/>
              <w:rPr>
                <w:sz w:val="14"/>
                <w:szCs w:val="14"/>
                <w:color w:val="auto"/>
              </w:rPr>
            </w:pPr>
          </w:p>
        </w:tc>
      </w:tr>
      <w:tr>
        <w:trPr>
          <w:trHeight w:val="509"/>
        </w:trPr>
        <w:tc>
          <w:tcPr>
            <w:tcW w:w="3820" w:type="dxa"/>
            <w:vAlign w:val="bottom"/>
          </w:tcPr>
          <w:p>
            <w:pPr>
              <w:spacing w:after="0"/>
              <w:rPr>
                <w:sz w:val="24"/>
                <w:szCs w:val="24"/>
                <w:color w:val="auto"/>
              </w:rPr>
            </w:pPr>
          </w:p>
        </w:tc>
        <w:tc>
          <w:tcPr>
            <w:tcW w:w="23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Viacom</w:t>
            </w:r>
          </w:p>
        </w:tc>
        <w:tc>
          <w:tcPr>
            <w:tcW w:w="15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CableVision of</w:t>
            </w:r>
          </w:p>
        </w:tc>
        <w:tc>
          <w:tcPr>
            <w:tcW w:w="1360" w:type="dxa"/>
            <w:vAlign w:val="bottom"/>
          </w:tcPr>
          <w:p>
            <w:pPr>
              <w:spacing w:after="0"/>
              <w:rPr>
                <w:sz w:val="24"/>
                <w:szCs w:val="24"/>
                <w:color w:val="auto"/>
              </w:rPr>
            </w:pPr>
          </w:p>
        </w:tc>
      </w:tr>
      <w:tr>
        <w:trPr>
          <w:trHeight w:val="170"/>
        </w:trPr>
        <w:tc>
          <w:tcPr>
            <w:tcW w:w="3820" w:type="dxa"/>
            <w:vAlign w:val="bottom"/>
          </w:tcPr>
          <w:p>
            <w:pPr>
              <w:spacing w:after="0"/>
              <w:rPr>
                <w:sz w:val="14"/>
                <w:szCs w:val="14"/>
                <w:color w:val="auto"/>
              </w:rPr>
            </w:pP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International</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Dayton, Inc.</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WNYT Inc.</w:t>
            </w:r>
          </w:p>
        </w:tc>
      </w:tr>
      <w:tr>
        <w:trPr>
          <w:trHeight w:val="170"/>
        </w:trPr>
        <w:tc>
          <w:tcPr>
            <w:tcW w:w="3820" w:type="dxa"/>
            <w:vAlign w:val="bottom"/>
          </w:tcPr>
          <w:p>
            <w:pPr>
              <w:spacing w:after="0"/>
              <w:rPr>
                <w:sz w:val="14"/>
                <w:szCs w:val="14"/>
                <w:color w:val="auto"/>
              </w:rPr>
            </w:pP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The Bank of New York</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$4,411,764.71</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$2,514,705.87</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$1,588,235.29</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Citibank, N.A.</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$4,411,764.74</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$2,514,705.87</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$1,588,235.28</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Morgan Guaranty Trust</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$4,411,764.71</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$2,514,705.87</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$1,588,235.29</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Company of New York</w:t>
            </w:r>
          </w:p>
        </w:tc>
        <w:tc>
          <w:tcPr>
            <w:tcW w:w="2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Bank of America NT&amp;SA</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$4,411,764.71</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$2,514,705.87</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$1,588,235.29</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Bank of Montreal</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$3,638,438.13</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$2,073,909.74</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$1,309,837.73</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The Bank of Nova Scotia</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$3,638,438.13</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$2,073,909.74</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$1,309,837.73</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The Bank of Tokyo Trust Company</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$2,728,828.60</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$1,555,432.30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$982,378.30</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Barclays Bank PLC</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$3,638,438.13</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$2,073,909.74</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$1,309,837.73</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Canadian Imperial Bank</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$3,638,438.13</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$2,073,909.74</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$1,309,837.73</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of Commerce</w:t>
            </w:r>
          </w:p>
        </w:tc>
        <w:tc>
          <w:tcPr>
            <w:tcW w:w="2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The Chase Manhattan Bank N.A.</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$3,638,438.13</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$2,073,909.74</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$1,309,837.73</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Credit Lyonnais Cayman</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$3,638,438.13</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$2,073,909.74</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$1,309,837.73</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Island Branch</w:t>
            </w:r>
          </w:p>
        </w:tc>
        <w:tc>
          <w:tcPr>
            <w:tcW w:w="2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The First National Bank of Boston</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$3,638,438.13</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$2,073,909.74</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81,309,837.73</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The Fuji Bank, Limited</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$3,638,438.13</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$2,073,909.74</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$1,309,837.73</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The Industrial Bank of</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$3,638,438.13</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$2,073,909.74</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$1,309,837.73</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Japan, Ltd.</w:t>
            </w:r>
          </w:p>
        </w:tc>
        <w:tc>
          <w:tcPr>
            <w:tcW w:w="2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LTCB Trust Company</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$3,638,438.13</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$2,073,909.74</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$1,309,837.73</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Mellon Bank, N.A.</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$3,638,438.13</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$2,073,909.74</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$1,309,837.73</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NationsBank of Texas N.A.</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$3,638,438.13</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$2,073,909.74</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$1,309,837.73</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Societe Generale</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$3,638,438.13</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$2,073,909.74</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$1,309,837.73</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Toronto-Dominion Bank</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$3,638,438.13</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$2,073,909.74</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$1,309,837.73</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Union Bank</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$909,609.53</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$518,477.43</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$327,459.43</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Credit Suisse</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$2,598,884.38</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$1,481,364.10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$935,598.38</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The Dai-Ichi Kangyo Bank</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$2,598,884.38</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$1,481,364.10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$935,598.38</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The Mitsubishi Bank, Limited</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$2,598,884.38</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$1,481,364.10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$935,598.38</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The Mitsubishi Trust &amp;</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$2,598,884.38</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$1,481,364.10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$935,598.38</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Banking Corporation</w:t>
            </w:r>
          </w:p>
        </w:tc>
        <w:tc>
          <w:tcPr>
            <w:tcW w:w="2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Royal Bank of Canada</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$2,598,884.38</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$1,481,364.10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$935,598.38</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The Sanwa Bank, Ltd.</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$2,598,884.38</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$1,481,364.10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$935,598.38</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Sumitomo Bank, Limited,</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$2,598,884.38</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$1,481,364.10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$935,598.38</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New York Branch</w:t>
            </w:r>
          </w:p>
        </w:tc>
        <w:tc>
          <w:tcPr>
            <w:tcW w:w="2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Union Bank of Switzerland</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$2,598,884.38</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$1,481,364.10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$935,598.38</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Chemical Bank</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$1,470,588.24</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$838,235.29</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$529,411.76</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Deutsche Bank AG</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$1,470,588.24</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$838,235.29</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$529,411.76</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The Sakura Bank, Limited</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$1,102,941.18</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$628,676.47</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$397,058.82</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Compagnie Financiere de CIC et</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$735,294.12</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$419,117.65</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$264,705.88</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de L'Union Europeenne,</w:t>
            </w:r>
          </w:p>
        </w:tc>
        <w:tc>
          <w:tcPr>
            <w:tcW w:w="2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New York Branch</w:t>
            </w:r>
          </w:p>
        </w:tc>
        <w:tc>
          <w:tcPr>
            <w:tcW w:w="2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PNC Bank N.A.</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$735,294.12</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$419,117.65</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$264,705.88</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First Interstate Bank of Washington, N.A.</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$367,647.06</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$209,558.82</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$132,352.94</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Gulf International Bank</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$367,647.06</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$209,558.82</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$132,352.94</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The Tokai Bank, Limited,</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$367,647.06</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$209,558.82</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$132,352.94</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New York Branch</w:t>
            </w:r>
          </w:p>
        </w:tc>
        <w:tc>
          <w:tcPr>
            <w:tcW w:w="2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The Yasuda Trust and Banking</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$367,647.06</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$209,558.82</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$132,352.94</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Co., Ltd., New York Branch</w:t>
            </w:r>
          </w:p>
        </w:tc>
        <w:tc>
          <w:tcPr>
            <w:tcW w:w="2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39"/>
        </w:trPr>
        <w:tc>
          <w:tcPr>
            <w:tcW w:w="3820" w:type="dxa"/>
            <w:vAlign w:val="bottom"/>
          </w:tcPr>
          <w:p>
            <w:pPr>
              <w:spacing w:after="0"/>
              <w:rPr>
                <w:sz w:val="24"/>
                <w:szCs w:val="24"/>
                <w:color w:val="auto"/>
              </w:rPr>
            </w:pP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$100,000,000.00</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$57,000,000.00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$36,000,000.00</w:t>
            </w:r>
          </w:p>
        </w:tc>
      </w:tr>
    </w:tbl>
    <w:p>
      <w:pPr>
        <w:sectPr>
          <w:pgSz w:w="11900" w:h="16838" w:orient="portrait"/>
          <w:cols w:equalWidth="0" w:num="1">
            <w:col w:w="10219"/>
          </w:cols>
          <w:pgMar w:left="240" w:top="791" w:right="1440" w:bottom="1440" w:gutter="0" w:footer="0" w:header="0"/>
        </w:sectPr>
      </w:pPr>
    </w:p>
    <w:bookmarkStart w:id="233" w:name="page234"/>
    <w:bookmarkEnd w:id="2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4620" w:type="dxa"/>
            <w:vAlign w:val="bottom"/>
          </w:tcPr>
          <w:p>
            <w:pPr>
              <w:spacing w:after="0"/>
              <w:rPr>
                <w:sz w:val="14"/>
                <w:szCs w:val="14"/>
                <w:color w:val="auto"/>
              </w:rPr>
            </w:pPr>
          </w:p>
        </w:tc>
        <w:tc>
          <w:tcPr>
            <w:tcW w:w="25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WMZQ Inc.</w:t>
            </w:r>
          </w:p>
        </w:tc>
        <w:tc>
          <w:tcPr>
            <w:tcW w:w="17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WVIT Inc.</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Commitment</w:t>
            </w:r>
          </w:p>
        </w:tc>
      </w:tr>
      <w:tr>
        <w:trPr>
          <w:trHeight w:val="170"/>
        </w:trPr>
        <w:tc>
          <w:tcPr>
            <w:tcW w:w="4620" w:type="dxa"/>
            <w:vAlign w:val="bottom"/>
          </w:tcPr>
          <w:p>
            <w:pPr>
              <w:spacing w:after="0"/>
              <w:rPr>
                <w:sz w:val="14"/>
                <w:szCs w:val="14"/>
                <w:color w:val="auto"/>
              </w:rPr>
            </w:pPr>
          </w:p>
        </w:tc>
        <w:tc>
          <w:tcPr>
            <w:tcW w:w="25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620" w:type="dxa"/>
            <w:vAlign w:val="bottom"/>
          </w:tcPr>
          <w:p>
            <w:pPr>
              <w:spacing w:after="0"/>
              <w:rPr>
                <w:sz w:val="20"/>
                <w:szCs w:val="20"/>
                <w:color w:val="auto"/>
              </w:rPr>
            </w:pPr>
            <w:r>
              <w:rPr>
                <w:rFonts w:ascii="Courier New" w:cs="Courier New" w:eastAsia="Courier New" w:hAnsi="Courier New"/>
                <w:sz w:val="15"/>
                <w:szCs w:val="15"/>
                <w:color w:val="auto"/>
              </w:rPr>
              <w:t>The Bank of New York</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$2,250,000.00</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$2,955,882.35</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$13,720,588.22</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Citibank, N.A.</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$2,250,000.00</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$2,955,882.33</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$13,720,588.22</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Morgan Guaranty Trust</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$2,250,000.00</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$2,955,882.35</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$13,720,588.22</w:t>
            </w:r>
          </w:p>
        </w:tc>
      </w:tr>
      <w:tr>
        <w:trPr>
          <w:trHeight w:val="170"/>
        </w:trPr>
        <w:tc>
          <w:tcPr>
            <w:tcW w:w="4620" w:type="dxa"/>
            <w:vAlign w:val="bottom"/>
          </w:tcPr>
          <w:p>
            <w:pPr>
              <w:ind w:left="160"/>
              <w:spacing w:after="0"/>
              <w:rPr>
                <w:sz w:val="20"/>
                <w:szCs w:val="20"/>
                <w:color w:val="auto"/>
              </w:rPr>
            </w:pPr>
            <w:r>
              <w:rPr>
                <w:rFonts w:ascii="Courier New" w:cs="Courier New" w:eastAsia="Courier New" w:hAnsi="Courier New"/>
                <w:sz w:val="15"/>
                <w:szCs w:val="15"/>
                <w:color w:val="auto"/>
              </w:rPr>
              <w:t>Company of New York</w:t>
            </w:r>
          </w:p>
        </w:tc>
        <w:tc>
          <w:tcPr>
            <w:tcW w:w="2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Bank of America NT&amp;SA</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$2,250,000.00</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$2,955,882.35</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$13,720,588.22</w:t>
            </w:r>
          </w:p>
        </w:tc>
      </w:tr>
      <w:tr>
        <w:trPr>
          <w:trHeight w:val="339"/>
        </w:trPr>
        <w:tc>
          <w:tcPr>
            <w:tcW w:w="4620" w:type="dxa"/>
            <w:vAlign w:val="bottom"/>
          </w:tcPr>
          <w:p>
            <w:pPr>
              <w:spacing w:after="0"/>
              <w:rPr>
                <w:sz w:val="20"/>
                <w:szCs w:val="20"/>
                <w:color w:val="auto"/>
              </w:rPr>
            </w:pPr>
            <w:r>
              <w:rPr>
                <w:rFonts w:ascii="Courier New" w:cs="Courier New" w:eastAsia="Courier New" w:hAnsi="Courier New"/>
                <w:sz w:val="15"/>
                <w:szCs w:val="15"/>
                <w:color w:val="auto"/>
              </w:rPr>
              <w:t>Bank of Montreal</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$1,855,603.45</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$2,437,753.55</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$11,315,542.60</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The Bank of Nova Scotia</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$1,855,603.45</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$2,437,753.55</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$11,315,542.60</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The Bank of Tokyo Trust Company</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$1,391,702.59</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$1,828,315.16</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$8,486,656.95</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Barclays Bank PLC</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$1,855,603.45</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$2,437,753.55</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$11,315,542.60</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Canadian Imperial Bank</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$1,855,603.45</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$2,437,753.55</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$11,315,542.60</w:t>
            </w:r>
          </w:p>
        </w:tc>
      </w:tr>
      <w:tr>
        <w:trPr>
          <w:trHeight w:val="170"/>
        </w:trPr>
        <w:tc>
          <w:tcPr>
            <w:tcW w:w="4620" w:type="dxa"/>
            <w:vAlign w:val="bottom"/>
          </w:tcPr>
          <w:p>
            <w:pPr>
              <w:ind w:left="160"/>
              <w:spacing w:after="0"/>
              <w:rPr>
                <w:sz w:val="20"/>
                <w:szCs w:val="20"/>
                <w:color w:val="auto"/>
              </w:rPr>
            </w:pPr>
            <w:r>
              <w:rPr>
                <w:rFonts w:ascii="Courier New" w:cs="Courier New" w:eastAsia="Courier New" w:hAnsi="Courier New"/>
                <w:sz w:val="15"/>
                <w:szCs w:val="15"/>
                <w:color w:val="auto"/>
              </w:rPr>
              <w:t>of Commerce</w:t>
            </w:r>
          </w:p>
        </w:tc>
        <w:tc>
          <w:tcPr>
            <w:tcW w:w="2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The Chase Manhattan Bank N.A.</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$1,855,603.45</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$2,437,753.55</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$11,315,542.60</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Credit Lyonnais Cayman</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$1,855,603.45</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$2,437,753.55</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$11,315,542.60</w:t>
            </w:r>
          </w:p>
        </w:tc>
      </w:tr>
      <w:tr>
        <w:trPr>
          <w:trHeight w:val="170"/>
        </w:trPr>
        <w:tc>
          <w:tcPr>
            <w:tcW w:w="4620" w:type="dxa"/>
            <w:vAlign w:val="bottom"/>
          </w:tcPr>
          <w:p>
            <w:pPr>
              <w:ind w:left="160"/>
              <w:spacing w:after="0"/>
              <w:rPr>
                <w:sz w:val="20"/>
                <w:szCs w:val="20"/>
                <w:color w:val="auto"/>
              </w:rPr>
            </w:pPr>
            <w:r>
              <w:rPr>
                <w:rFonts w:ascii="Courier New" w:cs="Courier New" w:eastAsia="Courier New" w:hAnsi="Courier New"/>
                <w:sz w:val="15"/>
                <w:szCs w:val="15"/>
                <w:color w:val="auto"/>
              </w:rPr>
              <w:t>Island Branch</w:t>
            </w:r>
          </w:p>
        </w:tc>
        <w:tc>
          <w:tcPr>
            <w:tcW w:w="2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The First National Bank of Boston</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$1,855,603.45</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$2,437,753.55</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$11,315,542.60</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The Fuji Bank, Limited</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$1,855,603.45</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$2,437,753.55</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$11,315,542.60</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The Industrial Bank of</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$1,855,603.45</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$2,437,753.55</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$11,315,542.60</w:t>
            </w:r>
          </w:p>
        </w:tc>
      </w:tr>
      <w:tr>
        <w:trPr>
          <w:trHeight w:val="170"/>
        </w:trPr>
        <w:tc>
          <w:tcPr>
            <w:tcW w:w="4620" w:type="dxa"/>
            <w:vAlign w:val="bottom"/>
          </w:tcPr>
          <w:p>
            <w:pPr>
              <w:ind w:left="160"/>
              <w:spacing w:after="0"/>
              <w:rPr>
                <w:sz w:val="20"/>
                <w:szCs w:val="20"/>
                <w:color w:val="auto"/>
              </w:rPr>
            </w:pPr>
            <w:r>
              <w:rPr>
                <w:rFonts w:ascii="Courier New" w:cs="Courier New" w:eastAsia="Courier New" w:hAnsi="Courier New"/>
                <w:sz w:val="15"/>
                <w:szCs w:val="15"/>
                <w:color w:val="auto"/>
              </w:rPr>
              <w:t>Japan, LTD.</w:t>
            </w:r>
          </w:p>
        </w:tc>
        <w:tc>
          <w:tcPr>
            <w:tcW w:w="2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LTCB Trust Company</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$1,855,603.45</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$2,437,753.55</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$11,315,542.60</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Mellon Bank, N.A.</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$1,855,603.45</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$2,437,753.55</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$11,315,542.60</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NationsBank of Texas N.A.</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$1,855,603.45</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$2,437,753.55</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$11,315,542.60</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Societe Generale</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$1,855,603.45</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$2,437,753.55</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$11,315,542.60</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Toronto-Dominion Bank</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$1,855,603.45</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$2,437,753.55</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$11,315,542.60</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Union Bank</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$463,900.87</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$609,438.39</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$2,828,885.65</w:t>
            </w:r>
          </w:p>
        </w:tc>
      </w:tr>
      <w:tr>
        <w:trPr>
          <w:trHeight w:val="339"/>
        </w:trPr>
        <w:tc>
          <w:tcPr>
            <w:tcW w:w="4620" w:type="dxa"/>
            <w:vAlign w:val="bottom"/>
          </w:tcPr>
          <w:p>
            <w:pPr>
              <w:spacing w:after="0"/>
              <w:rPr>
                <w:sz w:val="20"/>
                <w:szCs w:val="20"/>
                <w:color w:val="auto"/>
              </w:rPr>
            </w:pPr>
            <w:r>
              <w:rPr>
                <w:rFonts w:ascii="Courier New" w:cs="Courier New" w:eastAsia="Courier New" w:hAnsi="Courier New"/>
                <w:sz w:val="15"/>
                <w:szCs w:val="15"/>
                <w:color w:val="auto"/>
              </w:rPr>
              <w:t>Credit Suisse</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$1,325,431.03</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$1,741,252.54</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$8,082,530.43</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The Dai-Ichi Kangyo Bank</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$1,325,431.03</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$1,741,252.54</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$8,082,530.43</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The Mitsubishi Bank, Limited</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$1,325,431.03</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$1,741,252.54</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$8,082,530.43</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The Mitsubishi Trust &amp;</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$1,325,431.03</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$1,741,252.54</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$8,082,530.43</w:t>
            </w:r>
          </w:p>
        </w:tc>
      </w:tr>
      <w:tr>
        <w:trPr>
          <w:trHeight w:val="170"/>
        </w:trPr>
        <w:tc>
          <w:tcPr>
            <w:tcW w:w="4620" w:type="dxa"/>
            <w:vAlign w:val="bottom"/>
          </w:tcPr>
          <w:p>
            <w:pPr>
              <w:ind w:left="160"/>
              <w:spacing w:after="0"/>
              <w:rPr>
                <w:sz w:val="20"/>
                <w:szCs w:val="20"/>
                <w:color w:val="auto"/>
              </w:rPr>
            </w:pPr>
            <w:r>
              <w:rPr>
                <w:rFonts w:ascii="Courier New" w:cs="Courier New" w:eastAsia="Courier New" w:hAnsi="Courier New"/>
                <w:sz w:val="15"/>
                <w:szCs w:val="15"/>
                <w:color w:val="auto"/>
              </w:rPr>
              <w:t>Banking Corporation</w:t>
            </w:r>
          </w:p>
        </w:tc>
        <w:tc>
          <w:tcPr>
            <w:tcW w:w="2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Royal Bank of Canada</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$1,325,431.03</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$1,741,252.54</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$8,082,530.43</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The Sanwa Bank, Ltd.</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$1,325,431.03</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$1,741,252.54</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$8,082,530.43</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Sumitomo Bank, Limited,</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$1,325,431.03</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$1,741,252.54</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$8,082,530.43</w:t>
            </w:r>
          </w:p>
        </w:tc>
      </w:tr>
      <w:tr>
        <w:trPr>
          <w:trHeight w:val="170"/>
        </w:trPr>
        <w:tc>
          <w:tcPr>
            <w:tcW w:w="4620" w:type="dxa"/>
            <w:vAlign w:val="bottom"/>
          </w:tcPr>
          <w:p>
            <w:pPr>
              <w:ind w:left="160"/>
              <w:spacing w:after="0"/>
              <w:rPr>
                <w:sz w:val="20"/>
                <w:szCs w:val="20"/>
                <w:color w:val="auto"/>
              </w:rPr>
            </w:pPr>
            <w:r>
              <w:rPr>
                <w:rFonts w:ascii="Courier New" w:cs="Courier New" w:eastAsia="Courier New" w:hAnsi="Courier New"/>
                <w:sz w:val="15"/>
                <w:szCs w:val="15"/>
                <w:color w:val="auto"/>
              </w:rPr>
              <w:t>New York Branch</w:t>
            </w:r>
          </w:p>
        </w:tc>
        <w:tc>
          <w:tcPr>
            <w:tcW w:w="2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Union Bank of Switzerland</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$1,325,431.03</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$1,741,252.54</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$8,082,530.43</w:t>
            </w:r>
          </w:p>
        </w:tc>
      </w:tr>
      <w:tr>
        <w:trPr>
          <w:trHeight w:val="339"/>
        </w:trPr>
        <w:tc>
          <w:tcPr>
            <w:tcW w:w="4620" w:type="dxa"/>
            <w:vAlign w:val="bottom"/>
          </w:tcPr>
          <w:p>
            <w:pPr>
              <w:spacing w:after="0"/>
              <w:rPr>
                <w:sz w:val="20"/>
                <w:szCs w:val="20"/>
                <w:color w:val="auto"/>
              </w:rPr>
            </w:pPr>
            <w:r>
              <w:rPr>
                <w:rFonts w:ascii="Courier New" w:cs="Courier New" w:eastAsia="Courier New" w:hAnsi="Courier New"/>
                <w:sz w:val="15"/>
                <w:szCs w:val="15"/>
                <w:color w:val="auto"/>
              </w:rPr>
              <w:t>Chemical Bank</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$750,000.00</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$985,294.12</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$4,573,529.40</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Deutsche Bank AG</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$750,000.00</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$985,294.12</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$4,573,529.40</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The Sakura Bank Limited</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$562,500.00</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$738,970.59</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$3,430,147.06</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Compagnie Financiere de</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$375,000.00</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$492,647.06</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$2,286,764.71</w:t>
            </w:r>
          </w:p>
        </w:tc>
      </w:tr>
      <w:tr>
        <w:trPr>
          <w:trHeight w:val="170"/>
        </w:trPr>
        <w:tc>
          <w:tcPr>
            <w:tcW w:w="4620" w:type="dxa"/>
            <w:vAlign w:val="bottom"/>
          </w:tcPr>
          <w:p>
            <w:pPr>
              <w:ind w:left="160"/>
              <w:spacing w:after="0"/>
              <w:rPr>
                <w:sz w:val="20"/>
                <w:szCs w:val="20"/>
                <w:color w:val="auto"/>
              </w:rPr>
            </w:pPr>
            <w:r>
              <w:rPr>
                <w:rFonts w:ascii="Courier New" w:cs="Courier New" w:eastAsia="Courier New" w:hAnsi="Courier New"/>
                <w:sz w:val="15"/>
                <w:szCs w:val="15"/>
                <w:color w:val="auto"/>
              </w:rPr>
              <w:t>CIC et de L'Union Europeenne,</w:t>
            </w:r>
          </w:p>
        </w:tc>
        <w:tc>
          <w:tcPr>
            <w:tcW w:w="2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4620" w:type="dxa"/>
            <w:vAlign w:val="bottom"/>
          </w:tcPr>
          <w:p>
            <w:pPr>
              <w:ind w:left="160"/>
              <w:spacing w:after="0"/>
              <w:rPr>
                <w:sz w:val="20"/>
                <w:szCs w:val="20"/>
                <w:color w:val="auto"/>
              </w:rPr>
            </w:pPr>
            <w:r>
              <w:rPr>
                <w:rFonts w:ascii="Courier New" w:cs="Courier New" w:eastAsia="Courier New" w:hAnsi="Courier New"/>
                <w:sz w:val="15"/>
                <w:szCs w:val="15"/>
                <w:color w:val="auto"/>
              </w:rPr>
              <w:t>New York Branch</w:t>
            </w:r>
          </w:p>
        </w:tc>
        <w:tc>
          <w:tcPr>
            <w:tcW w:w="2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PNC Bank N.A.</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$375,000.00</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$492,647.06</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$2,286,764.71</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First Interstate Bank of Washington, N.A.</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$187,500.00</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$246,323.53</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$1,143,382.35</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Gulf International Bank</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$187,500.00</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$246,323.53</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$1,143,382.35</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The Tokai Bank, Limited,</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$187,500.00</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$246,323.53</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$1,143,382.35</w:t>
            </w:r>
          </w:p>
        </w:tc>
      </w:tr>
      <w:tr>
        <w:trPr>
          <w:trHeight w:val="170"/>
        </w:trPr>
        <w:tc>
          <w:tcPr>
            <w:tcW w:w="4620" w:type="dxa"/>
            <w:vAlign w:val="bottom"/>
          </w:tcPr>
          <w:p>
            <w:pPr>
              <w:ind w:left="160"/>
              <w:spacing w:after="0"/>
              <w:rPr>
                <w:sz w:val="20"/>
                <w:szCs w:val="20"/>
                <w:color w:val="auto"/>
              </w:rPr>
            </w:pPr>
            <w:r>
              <w:rPr>
                <w:rFonts w:ascii="Courier New" w:cs="Courier New" w:eastAsia="Courier New" w:hAnsi="Courier New"/>
                <w:sz w:val="15"/>
                <w:szCs w:val="15"/>
                <w:color w:val="auto"/>
              </w:rPr>
              <w:t>New York Branch</w:t>
            </w:r>
          </w:p>
        </w:tc>
        <w:tc>
          <w:tcPr>
            <w:tcW w:w="2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The Yasuda Trust and Banking</w:t>
            </w: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$187,500.00</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$246,323.53</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$1,143,382.35</w:t>
            </w:r>
          </w:p>
        </w:tc>
      </w:tr>
      <w:tr>
        <w:trPr>
          <w:trHeight w:val="170"/>
        </w:trPr>
        <w:tc>
          <w:tcPr>
            <w:tcW w:w="4620" w:type="dxa"/>
            <w:vAlign w:val="bottom"/>
          </w:tcPr>
          <w:p>
            <w:pPr>
              <w:ind w:left="160"/>
              <w:spacing w:after="0"/>
              <w:rPr>
                <w:sz w:val="20"/>
                <w:szCs w:val="20"/>
                <w:color w:val="auto"/>
              </w:rPr>
            </w:pPr>
            <w:r>
              <w:rPr>
                <w:rFonts w:ascii="Courier New" w:cs="Courier New" w:eastAsia="Courier New" w:hAnsi="Courier New"/>
                <w:sz w:val="15"/>
                <w:szCs w:val="15"/>
                <w:color w:val="auto"/>
              </w:rPr>
              <w:t>Co., Ltd., New York Branch</w:t>
            </w:r>
          </w:p>
        </w:tc>
        <w:tc>
          <w:tcPr>
            <w:tcW w:w="2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9"/>
        </w:trPr>
        <w:tc>
          <w:tcPr>
            <w:tcW w:w="4620" w:type="dxa"/>
            <w:vAlign w:val="bottom"/>
          </w:tcPr>
          <w:p>
            <w:pPr>
              <w:spacing w:after="0"/>
              <w:rPr>
                <w:sz w:val="24"/>
                <w:szCs w:val="24"/>
                <w:color w:val="auto"/>
              </w:rPr>
            </w:pPr>
          </w:p>
        </w:tc>
        <w:tc>
          <w:tcPr>
            <w:tcW w:w="2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$51,000,000.00</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$67,000,000.00</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$311,000,000.00</w:t>
            </w:r>
          </w:p>
        </w:tc>
      </w:tr>
    </w:tbl>
    <w:p>
      <w:pPr>
        <w:sectPr>
          <w:pgSz w:w="11900" w:h="16838" w:orient="portrait"/>
          <w:cols w:equalWidth="0" w:num="1">
            <w:col w:w="10480"/>
          </w:cols>
          <w:pgMar w:left="240" w:top="961" w:right="1179" w:bottom="1440" w:gutter="0" w:footer="0" w:header="0"/>
        </w:sectPr>
      </w:pPr>
    </w:p>
    <w:bookmarkStart w:id="234" w:name="page235"/>
    <w:bookmarkEnd w:id="234"/>
    <w:p>
      <w:pPr>
        <w:ind w:left="3160"/>
        <w:spacing w:after="0"/>
        <w:rPr>
          <w:sz w:val="20"/>
          <w:szCs w:val="20"/>
          <w:color w:val="auto"/>
        </w:rPr>
      </w:pPr>
      <w:r>
        <w:rPr>
          <w:rFonts w:ascii="Courier New" w:cs="Courier New" w:eastAsia="Courier New" w:hAnsi="Courier New"/>
          <w:sz w:val="15"/>
          <w:szCs w:val="15"/>
          <w:color w:val="auto"/>
        </w:rPr>
        <w:t>AMENDMENT</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This Amendment ("Amendment"), dated as of May 15, 1995, shall be:</w:t>
      </w:r>
    </w:p>
    <w:p>
      <w:pPr>
        <w:spacing w:after="0" w:line="175" w:lineRule="exact"/>
        <w:rPr>
          <w:sz w:val="20"/>
          <w:szCs w:val="20"/>
          <w:color w:val="auto"/>
        </w:rPr>
      </w:pPr>
    </w:p>
    <w:p>
      <w:pPr>
        <w:ind w:right="3179" w:firstLine="970"/>
        <w:spacing w:after="0" w:line="238" w:lineRule="auto"/>
        <w:rPr>
          <w:sz w:val="20"/>
          <w:szCs w:val="20"/>
          <w:color w:val="auto"/>
        </w:rPr>
      </w:pPr>
      <w:r>
        <w:rPr>
          <w:rFonts w:ascii="Courier New" w:cs="Courier New" w:eastAsia="Courier New" w:hAnsi="Courier New"/>
          <w:sz w:val="15"/>
          <w:szCs w:val="15"/>
          <w:color w:val="auto"/>
        </w:rPr>
        <w:t>AMENDMENT NO. 3 to the $6.489 BILLION CREDIT AGREEMENT, dated as of July 1, 1994, as amended as of August 5, 1994 by Amendment No. 1 and as of September 29, 1994 by Amendment No. 2 (the "Parent Facility"), among VIACOM INC., a Delaware corporation ("Viacom"), each of the several Banks, THE BANK OF NEW YORK, as a Managing Agent and as the Documentation Agent, CITIBANK, N.A., as a Managing Agent and as the Administrative Agent, MORGAN GUARANTY TRUST COMPANY OF NEW YORK, as a Managing Agent, JP MORGAN SECURITIES INC., as the Syndication Agent, BANK OF AMERICA NT&amp;SA, as a Managing Agent, the Banks identified as Agents on the signature pages thereof, as Agents, and the Banks identified as Co-Agents on the signature pages thereof, as Co-Agents; and</w:t>
      </w:r>
    </w:p>
    <w:p>
      <w:pPr>
        <w:spacing w:after="0" w:line="180" w:lineRule="exact"/>
        <w:rPr>
          <w:sz w:val="20"/>
          <w:szCs w:val="20"/>
          <w:color w:val="auto"/>
        </w:rPr>
      </w:pPr>
    </w:p>
    <w:p>
      <w:pPr>
        <w:ind w:right="3179" w:firstLine="970"/>
        <w:spacing w:after="0" w:line="257" w:lineRule="auto"/>
        <w:rPr>
          <w:sz w:val="20"/>
          <w:szCs w:val="20"/>
          <w:color w:val="auto"/>
        </w:rPr>
      </w:pPr>
      <w:r>
        <w:rPr>
          <w:rFonts w:ascii="Courier New" w:cs="Courier New" w:eastAsia="Courier New" w:hAnsi="Courier New"/>
          <w:sz w:val="14"/>
          <w:szCs w:val="14"/>
          <w:color w:val="auto"/>
        </w:rPr>
        <w:t>AMENDMENT NO. 2 to the $311 MILLION CREDIT AGREEMENT, dated as of July 1, 1994, as amended as of August 5, 1994 by Amendment No. 1 (the "Subsidiary Facility"), among VIACOM CABLEVISION OF DAYTON INC., WNYT INC., WMZQ INC., WVIT INC. and VIACOM INTERNATIONAL INC., each a Delaware corporation (collectively, "Subsidiary Borrowers"), each of the several Banks, THE BANK OF NEW YORK, as a Managing Agent and as the Documentation Agent, CITIBANK, N.A., as a Managing Agent and as the Administrative Agent, MORGAN GUARANTY TRUST COMPANY OF NEW YORK, as a Managing Agent, JP MORGAN SECURITIES INC., as the Syndication Agent, BANK OF AMERICA NT&amp;SA, as a Managing Agent, the Banks identified as Agents on the signature pages thereof, as Agents, and the Banks identified as Co-Agents on the signature pages thereof, as Co-Agents.</w:t>
      </w:r>
    </w:p>
    <w:p>
      <w:pPr>
        <w:spacing w:after="0" w:line="160"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 I T N E S S E T H:</w:t>
      </w:r>
    </w:p>
    <w:p>
      <w:pPr>
        <w:spacing w:after="0" w:line="175" w:lineRule="exact"/>
        <w:rPr>
          <w:sz w:val="20"/>
          <w:szCs w:val="20"/>
          <w:color w:val="auto"/>
        </w:rPr>
      </w:pPr>
    </w:p>
    <w:p>
      <w:pPr>
        <w:ind w:right="3359" w:firstLine="970"/>
        <w:spacing w:after="0" w:line="237" w:lineRule="auto"/>
        <w:rPr>
          <w:sz w:val="20"/>
          <w:szCs w:val="20"/>
          <w:color w:val="auto"/>
        </w:rPr>
      </w:pPr>
      <w:r>
        <w:rPr>
          <w:rFonts w:ascii="Courier New" w:cs="Courier New" w:eastAsia="Courier New" w:hAnsi="Courier New"/>
          <w:sz w:val="15"/>
          <w:szCs w:val="15"/>
          <w:color w:val="auto"/>
        </w:rPr>
        <w:t>WHEREAS, Viacom and the Subsidiary Borrowers have requested certain amendments to be made to certain provisions of the Parent Facility and the Subsidiary Facility, respectively; and</w:t>
      </w:r>
    </w:p>
    <w:p>
      <w:pPr>
        <w:spacing w:after="0" w:line="175" w:lineRule="exact"/>
        <w:rPr>
          <w:sz w:val="20"/>
          <w:szCs w:val="20"/>
          <w:color w:val="auto"/>
        </w:rPr>
      </w:pPr>
    </w:p>
    <w:p>
      <w:pPr>
        <w:ind w:right="3179" w:firstLine="970"/>
        <w:spacing w:after="0" w:line="237" w:lineRule="auto"/>
        <w:rPr>
          <w:sz w:val="20"/>
          <w:szCs w:val="20"/>
          <w:color w:val="auto"/>
        </w:rPr>
      </w:pPr>
      <w:r>
        <w:rPr>
          <w:rFonts w:ascii="Courier New" w:cs="Courier New" w:eastAsia="Courier New" w:hAnsi="Courier New"/>
          <w:sz w:val="15"/>
          <w:szCs w:val="15"/>
          <w:color w:val="auto"/>
        </w:rPr>
        <w:t>WHEREAS, the parties who have heretofore entered into the Parent Facility and the Subsidiary Facility now desire to amend such provisions of such agreements.</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NOW, THEREFORE, the parties hereto agree as follows:</w:t>
      </w:r>
    </w:p>
    <w:p>
      <w:pPr>
        <w:sectPr>
          <w:pgSz w:w="11900" w:h="16838" w:orient="portrait"/>
          <w:cols w:equalWidth="0" w:num="1">
            <w:col w:w="10219"/>
          </w:cols>
          <w:pgMar w:left="240" w:top="622" w:right="1440" w:bottom="1440" w:gutter="0" w:footer="0" w:header="0"/>
        </w:sectPr>
      </w:pPr>
    </w:p>
    <w:bookmarkStart w:id="235" w:name="page236"/>
    <w:bookmarkEnd w:id="235"/>
    <w:p>
      <w:pPr>
        <w:ind w:right="3259" w:firstLine="970"/>
        <w:spacing w:after="0" w:line="235" w:lineRule="auto"/>
        <w:rPr>
          <w:sz w:val="20"/>
          <w:szCs w:val="20"/>
          <w:color w:val="auto"/>
        </w:rPr>
      </w:pPr>
      <w:r>
        <w:rPr>
          <w:rFonts w:ascii="Courier New" w:cs="Courier New" w:eastAsia="Courier New" w:hAnsi="Courier New"/>
          <w:sz w:val="15"/>
          <w:szCs w:val="15"/>
          <w:color w:val="auto"/>
        </w:rPr>
        <w:t>SECTION 1. Amendments. (a) The definition of EBIDT in Section 1.1 of the Parent Facility is hereby amended by:</w:t>
      </w:r>
    </w:p>
    <w:p>
      <w:pPr>
        <w:spacing w:after="0" w:line="17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(i) deleting clause (a)(ii) in its entirety and replacing it with the</w:t>
      </w:r>
    </w:p>
    <w:p>
      <w:pPr>
        <w:spacing w:after="0"/>
        <w:rPr>
          <w:sz w:val="20"/>
          <w:szCs w:val="20"/>
          <w:color w:val="auto"/>
        </w:rPr>
      </w:pPr>
      <w:r>
        <w:rPr>
          <w:rFonts w:ascii="Courier New" w:cs="Courier New" w:eastAsia="Courier New" w:hAnsi="Courier New"/>
          <w:sz w:val="15"/>
          <w:szCs w:val="15"/>
          <w:color w:val="auto"/>
        </w:rPr>
        <w:t>following:</w:t>
      </w:r>
    </w:p>
    <w:p>
      <w:pPr>
        <w:spacing w:after="0" w:line="174" w:lineRule="exact"/>
        <w:rPr>
          <w:sz w:val="20"/>
          <w:szCs w:val="20"/>
          <w:color w:val="auto"/>
        </w:rPr>
      </w:pPr>
    </w:p>
    <w:p>
      <w:pPr>
        <w:ind w:left="960" w:right="3259" w:firstLine="441"/>
        <w:spacing w:after="0" w:line="237" w:lineRule="auto"/>
        <w:rPr>
          <w:sz w:val="20"/>
          <w:szCs w:val="20"/>
          <w:color w:val="auto"/>
        </w:rPr>
      </w:pPr>
      <w:r>
        <w:rPr>
          <w:rFonts w:ascii="Courier New" w:cs="Courier New" w:eastAsia="Courier New" w:hAnsi="Courier New"/>
          <w:sz w:val="15"/>
          <w:szCs w:val="15"/>
          <w:color w:val="auto"/>
        </w:rPr>
        <w:t>"(ii) amortization expense (including all amortization expenses recognized in accordance with APB 16 and 17 but excluding (A) all other amortization of programming, production and pre-publication costs and (B) amortization of videocassettes)";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w:t>
      </w:r>
    </w:p>
    <w:p>
      <w:pPr>
        <w:spacing w:after="0" w:line="175" w:lineRule="exact"/>
        <w:rPr>
          <w:sz w:val="20"/>
          <w:szCs w:val="20"/>
          <w:color w:val="auto"/>
        </w:rPr>
      </w:pPr>
    </w:p>
    <w:p>
      <w:pPr>
        <w:ind w:right="3259" w:firstLine="960"/>
        <w:spacing w:after="0" w:line="235" w:lineRule="auto"/>
        <w:tabs>
          <w:tab w:leader="none" w:pos="141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deleting the phrase ", less (c) Net Video Tape Purchases" after the word "definition" at the end of clause (b).</w:t>
      </w:r>
    </w:p>
    <w:p>
      <w:pPr>
        <w:spacing w:after="0" w:line="176" w:lineRule="exact"/>
        <w:rPr>
          <w:sz w:val="20"/>
          <w:szCs w:val="20"/>
          <w:color w:val="auto"/>
        </w:rPr>
      </w:pPr>
    </w:p>
    <w:p>
      <w:pPr>
        <w:ind w:right="3439" w:firstLine="960"/>
        <w:spacing w:after="0" w:line="235" w:lineRule="auto"/>
        <w:tabs>
          <w:tab w:leader="none" w:pos="1322"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1.1 of the Parent Facility is hereby amended to delete the definition of Net Video Tape Purchases.</w:t>
      </w:r>
    </w:p>
    <w:p>
      <w:pPr>
        <w:spacing w:after="0" w:line="175" w:lineRule="exact"/>
        <w:rPr>
          <w:rFonts w:ascii="Courier New" w:cs="Courier New" w:eastAsia="Courier New" w:hAnsi="Courier New"/>
          <w:sz w:val="15"/>
          <w:szCs w:val="15"/>
          <w:color w:val="auto"/>
        </w:rPr>
      </w:pPr>
    </w:p>
    <w:p>
      <w:pPr>
        <w:ind w:right="3179" w:firstLine="960"/>
        <w:spacing w:after="0" w:line="237" w:lineRule="auto"/>
        <w:tabs>
          <w:tab w:leader="none" w:pos="1322"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definition of "Applicable Eurodollar Rate Margin" in Section 1.1 of each of the Parent Facility and the Subsidiary Facility is hereby amended by deleting the first proviso in its entirety and replacing it with the following:</w:t>
      </w:r>
    </w:p>
    <w:p>
      <w:pPr>
        <w:spacing w:after="0" w:line="176" w:lineRule="exact"/>
        <w:rPr>
          <w:sz w:val="20"/>
          <w:szCs w:val="20"/>
          <w:color w:val="auto"/>
        </w:rPr>
      </w:pPr>
    </w:p>
    <w:p>
      <w:pPr>
        <w:ind w:left="960" w:right="3259" w:firstLine="441"/>
        <w:spacing w:after="0" w:line="237" w:lineRule="auto"/>
        <w:rPr>
          <w:sz w:val="20"/>
          <w:szCs w:val="20"/>
          <w:color w:val="auto"/>
        </w:rPr>
      </w:pPr>
      <w:r>
        <w:rPr>
          <w:rFonts w:ascii="Courier New" w:cs="Courier New" w:eastAsia="Courier New" w:hAnsi="Courier New"/>
          <w:sz w:val="15"/>
          <w:szCs w:val="15"/>
          <w:color w:val="auto"/>
        </w:rPr>
        <w:t>"provided, however, that if the ratings assigned by S&amp;P and Moody's shall differ, the Credit Rating shall be the rating which is the higher rating".</w:t>
      </w:r>
    </w:p>
    <w:p>
      <w:pPr>
        <w:spacing w:after="0" w:line="169" w:lineRule="exact"/>
        <w:rPr>
          <w:sz w:val="20"/>
          <w:szCs w:val="20"/>
          <w:color w:val="auto"/>
        </w:rPr>
      </w:pPr>
    </w:p>
    <w:p>
      <w:pPr>
        <w:ind w:left="1400" w:hanging="440"/>
        <w:spacing w:after="0"/>
        <w:tabs>
          <w:tab w:leader="none" w:pos="140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2.3 (b) of the Parent Facility is hereby amended by:</w:t>
      </w:r>
    </w:p>
    <w:p>
      <w:pPr>
        <w:spacing w:after="0" w:line="175" w:lineRule="exact"/>
        <w:rPr>
          <w:sz w:val="20"/>
          <w:szCs w:val="20"/>
          <w:color w:val="auto"/>
        </w:rPr>
      </w:pPr>
    </w:p>
    <w:p>
      <w:pPr>
        <w:ind w:right="3439" w:firstLine="960"/>
        <w:spacing w:after="0" w:line="235" w:lineRule="auto"/>
        <w:tabs>
          <w:tab w:leader="none" w:pos="1322"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inserting the words "or Capital Market Transaction date" after the words "related sale date" in clause (y) thereof;</w:t>
      </w:r>
    </w:p>
    <w:p>
      <w:pPr>
        <w:spacing w:after="0" w:line="175" w:lineRule="exact"/>
        <w:rPr>
          <w:rFonts w:ascii="Courier New" w:cs="Courier New" w:eastAsia="Courier New" w:hAnsi="Courier New"/>
          <w:sz w:val="15"/>
          <w:szCs w:val="15"/>
          <w:color w:val="auto"/>
        </w:rPr>
      </w:pPr>
    </w:p>
    <w:p>
      <w:pPr>
        <w:ind w:right="3359" w:firstLine="960"/>
        <w:spacing w:after="0" w:line="235" w:lineRule="auto"/>
        <w:tabs>
          <w:tab w:leader="none" w:pos="1498"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deleting the number $250 million in clause (y)(C) thereof and replacing it with the number $500 million;</w:t>
      </w:r>
    </w:p>
    <w:p>
      <w:pPr>
        <w:spacing w:after="0" w:line="175" w:lineRule="exact"/>
        <w:rPr>
          <w:rFonts w:ascii="Courier New" w:cs="Courier New" w:eastAsia="Courier New" w:hAnsi="Courier New"/>
          <w:sz w:val="15"/>
          <w:szCs w:val="15"/>
          <w:color w:val="auto"/>
        </w:rPr>
      </w:pPr>
    </w:p>
    <w:p>
      <w:pPr>
        <w:ind w:right="3359" w:firstLine="960"/>
        <w:spacing w:after="0" w:line="235" w:lineRule="auto"/>
        <w:tabs>
          <w:tab w:leader="none" w:pos="1498"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replacing the word "reinvested", wherever it appears therein, with the words "used to acquire assets";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8" w:right="1440" w:bottom="1440" w:gutter="0" w:footer="0" w:header="0"/>
        </w:sectPr>
      </w:pPr>
    </w:p>
    <w:bookmarkStart w:id="236" w:name="page237"/>
    <w:bookmarkEnd w:id="236"/>
    <w:p>
      <w:pPr>
        <w:ind w:left="10" w:right="3179" w:firstLine="960"/>
        <w:spacing w:after="0" w:line="235" w:lineRule="auto"/>
        <w:tabs>
          <w:tab w:leader="none" w:pos="142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replacing the word "reinvestment", in the first place it appears therein, with the words "use for acquisitions"; and</w:t>
      </w:r>
    </w:p>
    <w:p>
      <w:pPr>
        <w:spacing w:after="0" w:line="175" w:lineRule="exact"/>
        <w:rPr>
          <w:rFonts w:ascii="Courier New" w:cs="Courier New" w:eastAsia="Courier New" w:hAnsi="Courier New"/>
          <w:sz w:val="15"/>
          <w:szCs w:val="15"/>
          <w:color w:val="auto"/>
        </w:rPr>
      </w:pPr>
    </w:p>
    <w:p>
      <w:pPr>
        <w:ind w:left="10" w:right="3259" w:firstLine="960"/>
        <w:spacing w:after="0" w:line="235" w:lineRule="auto"/>
        <w:tabs>
          <w:tab w:leader="none" w:pos="1332"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replacing the words "reinvestment of Net Cash Proceeds" with the words "use of Net Cash Proceeds for acquisitions".</w:t>
      </w:r>
    </w:p>
    <w:p>
      <w:pPr>
        <w:spacing w:after="0" w:line="170" w:lineRule="exact"/>
        <w:rPr>
          <w:sz w:val="20"/>
          <w:szCs w:val="20"/>
          <w:color w:val="auto"/>
        </w:rPr>
      </w:pPr>
    </w:p>
    <w:p>
      <w:pPr>
        <w:ind w:left="1330" w:hanging="360"/>
        <w:spacing w:after="0"/>
        <w:tabs>
          <w:tab w:leader="none" w:pos="1330"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Section 5.4 (a) of the Parent Facility and Section 3.4</w:t>
      </w:r>
    </w:p>
    <w:p>
      <w:pPr>
        <w:spacing w:after="0" w:line="5" w:lineRule="exact"/>
        <w:rPr>
          <w:rFonts w:ascii="Courier New" w:cs="Courier New" w:eastAsia="Courier New" w:hAnsi="Courier New"/>
          <w:sz w:val="15"/>
          <w:szCs w:val="15"/>
          <w:color w:val="auto"/>
        </w:rPr>
      </w:pPr>
    </w:p>
    <w:p>
      <w:pPr>
        <w:ind w:left="10" w:right="3259" w:hanging="10"/>
        <w:spacing w:after="0" w:line="235" w:lineRule="auto"/>
        <w:tabs>
          <w:tab w:leader="none" w:pos="362"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Subsidiary Facility is hereby amended by deleting the proviso in its entirety and replacing it with the following:</w:t>
      </w:r>
    </w:p>
    <w:p>
      <w:pPr>
        <w:spacing w:after="0" w:line="176" w:lineRule="exact"/>
        <w:rPr>
          <w:sz w:val="20"/>
          <w:szCs w:val="20"/>
          <w:color w:val="auto"/>
        </w:rPr>
      </w:pPr>
    </w:p>
    <w:p>
      <w:pPr>
        <w:ind w:left="970" w:right="3259" w:firstLine="441"/>
        <w:spacing w:after="0" w:line="237" w:lineRule="auto"/>
        <w:rPr>
          <w:sz w:val="20"/>
          <w:szCs w:val="20"/>
          <w:color w:val="auto"/>
        </w:rPr>
      </w:pPr>
      <w:r>
        <w:rPr>
          <w:rFonts w:ascii="Courier New" w:cs="Courier New" w:eastAsia="Courier New" w:hAnsi="Courier New"/>
          <w:sz w:val="15"/>
          <w:szCs w:val="15"/>
          <w:color w:val="auto"/>
        </w:rPr>
        <w:t>"provided, however, that if the ratings assigned by S&amp;P and Moody's shall differ, the Credit Rating shall be the rating which is the higher rating".</w:t>
      </w:r>
    </w:p>
    <w:p>
      <w:pPr>
        <w:spacing w:after="0" w:line="175" w:lineRule="exact"/>
        <w:rPr>
          <w:sz w:val="20"/>
          <w:szCs w:val="20"/>
          <w:color w:val="auto"/>
        </w:rPr>
      </w:pPr>
    </w:p>
    <w:p>
      <w:pPr>
        <w:ind w:left="10" w:right="3979" w:firstLine="960"/>
        <w:spacing w:after="0" w:line="235" w:lineRule="auto"/>
        <w:tabs>
          <w:tab w:leader="none" w:pos="1332"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10.6 of the Parent Facility is hereby amended by replacing it in its entirety with the following:</w:t>
      </w:r>
    </w:p>
    <w:p>
      <w:pPr>
        <w:spacing w:after="0" w:line="176" w:lineRule="exact"/>
        <w:rPr>
          <w:sz w:val="20"/>
          <w:szCs w:val="20"/>
          <w:color w:val="auto"/>
        </w:rPr>
      </w:pPr>
    </w:p>
    <w:p>
      <w:pPr>
        <w:ind w:left="970" w:right="3259" w:firstLine="441"/>
        <w:spacing w:after="0" w:line="257" w:lineRule="auto"/>
        <w:rPr>
          <w:sz w:val="20"/>
          <w:szCs w:val="20"/>
          <w:color w:val="auto"/>
        </w:rPr>
      </w:pPr>
      <w:r>
        <w:rPr>
          <w:rFonts w:ascii="Courier New" w:cs="Courier New" w:eastAsia="Courier New" w:hAnsi="Courier New"/>
          <w:sz w:val="14"/>
          <w:szCs w:val="14"/>
          <w:color w:val="auto"/>
        </w:rPr>
        <w:t>"10.6. Subsidiary Indebtedness. The Borrower shall not permit any of its Subsidiaries, other than a Guarantor Subsidiary, to incur Indebtedness for borrowed money other than (a) the Subsidiary Loans (as defined in the Subsidiary Facility), (b) under existing facilities identified on Schedule 10.6 to Amendment No. 2 to this Agreement or any replacement facilities thereto which in the aggregate do not exceed the amounts of the commitments on such Schedule and (c) Indebtedness for borrowed money in an aggregate amount at any time outstanding of not more than $25 million for all of its Subsidiaries other than a Guarantor Subsidiary".</w:t>
      </w:r>
    </w:p>
    <w:p>
      <w:pPr>
        <w:spacing w:after="0" w:line="166" w:lineRule="exact"/>
        <w:rPr>
          <w:sz w:val="20"/>
          <w:szCs w:val="20"/>
          <w:color w:val="auto"/>
        </w:rPr>
      </w:pPr>
    </w:p>
    <w:p>
      <w:pPr>
        <w:ind w:left="10" w:right="3699" w:firstLine="960"/>
        <w:spacing w:after="0" w:line="237" w:lineRule="auto"/>
        <w:tabs>
          <w:tab w:leader="none" w:pos="1332"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7.4 of the Subsidiary Facility is hereby amended by adding after the word "Agreement" the phrase "and other than Indebtedness permitted pursuant to Section 10.6 of the Parent Facility".</w:t>
      </w:r>
    </w:p>
    <w:p>
      <w:pPr>
        <w:spacing w:after="0" w:line="174" w:lineRule="exact"/>
        <w:rPr>
          <w:rFonts w:ascii="Courier New" w:cs="Courier New" w:eastAsia="Courier New" w:hAnsi="Courier New"/>
          <w:sz w:val="15"/>
          <w:szCs w:val="15"/>
          <w:color w:val="auto"/>
        </w:rPr>
      </w:pPr>
    </w:p>
    <w:p>
      <w:pPr>
        <w:ind w:left="10" w:right="3359" w:firstLine="960"/>
        <w:spacing w:after="0" w:line="237" w:lineRule="auto"/>
        <w:tabs>
          <w:tab w:leader="none" w:pos="1332"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Section 10.7 of the Parent Facility and Section 7.5 of the Subsidiary Facility is hereby amended by inserting the following after the words "Commercial Paper" in the parentheses:</w:t>
      </w:r>
    </w:p>
    <w:p>
      <w:pPr>
        <w:spacing w:after="0" w:line="175" w:lineRule="exact"/>
        <w:rPr>
          <w:sz w:val="20"/>
          <w:szCs w:val="20"/>
          <w:color w:val="auto"/>
        </w:rPr>
      </w:pPr>
    </w:p>
    <w:p>
      <w:pPr>
        <w:ind w:left="970" w:right="3359" w:firstLine="441"/>
        <w:spacing w:after="0" w:line="265" w:lineRule="auto"/>
        <w:rPr>
          <w:sz w:val="20"/>
          <w:szCs w:val="20"/>
          <w:color w:val="auto"/>
        </w:rPr>
      </w:pPr>
      <w:r>
        <w:rPr>
          <w:rFonts w:ascii="Courier New" w:cs="Courier New" w:eastAsia="Courier New" w:hAnsi="Courier New"/>
          <w:sz w:val="14"/>
          <w:szCs w:val="14"/>
          <w:color w:val="auto"/>
        </w:rPr>
        <w:t>"and up to $500 million of Indebtedness with maturities of no less than seven years from the date such Indebtedness is incurred".</w:t>
      </w:r>
    </w:p>
    <w:p>
      <w:pPr>
        <w:spacing w:after="0" w:line="32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627" w:right="1440" w:bottom="1440" w:gutter="0" w:footer="0" w:header="0"/>
        </w:sectPr>
      </w:pPr>
    </w:p>
    <w:bookmarkStart w:id="237" w:name="page238"/>
    <w:bookmarkEnd w:id="237"/>
    <w:p>
      <w:pPr>
        <w:ind w:right="3359" w:firstLine="970"/>
        <w:spacing w:after="0" w:line="237" w:lineRule="auto"/>
        <w:rPr>
          <w:sz w:val="20"/>
          <w:szCs w:val="20"/>
          <w:color w:val="auto"/>
        </w:rPr>
      </w:pPr>
      <w:r>
        <w:rPr>
          <w:rFonts w:ascii="Courier New" w:cs="Courier New" w:eastAsia="Courier New" w:hAnsi="Courier New"/>
          <w:sz w:val="15"/>
          <w:szCs w:val="15"/>
          <w:color w:val="auto"/>
        </w:rPr>
        <w:t>SECTION 2. Effectiveness. This Amendment will be effective upon the execution hereof by each of Viacom, each Subsidiary Borrower, the Guarantor Subsidiary and (i) except in the case of the amendments contained in Sections 1(c) and (e) hereof, the Majority Banks and (ii) in the case of the amendments contained in Sections 1(c) and (e) hereof, each of the Banks.</w:t>
      </w:r>
    </w:p>
    <w:p>
      <w:pPr>
        <w:spacing w:after="0" w:line="348" w:lineRule="exact"/>
        <w:rPr>
          <w:sz w:val="20"/>
          <w:szCs w:val="20"/>
          <w:color w:val="auto"/>
        </w:rPr>
      </w:pPr>
    </w:p>
    <w:p>
      <w:pPr>
        <w:ind w:right="3179" w:firstLine="970"/>
        <w:spacing w:after="0" w:line="237" w:lineRule="auto"/>
        <w:rPr>
          <w:sz w:val="20"/>
          <w:szCs w:val="20"/>
          <w:color w:val="auto"/>
        </w:rPr>
      </w:pPr>
      <w:r>
        <w:rPr>
          <w:rFonts w:ascii="Courier New" w:cs="Courier New" w:eastAsia="Courier New" w:hAnsi="Courier New"/>
          <w:sz w:val="15"/>
          <w:szCs w:val="15"/>
          <w:color w:val="auto"/>
        </w:rPr>
        <w:t>SECTION 3. Representations and Warranties. Each of Viacom, the Subsidiary Borrowers and the Guarantor Subsidiary hereby represents and warrants that as of the date hereof, both before and after giving effect to this Amendment, no Default or Event of Default shall exist or be continuing under the Parent Facility or the Subsidiary Facility.</w:t>
      </w:r>
    </w:p>
    <w:p>
      <w:pPr>
        <w:spacing w:after="0" w:line="348" w:lineRule="exact"/>
        <w:rPr>
          <w:sz w:val="20"/>
          <w:szCs w:val="20"/>
          <w:color w:val="auto"/>
        </w:rPr>
      </w:pPr>
    </w:p>
    <w:p>
      <w:pPr>
        <w:jc w:val="both"/>
        <w:ind w:right="3179" w:firstLine="970"/>
        <w:spacing w:after="0" w:line="237" w:lineRule="auto"/>
        <w:rPr>
          <w:sz w:val="20"/>
          <w:szCs w:val="20"/>
          <w:color w:val="auto"/>
        </w:rPr>
      </w:pPr>
      <w:r>
        <w:rPr>
          <w:rFonts w:ascii="Courier New" w:cs="Courier New" w:eastAsia="Courier New" w:hAnsi="Courier New"/>
          <w:sz w:val="15"/>
          <w:szCs w:val="15"/>
          <w:color w:val="auto"/>
        </w:rPr>
        <w:t>SECTION 4. Miscellaneous. (a) Capitalized terms used herein and not otherwise defined herein shall have the meanings ascribed to them in each of the Parent Facility and the Subsidiary Facility.</w:t>
      </w:r>
    </w:p>
    <w:p>
      <w:pPr>
        <w:spacing w:after="0" w:line="175" w:lineRule="exact"/>
        <w:rPr>
          <w:sz w:val="20"/>
          <w:szCs w:val="20"/>
          <w:color w:val="auto"/>
        </w:rPr>
      </w:pPr>
    </w:p>
    <w:p>
      <w:pPr>
        <w:ind w:right="3179" w:firstLine="960"/>
        <w:spacing w:after="0" w:line="237" w:lineRule="auto"/>
        <w:tabs>
          <w:tab w:leader="none" w:pos="1322"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amended hereby, all of the terms of each of the Parent Facility and the Subsidiary Facility shall remain and continue in full force and effect and are hereby confirmed in all respects.</w:t>
      </w:r>
    </w:p>
    <w:p>
      <w:pPr>
        <w:spacing w:after="0" w:line="174" w:lineRule="exact"/>
        <w:rPr>
          <w:rFonts w:ascii="Courier New" w:cs="Courier New" w:eastAsia="Courier New" w:hAnsi="Courier New"/>
          <w:sz w:val="15"/>
          <w:szCs w:val="15"/>
          <w:color w:val="auto"/>
        </w:rPr>
      </w:pPr>
    </w:p>
    <w:p>
      <w:pPr>
        <w:ind w:right="3359" w:firstLine="960"/>
        <w:spacing w:after="0" w:line="235" w:lineRule="auto"/>
        <w:tabs>
          <w:tab w:leader="none" w:pos="1322"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shall be a Loan Document for the purposes of the Parent Facility and the Subsidiary Facility.</w:t>
      </w:r>
    </w:p>
    <w:p>
      <w:pPr>
        <w:spacing w:after="0" w:line="175" w:lineRule="exact"/>
        <w:rPr>
          <w:rFonts w:ascii="Courier New" w:cs="Courier New" w:eastAsia="Courier New" w:hAnsi="Courier New"/>
          <w:sz w:val="15"/>
          <w:szCs w:val="15"/>
          <w:color w:val="auto"/>
        </w:rPr>
      </w:pPr>
    </w:p>
    <w:p>
      <w:pPr>
        <w:ind w:right="3179" w:firstLine="960"/>
        <w:spacing w:after="0" w:line="237" w:lineRule="auto"/>
        <w:tabs>
          <w:tab w:leader="none" w:pos="1322"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may be signed in any number of counterparts, each of which shall be an original, with the same effect as if the signatures thereto were upon the same instrument. Delivery of an executed counterpart of a signature page of this Amendment by telecopier shall be effective as delivery of a manually executed counterpart of this Amendment.</w:t>
      </w:r>
    </w:p>
    <w:p>
      <w:pPr>
        <w:spacing w:after="0" w:line="178" w:lineRule="exact"/>
        <w:rPr>
          <w:rFonts w:ascii="Courier New" w:cs="Courier New" w:eastAsia="Courier New" w:hAnsi="Courier New"/>
          <w:sz w:val="15"/>
          <w:szCs w:val="15"/>
          <w:color w:val="auto"/>
        </w:rPr>
      </w:pPr>
    </w:p>
    <w:p>
      <w:pPr>
        <w:ind w:right="3359" w:firstLine="960"/>
        <w:spacing w:after="0" w:line="237" w:lineRule="auto"/>
        <w:tabs>
          <w:tab w:leader="none" w:pos="1322"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AND THE RIGHTS AND OBLIGATIONS OF THE PARTIES HERETO SHALL BE GOVERNED BY, AND CONSTRUED IN ACCORDANCE WITH, THE LAWS OF THE STATE OF NEW YORK.</w:t>
      </w:r>
    </w:p>
    <w:p>
      <w:pPr>
        <w:spacing w:after="0" w:line="344" w:lineRule="exact"/>
        <w:rPr>
          <w:sz w:val="20"/>
          <w:szCs w:val="20"/>
          <w:color w:val="auto"/>
        </w:rPr>
      </w:pPr>
    </w:p>
    <w:p>
      <w:pPr>
        <w:jc w:val="both"/>
        <w:ind w:right="3359" w:firstLine="970"/>
        <w:spacing w:after="0" w:line="260" w:lineRule="auto"/>
        <w:rPr>
          <w:sz w:val="20"/>
          <w:szCs w:val="20"/>
          <w:color w:val="auto"/>
        </w:rPr>
      </w:pPr>
      <w:r>
        <w:rPr>
          <w:rFonts w:ascii="Courier New" w:cs="Courier New" w:eastAsia="Courier New" w:hAnsi="Courier New"/>
          <w:sz w:val="14"/>
          <w:szCs w:val="14"/>
          <w:color w:val="auto"/>
        </w:rPr>
        <w:t>SECTION 5. Guarantor Subsidiary Confirmation. By signing below, the Guarantor Subsidiary hereby agrees to the terms of the foregoing Amendment and confirms that the VII Guarantee remains in full force and effect.</w:t>
      </w:r>
    </w:p>
    <w:p>
      <w:pPr>
        <w:spacing w:after="0" w:line="200" w:lineRule="exact"/>
        <w:rPr>
          <w:sz w:val="20"/>
          <w:szCs w:val="20"/>
          <w:color w:val="auto"/>
        </w:rPr>
      </w:pPr>
    </w:p>
    <w:p>
      <w:pPr>
        <w:spacing w:after="0" w:line="29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8" w:right="1440" w:bottom="1440" w:gutter="0" w:footer="0" w:header="0"/>
        </w:sectPr>
      </w:pPr>
    </w:p>
    <w:bookmarkStart w:id="238" w:name="page239"/>
    <w:bookmarkEnd w:id="238"/>
    <w:p>
      <w:pPr>
        <w:ind w:right="3359" w:firstLine="970"/>
        <w:spacing w:after="0" w:line="237" w:lineRule="auto"/>
        <w:rPr>
          <w:sz w:val="20"/>
          <w:szCs w:val="20"/>
          <w:color w:val="auto"/>
        </w:rPr>
      </w:pPr>
      <w:r>
        <w:rPr>
          <w:rFonts w:ascii="Courier New" w:cs="Courier New" w:eastAsia="Courier New" w:hAnsi="Courier New"/>
          <w:sz w:val="15"/>
          <w:szCs w:val="15"/>
          <w:color w:val="auto"/>
        </w:rPr>
        <w:t>SECTION 6. Viacom Inc. Confirmation. By signing below, Viacom Inc., as guarantor under the Parent Guarantee ("Parent Guarantor"), hereby agrees to the terms of the foregoing Amendment and confirms that the Parent Guarantee remains in full force and effect.</w:t>
      </w:r>
    </w:p>
    <w:p>
      <w:pPr>
        <w:spacing w:after="0" w:line="176" w:lineRule="exact"/>
        <w:rPr>
          <w:sz w:val="20"/>
          <w:szCs w:val="20"/>
          <w:color w:val="auto"/>
        </w:rPr>
      </w:pPr>
    </w:p>
    <w:p>
      <w:pPr>
        <w:ind w:right="3259" w:firstLine="970"/>
        <w:spacing w:after="0" w:line="235" w:lineRule="auto"/>
        <w:rPr>
          <w:sz w:val="20"/>
          <w:szCs w:val="20"/>
          <w:color w:val="auto"/>
        </w:rPr>
      </w:pPr>
      <w:r>
        <w:rPr>
          <w:rFonts w:ascii="Courier New" w:cs="Courier New" w:eastAsia="Courier New" w:hAnsi="Courier New"/>
          <w:sz w:val="15"/>
          <w:szCs w:val="15"/>
          <w:color w:val="auto"/>
        </w:rPr>
        <w:t>IN WITNESS WHEREOF, the parties hereto have caused this Amendment to be duly executed as of the date first above written.</w:t>
      </w:r>
    </w:p>
    <w:p>
      <w:pPr>
        <w:spacing w:after="0" w:line="170"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VIACOM INC., as Borrower and as Parent</w:t>
      </w:r>
    </w:p>
    <w:p>
      <w:pPr>
        <w:ind w:left="3520"/>
        <w:spacing w:after="0"/>
        <w:rPr>
          <w:sz w:val="20"/>
          <w:szCs w:val="20"/>
          <w:color w:val="auto"/>
        </w:rPr>
      </w:pPr>
      <w:r>
        <w:rPr>
          <w:rFonts w:ascii="Courier New" w:cs="Courier New" w:eastAsia="Courier New" w:hAnsi="Courier New"/>
          <w:sz w:val="15"/>
          <w:szCs w:val="15"/>
          <w:color w:val="auto"/>
        </w:rPr>
        <w:t>Guarantor</w:t>
      </w:r>
    </w:p>
    <w:p>
      <w:pPr>
        <w:spacing w:after="0" w:line="200" w:lineRule="exact"/>
        <w:rPr>
          <w:sz w:val="20"/>
          <w:szCs w:val="20"/>
          <w:color w:val="auto"/>
        </w:rPr>
      </w:pPr>
    </w:p>
    <w:p>
      <w:pPr>
        <w:spacing w:after="0" w:line="30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By: /s/ Vaughn A. Clark</w:t>
      </w:r>
    </w:p>
    <w:p>
      <w:pPr>
        <w:ind w:left="3780"/>
        <w:spacing w:after="0"/>
        <w:rPr>
          <w:sz w:val="20"/>
          <w:szCs w:val="20"/>
          <w:color w:val="auto"/>
        </w:rPr>
      </w:pPr>
      <w:r>
        <w:rPr>
          <w:rFonts w:ascii="Courier New" w:cs="Courier New" w:eastAsia="Courier New" w:hAnsi="Courier New"/>
          <w:sz w:val="15"/>
          <w:szCs w:val="15"/>
          <w:color w:val="auto"/>
        </w:rPr>
        <w:t>----------------------------</w:t>
      </w:r>
    </w:p>
    <w:p>
      <w:pPr>
        <w:ind w:left="3780"/>
        <w:spacing w:after="0"/>
        <w:rPr>
          <w:sz w:val="20"/>
          <w:szCs w:val="20"/>
          <w:color w:val="auto"/>
        </w:rPr>
      </w:pPr>
      <w:r>
        <w:rPr>
          <w:rFonts w:ascii="Courier New" w:cs="Courier New" w:eastAsia="Courier New" w:hAnsi="Courier New"/>
          <w:sz w:val="15"/>
          <w:szCs w:val="15"/>
          <w:color w:val="auto"/>
        </w:rPr>
        <w:t>Name: Vaughn A. Clark</w:t>
      </w:r>
    </w:p>
    <w:p>
      <w:pPr>
        <w:ind w:left="3780"/>
        <w:spacing w:after="0" w:line="238" w:lineRule="auto"/>
        <w:rPr>
          <w:sz w:val="20"/>
          <w:szCs w:val="20"/>
          <w:color w:val="auto"/>
        </w:rPr>
      </w:pPr>
      <w:r>
        <w:rPr>
          <w:rFonts w:ascii="Courier New" w:cs="Courier New" w:eastAsia="Courier New" w:hAnsi="Courier New"/>
          <w:sz w:val="15"/>
          <w:szCs w:val="15"/>
          <w:color w:val="auto"/>
        </w:rPr>
        <w:t>Title: Senior Vice President,</w:t>
      </w:r>
    </w:p>
    <w:p>
      <w:pPr>
        <w:ind w:left="4400"/>
        <w:spacing w:after="0"/>
        <w:rPr>
          <w:sz w:val="20"/>
          <w:szCs w:val="20"/>
          <w:color w:val="auto"/>
        </w:rPr>
      </w:pPr>
      <w:r>
        <w:rPr>
          <w:rFonts w:ascii="Courier New" w:cs="Courier New" w:eastAsia="Courier New" w:hAnsi="Courier New"/>
          <w:sz w:val="15"/>
          <w:szCs w:val="15"/>
          <w:color w:val="auto"/>
        </w:rPr>
        <w:t>Treasurer</w:t>
      </w:r>
    </w:p>
    <w:p>
      <w:pPr>
        <w:spacing w:after="0" w:line="33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VIACOM INTERNATIONAL INC., as a</w:t>
      </w:r>
    </w:p>
    <w:p>
      <w:pPr>
        <w:ind w:left="3520"/>
        <w:spacing w:after="0"/>
        <w:rPr>
          <w:sz w:val="20"/>
          <w:szCs w:val="20"/>
          <w:color w:val="auto"/>
        </w:rPr>
      </w:pPr>
      <w:r>
        <w:rPr>
          <w:rFonts w:ascii="Courier New" w:cs="Courier New" w:eastAsia="Courier New" w:hAnsi="Courier New"/>
          <w:sz w:val="15"/>
          <w:szCs w:val="15"/>
          <w:color w:val="auto"/>
        </w:rPr>
        <w:t>Subsidiary Borrower and as a Guarantor</w:t>
      </w:r>
    </w:p>
    <w:p>
      <w:pPr>
        <w:ind w:left="3520"/>
        <w:spacing w:after="0"/>
        <w:rPr>
          <w:sz w:val="20"/>
          <w:szCs w:val="20"/>
          <w:color w:val="auto"/>
        </w:rPr>
      </w:pPr>
      <w:r>
        <w:rPr>
          <w:rFonts w:ascii="Courier New" w:cs="Courier New" w:eastAsia="Courier New" w:hAnsi="Courier New"/>
          <w:sz w:val="15"/>
          <w:szCs w:val="15"/>
          <w:color w:val="auto"/>
        </w:rPr>
        <w:t>Subsidiary</w:t>
      </w:r>
    </w:p>
    <w:p>
      <w:pPr>
        <w:spacing w:after="0" w:line="200" w:lineRule="exact"/>
        <w:rPr>
          <w:sz w:val="20"/>
          <w:szCs w:val="20"/>
          <w:color w:val="auto"/>
        </w:rPr>
      </w:pPr>
    </w:p>
    <w:p>
      <w:pPr>
        <w:spacing w:after="0" w:line="307"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By: /s/ Vaughn A. Clark</w:t>
      </w:r>
    </w:p>
    <w:p>
      <w:pPr>
        <w:ind w:left="3780"/>
        <w:spacing w:after="0"/>
        <w:rPr>
          <w:sz w:val="20"/>
          <w:szCs w:val="20"/>
          <w:color w:val="auto"/>
        </w:rPr>
      </w:pPr>
      <w:r>
        <w:rPr>
          <w:rFonts w:ascii="Courier New" w:cs="Courier New" w:eastAsia="Courier New" w:hAnsi="Courier New"/>
          <w:sz w:val="15"/>
          <w:szCs w:val="15"/>
          <w:color w:val="auto"/>
        </w:rPr>
        <w:t>----------------------------</w:t>
      </w:r>
    </w:p>
    <w:p>
      <w:pPr>
        <w:ind w:left="3780"/>
        <w:spacing w:after="0"/>
        <w:rPr>
          <w:sz w:val="20"/>
          <w:szCs w:val="20"/>
          <w:color w:val="auto"/>
        </w:rPr>
      </w:pPr>
      <w:r>
        <w:rPr>
          <w:rFonts w:ascii="Courier New" w:cs="Courier New" w:eastAsia="Courier New" w:hAnsi="Courier New"/>
          <w:sz w:val="15"/>
          <w:szCs w:val="15"/>
          <w:color w:val="auto"/>
        </w:rPr>
        <w:t>Name: Vaughn A. Clark</w:t>
      </w:r>
    </w:p>
    <w:p>
      <w:pPr>
        <w:ind w:left="3780"/>
        <w:spacing w:after="0" w:line="238" w:lineRule="auto"/>
        <w:rPr>
          <w:sz w:val="20"/>
          <w:szCs w:val="20"/>
          <w:color w:val="auto"/>
        </w:rPr>
      </w:pPr>
      <w:r>
        <w:rPr>
          <w:rFonts w:ascii="Courier New" w:cs="Courier New" w:eastAsia="Courier New" w:hAnsi="Courier New"/>
          <w:sz w:val="15"/>
          <w:szCs w:val="15"/>
          <w:color w:val="auto"/>
        </w:rPr>
        <w:t>Title: Senior Vice President,</w:t>
      </w:r>
    </w:p>
    <w:p>
      <w:pPr>
        <w:ind w:left="4400"/>
        <w:spacing w:after="0"/>
        <w:rPr>
          <w:sz w:val="20"/>
          <w:szCs w:val="20"/>
          <w:color w:val="auto"/>
        </w:rPr>
      </w:pPr>
      <w:r>
        <w:rPr>
          <w:rFonts w:ascii="Courier New" w:cs="Courier New" w:eastAsia="Courier New" w:hAnsi="Courier New"/>
          <w:sz w:val="15"/>
          <w:szCs w:val="15"/>
          <w:color w:val="auto"/>
        </w:rPr>
        <w:t>Treasurer</w:t>
      </w:r>
    </w:p>
    <w:p>
      <w:pPr>
        <w:spacing w:after="0" w:line="33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On behalf of the following Subsidiary</w:t>
      </w:r>
    </w:p>
    <w:p>
      <w:pPr>
        <w:ind w:left="3520"/>
        <w:spacing w:after="0"/>
        <w:rPr>
          <w:sz w:val="20"/>
          <w:szCs w:val="20"/>
          <w:color w:val="auto"/>
        </w:rPr>
      </w:pPr>
      <w:r>
        <w:rPr>
          <w:rFonts w:ascii="Courier New" w:cs="Courier New" w:eastAsia="Courier New" w:hAnsi="Courier New"/>
          <w:sz w:val="15"/>
          <w:szCs w:val="15"/>
          <w:color w:val="auto"/>
        </w:rPr>
        <w:t>Borrowers:</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VIACOM CABLEVISION OF DAYTON INC.,</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WNYT INC.,</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WMZQ INC. and</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WVIT INC.</w:t>
      </w:r>
    </w:p>
    <w:p>
      <w:pPr>
        <w:spacing w:after="0" w:line="200" w:lineRule="exact"/>
        <w:rPr>
          <w:sz w:val="20"/>
          <w:szCs w:val="20"/>
          <w:color w:val="auto"/>
        </w:rPr>
      </w:pPr>
    </w:p>
    <w:p>
      <w:pPr>
        <w:spacing w:after="0" w:line="30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By: /s/ Vaughn A. Clark</w:t>
      </w:r>
    </w:p>
    <w:p>
      <w:pPr>
        <w:ind w:left="3780"/>
        <w:spacing w:after="0"/>
        <w:rPr>
          <w:sz w:val="20"/>
          <w:szCs w:val="20"/>
          <w:color w:val="auto"/>
        </w:rPr>
      </w:pPr>
      <w:r>
        <w:rPr>
          <w:rFonts w:ascii="Courier New" w:cs="Courier New" w:eastAsia="Courier New" w:hAnsi="Courier New"/>
          <w:sz w:val="15"/>
          <w:szCs w:val="15"/>
          <w:color w:val="auto"/>
        </w:rPr>
        <w:t>----------------------------</w:t>
      </w:r>
    </w:p>
    <w:p>
      <w:pPr>
        <w:ind w:left="3780"/>
        <w:spacing w:after="0"/>
        <w:rPr>
          <w:sz w:val="20"/>
          <w:szCs w:val="20"/>
          <w:color w:val="auto"/>
        </w:rPr>
      </w:pPr>
      <w:r>
        <w:rPr>
          <w:rFonts w:ascii="Courier New" w:cs="Courier New" w:eastAsia="Courier New" w:hAnsi="Courier New"/>
          <w:sz w:val="15"/>
          <w:szCs w:val="15"/>
          <w:color w:val="auto"/>
        </w:rPr>
        <w:t>Name: Vaughn A. Clark</w:t>
      </w:r>
    </w:p>
    <w:p>
      <w:pPr>
        <w:ind w:left="3780"/>
        <w:spacing w:after="0" w:line="238" w:lineRule="auto"/>
        <w:rPr>
          <w:sz w:val="20"/>
          <w:szCs w:val="20"/>
          <w:color w:val="auto"/>
        </w:rPr>
      </w:pPr>
      <w:r>
        <w:rPr>
          <w:rFonts w:ascii="Courier New" w:cs="Courier New" w:eastAsia="Courier New" w:hAnsi="Courier New"/>
          <w:sz w:val="15"/>
          <w:szCs w:val="15"/>
          <w:color w:val="auto"/>
        </w:rPr>
        <w:t>Title: Senior Vice President,</w:t>
      </w:r>
    </w:p>
    <w:p>
      <w:pPr>
        <w:ind w:left="4400"/>
        <w:spacing w:after="0"/>
        <w:rPr>
          <w:sz w:val="20"/>
          <w:szCs w:val="20"/>
          <w:color w:val="auto"/>
        </w:rPr>
      </w:pPr>
      <w:r>
        <w:rPr>
          <w:rFonts w:ascii="Courier New" w:cs="Courier New" w:eastAsia="Courier New" w:hAnsi="Courier New"/>
          <w:sz w:val="15"/>
          <w:szCs w:val="15"/>
          <w:color w:val="auto"/>
        </w:rPr>
        <w:t>Treasurer</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8" w:right="1440" w:bottom="1440" w:gutter="0" w:footer="0" w:header="0"/>
        </w:sectPr>
      </w:pPr>
    </w:p>
    <w:bookmarkStart w:id="239" w:name="page240"/>
    <w:bookmarkEnd w:id="239"/>
    <w:p>
      <w:pPr>
        <w:ind w:left="2320"/>
        <w:spacing w:after="0"/>
        <w:rPr>
          <w:sz w:val="20"/>
          <w:szCs w:val="20"/>
          <w:color w:val="auto"/>
        </w:rPr>
      </w:pPr>
      <w:r>
        <w:rPr>
          <w:rFonts w:ascii="Courier New" w:cs="Courier New" w:eastAsia="Courier New" w:hAnsi="Courier New"/>
          <w:sz w:val="15"/>
          <w:szCs w:val="15"/>
          <w:color w:val="auto"/>
        </w:rPr>
        <w:t>Managing Agents</w:t>
      </w:r>
    </w:p>
    <w:p>
      <w:pPr>
        <w:spacing w:after="0" w:line="175"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THE BANK OF NEW YORK, as Managing Agent,</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the Documentation Agent and a Bank</w:t>
      </w:r>
    </w:p>
    <w:p>
      <w:pPr>
        <w:spacing w:after="0" w:line="200" w:lineRule="exact"/>
        <w:rPr>
          <w:sz w:val="20"/>
          <w:szCs w:val="20"/>
          <w:color w:val="auto"/>
        </w:rPr>
      </w:pPr>
    </w:p>
    <w:p>
      <w:pPr>
        <w:spacing w:after="0" w:line="30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By: /s/ Geoffrey C. Brooks</w:t>
      </w:r>
    </w:p>
    <w:p>
      <w:pPr>
        <w:ind w:left="2580"/>
        <w:spacing w:after="0"/>
        <w:rPr>
          <w:sz w:val="20"/>
          <w:szCs w:val="20"/>
          <w:color w:val="auto"/>
        </w:rPr>
      </w:pPr>
      <w:r>
        <w:rPr>
          <w:rFonts w:ascii="Courier New" w:cs="Courier New" w:eastAsia="Courier New" w:hAnsi="Courier New"/>
          <w:sz w:val="15"/>
          <w:szCs w:val="15"/>
          <w:color w:val="auto"/>
        </w:rPr>
        <w:t>----------------------------</w:t>
      </w:r>
    </w:p>
    <w:p>
      <w:pPr>
        <w:ind w:left="2580"/>
        <w:spacing w:after="0"/>
        <w:rPr>
          <w:sz w:val="20"/>
          <w:szCs w:val="20"/>
          <w:color w:val="auto"/>
        </w:rPr>
      </w:pPr>
      <w:r>
        <w:rPr>
          <w:rFonts w:ascii="Courier New" w:cs="Courier New" w:eastAsia="Courier New" w:hAnsi="Courier New"/>
          <w:sz w:val="15"/>
          <w:szCs w:val="15"/>
          <w:color w:val="auto"/>
        </w:rPr>
        <w:t>Name: Geoffrey C. Brooks</w:t>
      </w:r>
    </w:p>
    <w:p>
      <w:pPr>
        <w:ind w:left="25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CITIBANK, N.A., as Managing Agent, the</w:t>
      </w:r>
    </w:p>
    <w:p>
      <w:pPr>
        <w:ind w:left="2320"/>
        <w:spacing w:after="0"/>
        <w:rPr>
          <w:sz w:val="20"/>
          <w:szCs w:val="20"/>
          <w:color w:val="auto"/>
        </w:rPr>
      </w:pPr>
      <w:r>
        <w:rPr>
          <w:rFonts w:ascii="Courier New" w:cs="Courier New" w:eastAsia="Courier New" w:hAnsi="Courier New"/>
          <w:sz w:val="15"/>
          <w:szCs w:val="15"/>
          <w:color w:val="auto"/>
        </w:rPr>
        <w:t>Administrative Agent and a Bank</w:t>
      </w:r>
    </w:p>
    <w:p>
      <w:pPr>
        <w:spacing w:after="0" w:line="200" w:lineRule="exact"/>
        <w:rPr>
          <w:sz w:val="20"/>
          <w:szCs w:val="20"/>
          <w:color w:val="auto"/>
        </w:rPr>
      </w:pPr>
    </w:p>
    <w:p>
      <w:pPr>
        <w:spacing w:after="0" w:line="30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By: /s/ Margaret C. Ullrich</w:t>
      </w:r>
    </w:p>
    <w:p>
      <w:pPr>
        <w:ind w:left="2580"/>
        <w:spacing w:after="0"/>
        <w:rPr>
          <w:sz w:val="20"/>
          <w:szCs w:val="20"/>
          <w:color w:val="auto"/>
        </w:rPr>
      </w:pPr>
      <w:r>
        <w:rPr>
          <w:rFonts w:ascii="Courier New" w:cs="Courier New" w:eastAsia="Courier New" w:hAnsi="Courier New"/>
          <w:sz w:val="15"/>
          <w:szCs w:val="15"/>
          <w:color w:val="auto"/>
        </w:rPr>
        <w:t>----------------------------</w:t>
      </w:r>
    </w:p>
    <w:p>
      <w:pPr>
        <w:ind w:left="2580"/>
        <w:spacing w:after="0"/>
        <w:rPr>
          <w:sz w:val="20"/>
          <w:szCs w:val="20"/>
          <w:color w:val="auto"/>
        </w:rPr>
      </w:pPr>
      <w:r>
        <w:rPr>
          <w:rFonts w:ascii="Courier New" w:cs="Courier New" w:eastAsia="Courier New" w:hAnsi="Courier New"/>
          <w:sz w:val="15"/>
          <w:szCs w:val="15"/>
          <w:color w:val="auto"/>
        </w:rPr>
        <w:t>Name: Margaret C. Ullrich</w:t>
      </w:r>
    </w:p>
    <w:p>
      <w:pPr>
        <w:ind w:left="25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MORGAN GUARANTY TRUST COMPANY OF NEW</w:t>
      </w:r>
    </w:p>
    <w:p>
      <w:pPr>
        <w:ind w:left="2320"/>
        <w:spacing w:after="0"/>
        <w:rPr>
          <w:sz w:val="20"/>
          <w:szCs w:val="20"/>
          <w:color w:val="auto"/>
        </w:rPr>
      </w:pPr>
      <w:r>
        <w:rPr>
          <w:rFonts w:ascii="Courier New" w:cs="Courier New" w:eastAsia="Courier New" w:hAnsi="Courier New"/>
          <w:sz w:val="15"/>
          <w:szCs w:val="15"/>
          <w:color w:val="auto"/>
        </w:rPr>
        <w:t>YORK, as Managing Agent and a Bank</w:t>
      </w:r>
    </w:p>
    <w:p>
      <w:pPr>
        <w:spacing w:after="0" w:line="200" w:lineRule="exact"/>
        <w:rPr>
          <w:sz w:val="20"/>
          <w:szCs w:val="20"/>
          <w:color w:val="auto"/>
        </w:rPr>
      </w:pPr>
    </w:p>
    <w:p>
      <w:pPr>
        <w:spacing w:after="0" w:line="30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By: /s/ Mathias Blumschein</w:t>
      </w:r>
    </w:p>
    <w:p>
      <w:pPr>
        <w:ind w:left="2580"/>
        <w:spacing w:after="0"/>
        <w:rPr>
          <w:sz w:val="20"/>
          <w:szCs w:val="20"/>
          <w:color w:val="auto"/>
        </w:rPr>
      </w:pPr>
      <w:r>
        <w:rPr>
          <w:rFonts w:ascii="Courier New" w:cs="Courier New" w:eastAsia="Courier New" w:hAnsi="Courier New"/>
          <w:sz w:val="15"/>
          <w:szCs w:val="15"/>
          <w:color w:val="auto"/>
        </w:rPr>
        <w:t>----------------------------</w:t>
      </w:r>
    </w:p>
    <w:p>
      <w:pPr>
        <w:ind w:left="2580"/>
        <w:spacing w:after="0"/>
        <w:rPr>
          <w:sz w:val="20"/>
          <w:szCs w:val="20"/>
          <w:color w:val="auto"/>
        </w:rPr>
      </w:pPr>
      <w:r>
        <w:rPr>
          <w:rFonts w:ascii="Courier New" w:cs="Courier New" w:eastAsia="Courier New" w:hAnsi="Courier New"/>
          <w:sz w:val="15"/>
          <w:szCs w:val="15"/>
          <w:color w:val="auto"/>
        </w:rPr>
        <w:t>Name: Mathias Blumschein</w:t>
      </w:r>
    </w:p>
    <w:p>
      <w:pPr>
        <w:ind w:left="2580"/>
        <w:spacing w:after="0" w:line="238" w:lineRule="auto"/>
        <w:rPr>
          <w:sz w:val="20"/>
          <w:szCs w:val="20"/>
          <w:color w:val="auto"/>
        </w:rPr>
      </w:pPr>
      <w:r>
        <w:rPr>
          <w:rFonts w:ascii="Courier New" w:cs="Courier New" w:eastAsia="Courier New" w:hAnsi="Courier New"/>
          <w:sz w:val="15"/>
          <w:szCs w:val="15"/>
          <w:color w:val="auto"/>
        </w:rPr>
        <w:t>Title: Associate</w:t>
      </w:r>
    </w:p>
    <w:p>
      <w:pPr>
        <w:spacing w:after="0" w:line="200" w:lineRule="exact"/>
        <w:rPr>
          <w:sz w:val="20"/>
          <w:szCs w:val="20"/>
          <w:color w:val="auto"/>
        </w:rPr>
      </w:pPr>
    </w:p>
    <w:p>
      <w:pPr>
        <w:spacing w:after="0" w:line="314"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BANK OF AMERICA NT&amp;SA, as Managing Agent</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and a Bank</w:t>
      </w:r>
    </w:p>
    <w:p>
      <w:pPr>
        <w:spacing w:after="0" w:line="339"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By:/s/ Amy S. Trapp</w:t>
      </w:r>
    </w:p>
    <w:p>
      <w:pPr>
        <w:ind w:left="2580"/>
        <w:spacing w:after="0"/>
        <w:rPr>
          <w:sz w:val="20"/>
          <w:szCs w:val="20"/>
          <w:color w:val="auto"/>
        </w:rPr>
      </w:pPr>
      <w:r>
        <w:rPr>
          <w:rFonts w:ascii="Courier New" w:cs="Courier New" w:eastAsia="Courier New" w:hAnsi="Courier New"/>
          <w:sz w:val="15"/>
          <w:szCs w:val="15"/>
          <w:color w:val="auto"/>
        </w:rPr>
        <w:t>----------------------------</w:t>
      </w:r>
    </w:p>
    <w:p>
      <w:pPr>
        <w:ind w:left="2580"/>
        <w:spacing w:after="0"/>
        <w:rPr>
          <w:sz w:val="20"/>
          <w:szCs w:val="20"/>
          <w:color w:val="auto"/>
        </w:rPr>
      </w:pPr>
      <w:r>
        <w:rPr>
          <w:rFonts w:ascii="Courier New" w:cs="Courier New" w:eastAsia="Courier New" w:hAnsi="Courier New"/>
          <w:sz w:val="15"/>
          <w:szCs w:val="15"/>
          <w:color w:val="auto"/>
        </w:rPr>
        <w:t>Name: Amy S. Trapp</w:t>
      </w:r>
    </w:p>
    <w:p>
      <w:pPr>
        <w:ind w:left="25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019"/>
          </w:cols>
          <w:pgMar w:left="1440" w:top="622" w:right="1440" w:bottom="1440" w:gutter="0" w:footer="0" w:header="0"/>
        </w:sectPr>
      </w:pPr>
    </w:p>
    <w:bookmarkStart w:id="240" w:name="page241"/>
    <w:bookmarkEnd w:id="240"/>
    <w:p>
      <w:pPr>
        <w:ind w:left="2320"/>
        <w:spacing w:after="0"/>
        <w:rPr>
          <w:sz w:val="20"/>
          <w:szCs w:val="20"/>
          <w:color w:val="auto"/>
        </w:rPr>
      </w:pPr>
      <w:r>
        <w:rPr>
          <w:rFonts w:ascii="Courier New" w:cs="Courier New" w:eastAsia="Courier New" w:hAnsi="Courier New"/>
          <w:sz w:val="15"/>
          <w:szCs w:val="15"/>
          <w:color w:val="auto"/>
        </w:rPr>
        <w:t>Agents</w:t>
      </w:r>
    </w:p>
    <w:p>
      <w:pPr>
        <w:spacing w:after="0" w:line="169"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BANK OF MONTREAL, as Agent and a Bank</w:t>
      </w:r>
    </w:p>
    <w:p>
      <w:pPr>
        <w:spacing w:after="0" w:line="200" w:lineRule="exact"/>
        <w:rPr>
          <w:sz w:val="20"/>
          <w:szCs w:val="20"/>
          <w:color w:val="auto"/>
        </w:rPr>
      </w:pPr>
    </w:p>
    <w:p>
      <w:pPr>
        <w:spacing w:after="0" w:line="30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By: /s/ Yvonne Bos</w:t>
      </w:r>
    </w:p>
    <w:p>
      <w:pPr>
        <w:ind w:left="2580"/>
        <w:spacing w:after="0"/>
        <w:rPr>
          <w:sz w:val="20"/>
          <w:szCs w:val="20"/>
          <w:color w:val="auto"/>
        </w:rPr>
      </w:pPr>
      <w:r>
        <w:rPr>
          <w:rFonts w:ascii="Courier New" w:cs="Courier New" w:eastAsia="Courier New" w:hAnsi="Courier New"/>
          <w:sz w:val="15"/>
          <w:szCs w:val="15"/>
          <w:color w:val="auto"/>
        </w:rPr>
        <w:t>----------------------------</w:t>
      </w:r>
    </w:p>
    <w:p>
      <w:pPr>
        <w:ind w:left="2580"/>
        <w:spacing w:after="0"/>
        <w:rPr>
          <w:sz w:val="20"/>
          <w:szCs w:val="20"/>
          <w:color w:val="auto"/>
        </w:rPr>
      </w:pPr>
      <w:r>
        <w:rPr>
          <w:rFonts w:ascii="Courier New" w:cs="Courier New" w:eastAsia="Courier New" w:hAnsi="Courier New"/>
          <w:sz w:val="15"/>
          <w:szCs w:val="15"/>
          <w:color w:val="auto"/>
        </w:rPr>
        <w:t>Name: Yvonne Bos</w:t>
      </w:r>
    </w:p>
    <w:p>
      <w:pPr>
        <w:ind w:left="2580"/>
        <w:spacing w:after="0" w:line="238" w:lineRule="auto"/>
        <w:rPr>
          <w:sz w:val="20"/>
          <w:szCs w:val="20"/>
          <w:color w:val="auto"/>
        </w:rPr>
      </w:pPr>
      <w:r>
        <w:rPr>
          <w:rFonts w:ascii="Courier New" w:cs="Courier New" w:eastAsia="Courier New" w:hAnsi="Courier New"/>
          <w:sz w:val="15"/>
          <w:szCs w:val="15"/>
          <w:color w:val="auto"/>
        </w:rPr>
        <w:t>Title:Managing Director</w:t>
      </w:r>
    </w:p>
    <w:p>
      <w:pPr>
        <w:spacing w:after="0" w:line="200" w:lineRule="exact"/>
        <w:rPr>
          <w:sz w:val="20"/>
          <w:szCs w:val="20"/>
          <w:color w:val="auto"/>
        </w:rPr>
      </w:pPr>
    </w:p>
    <w:p>
      <w:pPr>
        <w:spacing w:after="0" w:line="314"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THE BANK OF NOVA SCOTIA, as Agent and a</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Bank</w:t>
      </w:r>
    </w:p>
    <w:p>
      <w:pPr>
        <w:spacing w:after="0" w:line="200" w:lineRule="exact"/>
        <w:rPr>
          <w:sz w:val="20"/>
          <w:szCs w:val="20"/>
          <w:color w:val="auto"/>
        </w:rPr>
      </w:pPr>
    </w:p>
    <w:p>
      <w:pPr>
        <w:spacing w:after="0" w:line="30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By: /s/ Vince J. Fitzgerald</w:t>
      </w:r>
    </w:p>
    <w:p>
      <w:pPr>
        <w:ind w:left="2580"/>
        <w:spacing w:after="0"/>
        <w:rPr>
          <w:sz w:val="20"/>
          <w:szCs w:val="20"/>
          <w:color w:val="auto"/>
        </w:rPr>
      </w:pPr>
      <w:r>
        <w:rPr>
          <w:rFonts w:ascii="Courier New" w:cs="Courier New" w:eastAsia="Courier New" w:hAnsi="Courier New"/>
          <w:sz w:val="15"/>
          <w:szCs w:val="15"/>
          <w:color w:val="auto"/>
        </w:rPr>
        <w:t>----------------------------</w:t>
      </w:r>
    </w:p>
    <w:p>
      <w:pPr>
        <w:ind w:left="2580"/>
        <w:spacing w:after="0"/>
        <w:rPr>
          <w:sz w:val="20"/>
          <w:szCs w:val="20"/>
          <w:color w:val="auto"/>
        </w:rPr>
      </w:pPr>
      <w:r>
        <w:rPr>
          <w:rFonts w:ascii="Courier New" w:cs="Courier New" w:eastAsia="Courier New" w:hAnsi="Courier New"/>
          <w:sz w:val="15"/>
          <w:szCs w:val="15"/>
          <w:color w:val="auto"/>
        </w:rPr>
        <w:t>Name: Vince J. Fitzgerald</w:t>
      </w:r>
    </w:p>
    <w:p>
      <w:pPr>
        <w:ind w:left="2580"/>
        <w:spacing w:after="0" w:line="238" w:lineRule="auto"/>
        <w:rPr>
          <w:sz w:val="20"/>
          <w:szCs w:val="20"/>
          <w:color w:val="auto"/>
        </w:rPr>
      </w:pPr>
      <w:r>
        <w:rPr>
          <w:rFonts w:ascii="Courier New" w:cs="Courier New" w:eastAsia="Courier New" w:hAnsi="Courier New"/>
          <w:sz w:val="15"/>
          <w:szCs w:val="15"/>
          <w:color w:val="auto"/>
        </w:rPr>
        <w:t>Title: Senior Relationship Mgr.</w:t>
      </w:r>
    </w:p>
    <w:p>
      <w:pPr>
        <w:spacing w:after="0" w:line="339"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BANK OF TOKYO TRUST COMPANY, as Agent</w:t>
      </w:r>
    </w:p>
    <w:p>
      <w:pPr>
        <w:ind w:left="2320"/>
        <w:spacing w:after="0"/>
        <w:rPr>
          <w:sz w:val="20"/>
          <w:szCs w:val="20"/>
          <w:color w:val="auto"/>
        </w:rPr>
      </w:pPr>
      <w:r>
        <w:rPr>
          <w:rFonts w:ascii="Courier New" w:cs="Courier New" w:eastAsia="Courier New" w:hAnsi="Courier New"/>
          <w:sz w:val="15"/>
          <w:szCs w:val="15"/>
          <w:color w:val="auto"/>
        </w:rPr>
        <w:t>and a Bank</w:t>
      </w:r>
    </w:p>
    <w:p>
      <w:pPr>
        <w:spacing w:after="0" w:line="200" w:lineRule="exact"/>
        <w:rPr>
          <w:sz w:val="20"/>
          <w:szCs w:val="20"/>
          <w:color w:val="auto"/>
        </w:rPr>
      </w:pPr>
    </w:p>
    <w:p>
      <w:pPr>
        <w:spacing w:after="0" w:line="30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By: /s/ Charles Poer</w:t>
      </w:r>
    </w:p>
    <w:p>
      <w:pPr>
        <w:ind w:left="2580"/>
        <w:spacing w:after="0"/>
        <w:rPr>
          <w:sz w:val="20"/>
          <w:szCs w:val="20"/>
          <w:color w:val="auto"/>
        </w:rPr>
      </w:pPr>
      <w:r>
        <w:rPr>
          <w:rFonts w:ascii="Courier New" w:cs="Courier New" w:eastAsia="Courier New" w:hAnsi="Courier New"/>
          <w:sz w:val="15"/>
          <w:szCs w:val="15"/>
          <w:color w:val="auto"/>
        </w:rPr>
        <w:t>----------------------------</w:t>
      </w:r>
    </w:p>
    <w:p>
      <w:pPr>
        <w:ind w:left="2580"/>
        <w:spacing w:after="0"/>
        <w:rPr>
          <w:sz w:val="20"/>
          <w:szCs w:val="20"/>
          <w:color w:val="auto"/>
        </w:rPr>
      </w:pPr>
      <w:r>
        <w:rPr>
          <w:rFonts w:ascii="Courier New" w:cs="Courier New" w:eastAsia="Courier New" w:hAnsi="Courier New"/>
          <w:sz w:val="15"/>
          <w:szCs w:val="15"/>
          <w:color w:val="auto"/>
        </w:rPr>
        <w:t>Name: Charles Poer</w:t>
      </w:r>
    </w:p>
    <w:p>
      <w:pPr>
        <w:ind w:left="2580"/>
        <w:spacing w:after="0" w:line="238" w:lineRule="auto"/>
        <w:rPr>
          <w:sz w:val="20"/>
          <w:szCs w:val="20"/>
          <w:color w:val="auto"/>
        </w:rPr>
      </w:pPr>
      <w:r>
        <w:rPr>
          <w:rFonts w:ascii="Courier New" w:cs="Courier New" w:eastAsia="Courier New" w:hAnsi="Courier New"/>
          <w:sz w:val="15"/>
          <w:szCs w:val="15"/>
          <w:color w:val="auto"/>
        </w:rPr>
        <w:t>Title: Vice President &amp; Manager</w:t>
      </w:r>
    </w:p>
    <w:p>
      <w:pPr>
        <w:spacing w:after="0" w:line="339"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BARCLAYS BANK PLC, as Agent and a Bank</w:t>
      </w:r>
    </w:p>
    <w:p>
      <w:pPr>
        <w:spacing w:after="0" w:line="200" w:lineRule="exact"/>
        <w:rPr>
          <w:sz w:val="20"/>
          <w:szCs w:val="20"/>
          <w:color w:val="auto"/>
        </w:rPr>
      </w:pPr>
    </w:p>
    <w:p>
      <w:pPr>
        <w:spacing w:after="0" w:line="30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By: /s/ Michael W. Ballard</w:t>
      </w:r>
    </w:p>
    <w:p>
      <w:pPr>
        <w:ind w:left="2580"/>
        <w:spacing w:after="0"/>
        <w:rPr>
          <w:sz w:val="20"/>
          <w:szCs w:val="20"/>
          <w:color w:val="auto"/>
        </w:rPr>
      </w:pPr>
      <w:r>
        <w:rPr>
          <w:rFonts w:ascii="Courier New" w:cs="Courier New" w:eastAsia="Courier New" w:hAnsi="Courier New"/>
          <w:sz w:val="15"/>
          <w:szCs w:val="15"/>
          <w:color w:val="auto"/>
        </w:rPr>
        <w:t>----------------------------</w:t>
      </w:r>
    </w:p>
    <w:p>
      <w:pPr>
        <w:ind w:left="2580"/>
        <w:spacing w:after="0"/>
        <w:rPr>
          <w:sz w:val="20"/>
          <w:szCs w:val="20"/>
          <w:color w:val="auto"/>
        </w:rPr>
      </w:pPr>
      <w:r>
        <w:rPr>
          <w:rFonts w:ascii="Courier New" w:cs="Courier New" w:eastAsia="Courier New" w:hAnsi="Courier New"/>
          <w:sz w:val="15"/>
          <w:szCs w:val="15"/>
          <w:color w:val="auto"/>
        </w:rPr>
        <w:t>Name: Michael W. Ballard</w:t>
      </w:r>
    </w:p>
    <w:p>
      <w:pPr>
        <w:ind w:left="2580"/>
        <w:spacing w:after="0" w:line="238" w:lineRule="auto"/>
        <w:rPr>
          <w:sz w:val="20"/>
          <w:szCs w:val="20"/>
          <w:color w:val="auto"/>
        </w:rPr>
      </w:pPr>
      <w:r>
        <w:rPr>
          <w:rFonts w:ascii="Courier New" w:cs="Courier New" w:eastAsia="Courier New" w:hAnsi="Courier New"/>
          <w:sz w:val="15"/>
          <w:szCs w:val="15"/>
          <w:color w:val="auto"/>
        </w:rPr>
        <w:t>Title:Associate Director</w:t>
      </w:r>
    </w:p>
    <w:p>
      <w:pPr>
        <w:spacing w:after="0" w:line="339"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CANADIAN IMPERIAL BANK OF COMMERCE, as</w:t>
      </w:r>
    </w:p>
    <w:p>
      <w:pPr>
        <w:ind w:left="2320"/>
        <w:spacing w:after="0"/>
        <w:rPr>
          <w:sz w:val="20"/>
          <w:szCs w:val="20"/>
          <w:color w:val="auto"/>
        </w:rPr>
      </w:pPr>
      <w:r>
        <w:rPr>
          <w:rFonts w:ascii="Courier New" w:cs="Courier New" w:eastAsia="Courier New" w:hAnsi="Courier New"/>
          <w:sz w:val="15"/>
          <w:szCs w:val="15"/>
          <w:color w:val="auto"/>
        </w:rPr>
        <w:t>Agent and a Bank</w:t>
      </w:r>
    </w:p>
    <w:p>
      <w:pPr>
        <w:spacing w:after="0" w:line="200" w:lineRule="exact"/>
        <w:rPr>
          <w:sz w:val="20"/>
          <w:szCs w:val="20"/>
          <w:color w:val="auto"/>
        </w:rPr>
      </w:pPr>
    </w:p>
    <w:p>
      <w:pPr>
        <w:spacing w:after="0" w:line="30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By:/s/ John Tyler</w:t>
      </w:r>
    </w:p>
    <w:p>
      <w:pPr>
        <w:ind w:left="2580"/>
        <w:spacing w:after="0"/>
        <w:rPr>
          <w:sz w:val="20"/>
          <w:szCs w:val="20"/>
          <w:color w:val="auto"/>
        </w:rPr>
      </w:pPr>
      <w:r>
        <w:rPr>
          <w:rFonts w:ascii="Courier New" w:cs="Courier New" w:eastAsia="Courier New" w:hAnsi="Courier New"/>
          <w:sz w:val="15"/>
          <w:szCs w:val="15"/>
          <w:color w:val="auto"/>
        </w:rPr>
        <w:t>----------------------------</w:t>
      </w:r>
    </w:p>
    <w:p>
      <w:pPr>
        <w:ind w:left="2580"/>
        <w:spacing w:after="0"/>
        <w:rPr>
          <w:sz w:val="20"/>
          <w:szCs w:val="20"/>
          <w:color w:val="auto"/>
        </w:rPr>
      </w:pPr>
      <w:r>
        <w:rPr>
          <w:rFonts w:ascii="Courier New" w:cs="Courier New" w:eastAsia="Courier New" w:hAnsi="Courier New"/>
          <w:sz w:val="15"/>
          <w:szCs w:val="15"/>
          <w:color w:val="auto"/>
        </w:rPr>
        <w:t>Name: John Tyler</w:t>
      </w:r>
    </w:p>
    <w:p>
      <w:pPr>
        <w:ind w:left="25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019"/>
          </w:cols>
          <w:pgMar w:left="1440" w:top="622" w:right="1440" w:bottom="1440" w:gutter="0" w:footer="0" w:header="0"/>
        </w:sectPr>
      </w:pPr>
    </w:p>
    <w:bookmarkStart w:id="241" w:name="page242"/>
    <w:bookmarkEnd w:id="241"/>
    <w:p>
      <w:pPr>
        <w:ind w:left="2320"/>
        <w:spacing w:after="0"/>
        <w:rPr>
          <w:sz w:val="20"/>
          <w:szCs w:val="20"/>
          <w:color w:val="auto"/>
        </w:rPr>
      </w:pPr>
      <w:r>
        <w:rPr>
          <w:rFonts w:ascii="Courier New" w:cs="Courier New" w:eastAsia="Courier New" w:hAnsi="Courier New"/>
          <w:sz w:val="15"/>
          <w:szCs w:val="15"/>
          <w:color w:val="auto"/>
        </w:rPr>
        <w:t>THE CHASE MANHATTAN BANK (NATIONAL</w:t>
      </w:r>
    </w:p>
    <w:p>
      <w:pPr>
        <w:ind w:left="2320"/>
        <w:spacing w:after="0"/>
        <w:rPr>
          <w:sz w:val="20"/>
          <w:szCs w:val="20"/>
          <w:color w:val="auto"/>
        </w:rPr>
      </w:pPr>
      <w:r>
        <w:rPr>
          <w:rFonts w:ascii="Courier New" w:cs="Courier New" w:eastAsia="Courier New" w:hAnsi="Courier New"/>
          <w:sz w:val="15"/>
          <w:szCs w:val="15"/>
          <w:color w:val="auto"/>
        </w:rPr>
        <w:t>ASSOCIATION), as Agent and a Bank</w:t>
      </w:r>
    </w:p>
    <w:p>
      <w:pPr>
        <w:spacing w:after="0" w:line="200" w:lineRule="exact"/>
        <w:rPr>
          <w:sz w:val="20"/>
          <w:szCs w:val="20"/>
          <w:color w:val="auto"/>
        </w:rPr>
      </w:pPr>
    </w:p>
    <w:p>
      <w:pPr>
        <w:spacing w:after="0" w:line="30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By: /s/ Bruce Longenkamp</w:t>
      </w:r>
    </w:p>
    <w:p>
      <w:pPr>
        <w:ind w:left="2580"/>
        <w:spacing w:after="0"/>
        <w:rPr>
          <w:sz w:val="20"/>
          <w:szCs w:val="20"/>
          <w:color w:val="auto"/>
        </w:rPr>
      </w:pPr>
      <w:r>
        <w:rPr>
          <w:rFonts w:ascii="Courier New" w:cs="Courier New" w:eastAsia="Courier New" w:hAnsi="Courier New"/>
          <w:sz w:val="15"/>
          <w:szCs w:val="15"/>
          <w:color w:val="auto"/>
        </w:rPr>
        <w:t>----------------------------</w:t>
      </w:r>
    </w:p>
    <w:p>
      <w:pPr>
        <w:ind w:left="2580"/>
        <w:spacing w:after="0"/>
        <w:rPr>
          <w:sz w:val="20"/>
          <w:szCs w:val="20"/>
          <w:color w:val="auto"/>
        </w:rPr>
      </w:pPr>
      <w:r>
        <w:rPr>
          <w:rFonts w:ascii="Courier New" w:cs="Courier New" w:eastAsia="Courier New" w:hAnsi="Courier New"/>
          <w:sz w:val="15"/>
          <w:szCs w:val="15"/>
          <w:color w:val="auto"/>
        </w:rPr>
        <w:t>Name: Bruce Longenkamp</w:t>
      </w:r>
    </w:p>
    <w:p>
      <w:pPr>
        <w:ind w:left="2580"/>
        <w:spacing w:after="0" w:line="238" w:lineRule="auto"/>
        <w:rPr>
          <w:sz w:val="20"/>
          <w:szCs w:val="20"/>
          <w:color w:val="auto"/>
        </w:rPr>
      </w:pPr>
      <w:r>
        <w:rPr>
          <w:rFonts w:ascii="Courier New" w:cs="Courier New" w:eastAsia="Courier New" w:hAnsi="Courier New"/>
          <w:sz w:val="15"/>
          <w:szCs w:val="15"/>
          <w:color w:val="auto"/>
        </w:rPr>
        <w:t>Title:Vice President</w:t>
      </w:r>
    </w:p>
    <w:p>
      <w:pPr>
        <w:spacing w:after="0" w:line="200" w:lineRule="exact"/>
        <w:rPr>
          <w:sz w:val="20"/>
          <w:szCs w:val="20"/>
          <w:color w:val="auto"/>
        </w:rPr>
      </w:pPr>
    </w:p>
    <w:p>
      <w:pPr>
        <w:spacing w:after="0" w:line="314"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CREDIT LYONNAIS CAYMAN ISLAND BRANCH, as</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Agent and a Bank</w:t>
      </w:r>
    </w:p>
    <w:p>
      <w:pPr>
        <w:spacing w:after="0" w:line="200" w:lineRule="exact"/>
        <w:rPr>
          <w:sz w:val="20"/>
          <w:szCs w:val="20"/>
          <w:color w:val="auto"/>
        </w:rPr>
      </w:pPr>
    </w:p>
    <w:p>
      <w:pPr>
        <w:spacing w:after="0" w:line="30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By: /s/ M. Bernadette Collins</w:t>
      </w:r>
    </w:p>
    <w:p>
      <w:pPr>
        <w:ind w:left="2580"/>
        <w:spacing w:after="0"/>
        <w:rPr>
          <w:sz w:val="20"/>
          <w:szCs w:val="20"/>
          <w:color w:val="auto"/>
        </w:rPr>
      </w:pPr>
      <w:r>
        <w:rPr>
          <w:rFonts w:ascii="Courier New" w:cs="Courier New" w:eastAsia="Courier New" w:hAnsi="Courier New"/>
          <w:sz w:val="15"/>
          <w:szCs w:val="15"/>
          <w:color w:val="auto"/>
        </w:rPr>
        <w:t>----------------------------</w:t>
      </w:r>
    </w:p>
    <w:p>
      <w:pPr>
        <w:ind w:left="2580"/>
        <w:spacing w:after="0"/>
        <w:rPr>
          <w:sz w:val="20"/>
          <w:szCs w:val="20"/>
          <w:color w:val="auto"/>
        </w:rPr>
      </w:pPr>
      <w:r>
        <w:rPr>
          <w:rFonts w:ascii="Courier New" w:cs="Courier New" w:eastAsia="Courier New" w:hAnsi="Courier New"/>
          <w:sz w:val="15"/>
          <w:szCs w:val="15"/>
          <w:color w:val="auto"/>
        </w:rPr>
        <w:t>Name: M. Bernadette Collins</w:t>
      </w:r>
    </w:p>
    <w:p>
      <w:pPr>
        <w:ind w:left="2580"/>
        <w:spacing w:after="0" w:line="238" w:lineRule="auto"/>
        <w:rPr>
          <w:sz w:val="20"/>
          <w:szCs w:val="20"/>
          <w:color w:val="auto"/>
        </w:rPr>
      </w:pPr>
      <w:r>
        <w:rPr>
          <w:rFonts w:ascii="Courier New" w:cs="Courier New" w:eastAsia="Courier New" w:hAnsi="Courier New"/>
          <w:sz w:val="15"/>
          <w:szCs w:val="15"/>
          <w:color w:val="auto"/>
        </w:rPr>
        <w:t>Title:Authorized Signature</w:t>
      </w:r>
    </w:p>
    <w:p>
      <w:pPr>
        <w:spacing w:after="0" w:line="200" w:lineRule="exact"/>
        <w:rPr>
          <w:sz w:val="20"/>
          <w:szCs w:val="20"/>
          <w:color w:val="auto"/>
        </w:rPr>
      </w:pPr>
    </w:p>
    <w:p>
      <w:pPr>
        <w:spacing w:after="0" w:line="30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THE FIRST NATIONAL BANK OF BOSTON, as</w:t>
      </w:r>
    </w:p>
    <w:p>
      <w:pPr>
        <w:ind w:left="2320"/>
        <w:spacing w:after="0"/>
        <w:rPr>
          <w:sz w:val="20"/>
          <w:szCs w:val="20"/>
          <w:color w:val="auto"/>
        </w:rPr>
      </w:pPr>
      <w:r>
        <w:rPr>
          <w:rFonts w:ascii="Courier New" w:cs="Courier New" w:eastAsia="Courier New" w:hAnsi="Courier New"/>
          <w:sz w:val="15"/>
          <w:szCs w:val="15"/>
          <w:color w:val="auto"/>
        </w:rPr>
        <w:t>Agent and a Bank</w:t>
      </w:r>
    </w:p>
    <w:p>
      <w:pPr>
        <w:spacing w:after="0" w:line="200" w:lineRule="exact"/>
        <w:rPr>
          <w:sz w:val="20"/>
          <w:szCs w:val="20"/>
          <w:color w:val="auto"/>
        </w:rPr>
      </w:pPr>
    </w:p>
    <w:p>
      <w:pPr>
        <w:spacing w:after="0" w:line="30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By: /s/ Mary M. Barcus</w:t>
      </w:r>
    </w:p>
    <w:p>
      <w:pPr>
        <w:ind w:left="2580"/>
        <w:spacing w:after="0"/>
        <w:rPr>
          <w:sz w:val="20"/>
          <w:szCs w:val="20"/>
          <w:color w:val="auto"/>
        </w:rPr>
      </w:pPr>
      <w:r>
        <w:rPr>
          <w:rFonts w:ascii="Courier New" w:cs="Courier New" w:eastAsia="Courier New" w:hAnsi="Courier New"/>
          <w:sz w:val="15"/>
          <w:szCs w:val="15"/>
          <w:color w:val="auto"/>
        </w:rPr>
        <w:t>----------------------------</w:t>
      </w:r>
    </w:p>
    <w:p>
      <w:pPr>
        <w:ind w:left="2580"/>
        <w:spacing w:after="0"/>
        <w:rPr>
          <w:sz w:val="20"/>
          <w:szCs w:val="20"/>
          <w:color w:val="auto"/>
        </w:rPr>
      </w:pPr>
      <w:r>
        <w:rPr>
          <w:rFonts w:ascii="Courier New" w:cs="Courier New" w:eastAsia="Courier New" w:hAnsi="Courier New"/>
          <w:sz w:val="15"/>
          <w:szCs w:val="15"/>
          <w:color w:val="auto"/>
        </w:rPr>
        <w:t>Name: Mary M. Barcus</w:t>
      </w:r>
    </w:p>
    <w:p>
      <w:pPr>
        <w:ind w:left="25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THE FUJI BANK, LIMITED, as Agent and a</w:t>
      </w:r>
    </w:p>
    <w:p>
      <w:pPr>
        <w:ind w:left="2320"/>
        <w:spacing w:after="0"/>
        <w:rPr>
          <w:sz w:val="20"/>
          <w:szCs w:val="20"/>
          <w:color w:val="auto"/>
        </w:rPr>
      </w:pPr>
      <w:r>
        <w:rPr>
          <w:rFonts w:ascii="Courier New" w:cs="Courier New" w:eastAsia="Courier New" w:hAnsi="Courier New"/>
          <w:sz w:val="15"/>
          <w:szCs w:val="15"/>
          <w:color w:val="auto"/>
        </w:rPr>
        <w:t>Bank</w:t>
      </w:r>
    </w:p>
    <w:p>
      <w:pPr>
        <w:spacing w:after="0" w:line="200" w:lineRule="exact"/>
        <w:rPr>
          <w:sz w:val="20"/>
          <w:szCs w:val="20"/>
          <w:color w:val="auto"/>
        </w:rPr>
      </w:pPr>
    </w:p>
    <w:p>
      <w:pPr>
        <w:spacing w:after="0" w:line="30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By: /s/ Kazuaki Kitabatake</w:t>
      </w:r>
    </w:p>
    <w:p>
      <w:pPr>
        <w:ind w:left="2580"/>
        <w:spacing w:after="0"/>
        <w:rPr>
          <w:sz w:val="20"/>
          <w:szCs w:val="20"/>
          <w:color w:val="auto"/>
        </w:rPr>
      </w:pPr>
      <w:r>
        <w:rPr>
          <w:rFonts w:ascii="Courier New" w:cs="Courier New" w:eastAsia="Courier New" w:hAnsi="Courier New"/>
          <w:sz w:val="15"/>
          <w:szCs w:val="15"/>
          <w:color w:val="auto"/>
        </w:rPr>
        <w:t>----------------------------</w:t>
      </w:r>
    </w:p>
    <w:p>
      <w:pPr>
        <w:ind w:left="2580"/>
        <w:spacing w:after="0"/>
        <w:rPr>
          <w:sz w:val="20"/>
          <w:szCs w:val="20"/>
          <w:color w:val="auto"/>
        </w:rPr>
      </w:pPr>
      <w:r>
        <w:rPr>
          <w:rFonts w:ascii="Courier New" w:cs="Courier New" w:eastAsia="Courier New" w:hAnsi="Courier New"/>
          <w:sz w:val="15"/>
          <w:szCs w:val="15"/>
          <w:color w:val="auto"/>
        </w:rPr>
        <w:t>Name: Kazuaki Kitabatake</w:t>
      </w:r>
    </w:p>
    <w:p>
      <w:pPr>
        <w:ind w:left="2580"/>
        <w:spacing w:after="0" w:line="238" w:lineRule="auto"/>
        <w:rPr>
          <w:sz w:val="20"/>
          <w:szCs w:val="20"/>
          <w:color w:val="auto"/>
        </w:rPr>
      </w:pPr>
      <w:r>
        <w:rPr>
          <w:rFonts w:ascii="Courier New" w:cs="Courier New" w:eastAsia="Courier New" w:hAnsi="Courier New"/>
          <w:sz w:val="15"/>
          <w:szCs w:val="15"/>
          <w:color w:val="auto"/>
        </w:rPr>
        <w:t>Title:Joint General Manager</w:t>
      </w:r>
    </w:p>
    <w:p>
      <w:pPr>
        <w:spacing w:after="0" w:line="339"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THE INDUSTRIAL BANK OF JAPAN, LTD., as</w:t>
      </w:r>
    </w:p>
    <w:p>
      <w:pPr>
        <w:ind w:left="2320"/>
        <w:spacing w:after="0"/>
        <w:rPr>
          <w:sz w:val="20"/>
          <w:szCs w:val="20"/>
          <w:color w:val="auto"/>
        </w:rPr>
      </w:pPr>
      <w:r>
        <w:rPr>
          <w:rFonts w:ascii="Courier New" w:cs="Courier New" w:eastAsia="Courier New" w:hAnsi="Courier New"/>
          <w:sz w:val="15"/>
          <w:szCs w:val="15"/>
          <w:color w:val="auto"/>
        </w:rPr>
        <w:t>Agent and a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019"/>
          </w:cols>
          <w:pgMar w:left="1440" w:top="622" w:right="1440" w:bottom="1440" w:gutter="0" w:footer="0" w:header="0"/>
        </w:sectPr>
      </w:pPr>
    </w:p>
    <w:bookmarkStart w:id="242" w:name="page243"/>
    <w:bookmarkEnd w:id="242"/>
    <w:p>
      <w:pPr>
        <w:ind w:left="2320"/>
        <w:spacing w:after="0"/>
        <w:rPr>
          <w:sz w:val="20"/>
          <w:szCs w:val="20"/>
          <w:color w:val="auto"/>
        </w:rPr>
      </w:pPr>
      <w:r>
        <w:rPr>
          <w:rFonts w:ascii="Courier New" w:cs="Courier New" w:eastAsia="Courier New" w:hAnsi="Courier New"/>
          <w:sz w:val="15"/>
          <w:szCs w:val="15"/>
          <w:color w:val="auto"/>
        </w:rPr>
        <w:t>By: /s/ Jeffrey Cole</w:t>
      </w:r>
    </w:p>
    <w:p>
      <w:pPr>
        <w:ind w:left="2580"/>
        <w:spacing w:after="0"/>
        <w:rPr>
          <w:sz w:val="20"/>
          <w:szCs w:val="20"/>
          <w:color w:val="auto"/>
        </w:rPr>
      </w:pPr>
      <w:r>
        <w:rPr>
          <w:rFonts w:ascii="Courier New" w:cs="Courier New" w:eastAsia="Courier New" w:hAnsi="Courier New"/>
          <w:sz w:val="15"/>
          <w:szCs w:val="15"/>
          <w:color w:val="auto"/>
        </w:rPr>
        <w:t>----------------------------</w:t>
      </w:r>
    </w:p>
    <w:p>
      <w:pPr>
        <w:ind w:left="2580"/>
        <w:spacing w:after="0"/>
        <w:rPr>
          <w:sz w:val="20"/>
          <w:szCs w:val="20"/>
          <w:color w:val="auto"/>
        </w:rPr>
      </w:pPr>
      <w:r>
        <w:rPr>
          <w:rFonts w:ascii="Courier New" w:cs="Courier New" w:eastAsia="Courier New" w:hAnsi="Courier New"/>
          <w:sz w:val="15"/>
          <w:szCs w:val="15"/>
          <w:color w:val="auto"/>
        </w:rPr>
        <w:t>Name: Jeffrey Cole</w:t>
      </w:r>
    </w:p>
    <w:p>
      <w:pPr>
        <w:ind w:left="2580"/>
        <w:spacing w:after="0" w:line="238" w:lineRule="auto"/>
        <w:rPr>
          <w:sz w:val="20"/>
          <w:szCs w:val="20"/>
          <w:color w:val="auto"/>
        </w:rPr>
      </w:pPr>
      <w:r>
        <w:rPr>
          <w:rFonts w:ascii="Courier New" w:cs="Courier New" w:eastAsia="Courier New" w:hAnsi="Courier New"/>
          <w:sz w:val="15"/>
          <w:szCs w:val="15"/>
          <w:color w:val="auto"/>
        </w:rPr>
        <w:t>Title:Senior Vice President</w:t>
      </w:r>
    </w:p>
    <w:p>
      <w:pPr>
        <w:spacing w:after="0" w:line="339"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LTCB TRUST COMPANY, as Agent and a Bank</w:t>
      </w:r>
    </w:p>
    <w:p>
      <w:pPr>
        <w:spacing w:after="0" w:line="200" w:lineRule="exact"/>
        <w:rPr>
          <w:sz w:val="20"/>
          <w:szCs w:val="20"/>
          <w:color w:val="auto"/>
        </w:rPr>
      </w:pPr>
    </w:p>
    <w:p>
      <w:pPr>
        <w:spacing w:after="0" w:line="30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By: /s/ John A. Krob</w:t>
      </w:r>
    </w:p>
    <w:p>
      <w:pPr>
        <w:ind w:left="2580"/>
        <w:spacing w:after="0"/>
        <w:rPr>
          <w:sz w:val="20"/>
          <w:szCs w:val="20"/>
          <w:color w:val="auto"/>
        </w:rPr>
      </w:pPr>
      <w:r>
        <w:rPr>
          <w:rFonts w:ascii="Courier New" w:cs="Courier New" w:eastAsia="Courier New" w:hAnsi="Courier New"/>
          <w:sz w:val="15"/>
          <w:szCs w:val="15"/>
          <w:color w:val="auto"/>
        </w:rPr>
        <w:t>----------------------------</w:t>
      </w:r>
    </w:p>
    <w:p>
      <w:pPr>
        <w:ind w:left="2580"/>
        <w:spacing w:after="0"/>
        <w:rPr>
          <w:sz w:val="20"/>
          <w:szCs w:val="20"/>
          <w:color w:val="auto"/>
        </w:rPr>
      </w:pPr>
      <w:r>
        <w:rPr>
          <w:rFonts w:ascii="Courier New" w:cs="Courier New" w:eastAsia="Courier New" w:hAnsi="Courier New"/>
          <w:sz w:val="15"/>
          <w:szCs w:val="15"/>
          <w:color w:val="auto"/>
        </w:rPr>
        <w:t>Name: John A. Krob</w:t>
      </w:r>
    </w:p>
    <w:p>
      <w:pPr>
        <w:ind w:left="258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339"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MELLON BANK, N.A., as Agent and a Bank</w:t>
      </w:r>
    </w:p>
    <w:p>
      <w:pPr>
        <w:spacing w:after="0" w:line="200" w:lineRule="exact"/>
        <w:rPr>
          <w:sz w:val="20"/>
          <w:szCs w:val="20"/>
          <w:color w:val="auto"/>
        </w:rPr>
      </w:pPr>
    </w:p>
    <w:p>
      <w:pPr>
        <w:spacing w:after="0" w:line="30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By: /s/ G. Luis Ashley</w:t>
      </w:r>
    </w:p>
    <w:p>
      <w:pPr>
        <w:ind w:left="2580"/>
        <w:spacing w:after="0"/>
        <w:rPr>
          <w:sz w:val="20"/>
          <w:szCs w:val="20"/>
          <w:color w:val="auto"/>
        </w:rPr>
      </w:pPr>
      <w:r>
        <w:rPr>
          <w:rFonts w:ascii="Courier New" w:cs="Courier New" w:eastAsia="Courier New" w:hAnsi="Courier New"/>
          <w:sz w:val="15"/>
          <w:szCs w:val="15"/>
          <w:color w:val="auto"/>
        </w:rPr>
        <w:t>----------------------------</w:t>
      </w:r>
    </w:p>
    <w:p>
      <w:pPr>
        <w:ind w:left="2580"/>
        <w:spacing w:after="0"/>
        <w:rPr>
          <w:sz w:val="20"/>
          <w:szCs w:val="20"/>
          <w:color w:val="auto"/>
        </w:rPr>
      </w:pPr>
      <w:r>
        <w:rPr>
          <w:rFonts w:ascii="Courier New" w:cs="Courier New" w:eastAsia="Courier New" w:hAnsi="Courier New"/>
          <w:sz w:val="15"/>
          <w:szCs w:val="15"/>
          <w:color w:val="auto"/>
        </w:rPr>
        <w:t>Name: G. Luis Ashley</w:t>
      </w:r>
    </w:p>
    <w:p>
      <w:pPr>
        <w:ind w:left="2580"/>
        <w:spacing w:after="0" w:line="238" w:lineRule="auto"/>
        <w:rPr>
          <w:sz w:val="20"/>
          <w:szCs w:val="20"/>
          <w:color w:val="auto"/>
        </w:rPr>
      </w:pPr>
      <w:r>
        <w:rPr>
          <w:rFonts w:ascii="Courier New" w:cs="Courier New" w:eastAsia="Courier New" w:hAnsi="Courier New"/>
          <w:sz w:val="15"/>
          <w:szCs w:val="15"/>
          <w:color w:val="auto"/>
        </w:rPr>
        <w:t>Title: First Vice President</w:t>
      </w:r>
    </w:p>
    <w:p>
      <w:pPr>
        <w:spacing w:after="0" w:line="200" w:lineRule="exact"/>
        <w:rPr>
          <w:sz w:val="20"/>
          <w:szCs w:val="20"/>
          <w:color w:val="auto"/>
        </w:rPr>
      </w:pPr>
    </w:p>
    <w:p>
      <w:pPr>
        <w:spacing w:after="0" w:line="314"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NATIONSBANK OF TEXAS, N.A., as Agent and</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a Bank</w:t>
      </w:r>
    </w:p>
    <w:p>
      <w:pPr>
        <w:spacing w:after="0" w:line="200" w:lineRule="exact"/>
        <w:rPr>
          <w:sz w:val="20"/>
          <w:szCs w:val="20"/>
          <w:color w:val="auto"/>
        </w:rPr>
      </w:pPr>
    </w:p>
    <w:p>
      <w:pPr>
        <w:spacing w:after="0" w:line="30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By: /s/ Chad E. Coben</w:t>
      </w:r>
    </w:p>
    <w:p>
      <w:pPr>
        <w:ind w:left="2580"/>
        <w:spacing w:after="0"/>
        <w:rPr>
          <w:sz w:val="20"/>
          <w:szCs w:val="20"/>
          <w:color w:val="auto"/>
        </w:rPr>
      </w:pPr>
      <w:r>
        <w:rPr>
          <w:rFonts w:ascii="Courier New" w:cs="Courier New" w:eastAsia="Courier New" w:hAnsi="Courier New"/>
          <w:sz w:val="15"/>
          <w:szCs w:val="15"/>
          <w:color w:val="auto"/>
        </w:rPr>
        <w:t>----------------------------</w:t>
      </w:r>
    </w:p>
    <w:p>
      <w:pPr>
        <w:ind w:left="2580"/>
        <w:spacing w:after="0"/>
        <w:rPr>
          <w:sz w:val="20"/>
          <w:szCs w:val="20"/>
          <w:color w:val="auto"/>
        </w:rPr>
      </w:pPr>
      <w:r>
        <w:rPr>
          <w:rFonts w:ascii="Courier New" w:cs="Courier New" w:eastAsia="Courier New" w:hAnsi="Courier New"/>
          <w:sz w:val="15"/>
          <w:szCs w:val="15"/>
          <w:color w:val="auto"/>
        </w:rPr>
        <w:t>Name: Chad E. Coben</w:t>
      </w:r>
    </w:p>
    <w:p>
      <w:pPr>
        <w:ind w:left="25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SOCIETE GENERALE, as Agent and a Bank</w:t>
      </w:r>
    </w:p>
    <w:p>
      <w:pPr>
        <w:spacing w:after="0" w:line="200" w:lineRule="exact"/>
        <w:rPr>
          <w:sz w:val="20"/>
          <w:szCs w:val="20"/>
          <w:color w:val="auto"/>
        </w:rPr>
      </w:pPr>
    </w:p>
    <w:p>
      <w:pPr>
        <w:spacing w:after="0" w:line="30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By: /s/ Pascale Hainline</w:t>
      </w:r>
    </w:p>
    <w:p>
      <w:pPr>
        <w:ind w:left="2580"/>
        <w:spacing w:after="0"/>
        <w:rPr>
          <w:sz w:val="20"/>
          <w:szCs w:val="20"/>
          <w:color w:val="auto"/>
        </w:rPr>
      </w:pPr>
      <w:r>
        <w:rPr>
          <w:rFonts w:ascii="Courier New" w:cs="Courier New" w:eastAsia="Courier New" w:hAnsi="Courier New"/>
          <w:sz w:val="15"/>
          <w:szCs w:val="15"/>
          <w:color w:val="auto"/>
        </w:rPr>
        <w:t>----------------------------</w:t>
      </w:r>
    </w:p>
    <w:p>
      <w:pPr>
        <w:ind w:left="2580"/>
        <w:spacing w:after="0"/>
        <w:rPr>
          <w:sz w:val="20"/>
          <w:szCs w:val="20"/>
          <w:color w:val="auto"/>
        </w:rPr>
      </w:pPr>
      <w:r>
        <w:rPr>
          <w:rFonts w:ascii="Courier New" w:cs="Courier New" w:eastAsia="Courier New" w:hAnsi="Courier New"/>
          <w:sz w:val="15"/>
          <w:szCs w:val="15"/>
          <w:color w:val="auto"/>
        </w:rPr>
        <w:t>Name: Pascale Hainline</w:t>
      </w:r>
    </w:p>
    <w:p>
      <w:pPr>
        <w:ind w:left="2580"/>
        <w:spacing w:after="0" w:line="238" w:lineRule="auto"/>
        <w:rPr>
          <w:sz w:val="20"/>
          <w:szCs w:val="20"/>
          <w:color w:val="auto"/>
        </w:rPr>
      </w:pPr>
      <w:r>
        <w:rPr>
          <w:rFonts w:ascii="Courier New" w:cs="Courier New" w:eastAsia="Courier New" w:hAnsi="Courier New"/>
          <w:sz w:val="15"/>
          <w:szCs w:val="15"/>
          <w:color w:val="auto"/>
        </w:rPr>
        <w:t>Title:Vice President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019"/>
          </w:cols>
          <w:pgMar w:left="1440" w:top="622" w:right="1440" w:bottom="1440" w:gutter="0" w:footer="0" w:header="0"/>
        </w:sectPr>
      </w:pPr>
    </w:p>
    <w:bookmarkStart w:id="243" w:name="page244"/>
    <w:bookmarkEnd w:id="243"/>
    <w:p>
      <w:pPr>
        <w:ind w:left="2320"/>
        <w:spacing w:after="0"/>
        <w:rPr>
          <w:sz w:val="20"/>
          <w:szCs w:val="20"/>
          <w:color w:val="auto"/>
        </w:rPr>
      </w:pPr>
      <w:r>
        <w:rPr>
          <w:rFonts w:ascii="Courier New" w:cs="Courier New" w:eastAsia="Courier New" w:hAnsi="Courier New"/>
          <w:sz w:val="14"/>
          <w:szCs w:val="14"/>
          <w:color w:val="auto"/>
        </w:rPr>
        <w:t>THE TORONTO-DOMINION BANK, as Agent and</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a Bank</w:t>
      </w:r>
    </w:p>
    <w:p>
      <w:pPr>
        <w:spacing w:after="0" w:line="200" w:lineRule="exact"/>
        <w:rPr>
          <w:sz w:val="20"/>
          <w:szCs w:val="20"/>
          <w:color w:val="auto"/>
        </w:rPr>
      </w:pPr>
    </w:p>
    <w:p>
      <w:pPr>
        <w:spacing w:after="0" w:line="30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By: /s/ Neva Nesbitt</w:t>
      </w:r>
    </w:p>
    <w:p>
      <w:pPr>
        <w:ind w:left="2580"/>
        <w:spacing w:after="0"/>
        <w:rPr>
          <w:sz w:val="20"/>
          <w:szCs w:val="20"/>
          <w:color w:val="auto"/>
        </w:rPr>
      </w:pPr>
      <w:r>
        <w:rPr>
          <w:rFonts w:ascii="Courier New" w:cs="Courier New" w:eastAsia="Courier New" w:hAnsi="Courier New"/>
          <w:sz w:val="15"/>
          <w:szCs w:val="15"/>
          <w:color w:val="auto"/>
        </w:rPr>
        <w:t>----------------------------</w:t>
      </w:r>
    </w:p>
    <w:p>
      <w:pPr>
        <w:ind w:left="2580"/>
        <w:spacing w:after="0"/>
        <w:rPr>
          <w:sz w:val="20"/>
          <w:szCs w:val="20"/>
          <w:color w:val="auto"/>
        </w:rPr>
      </w:pPr>
      <w:r>
        <w:rPr>
          <w:rFonts w:ascii="Courier New" w:cs="Courier New" w:eastAsia="Courier New" w:hAnsi="Courier New"/>
          <w:sz w:val="15"/>
          <w:szCs w:val="15"/>
          <w:color w:val="auto"/>
        </w:rPr>
        <w:t>Name: Neva Nesbitt</w:t>
      </w:r>
    </w:p>
    <w:p>
      <w:pPr>
        <w:ind w:left="2580"/>
        <w:spacing w:after="0" w:line="238" w:lineRule="auto"/>
        <w:rPr>
          <w:sz w:val="20"/>
          <w:szCs w:val="20"/>
          <w:color w:val="auto"/>
        </w:rPr>
      </w:pPr>
      <w:r>
        <w:rPr>
          <w:rFonts w:ascii="Courier New" w:cs="Courier New" w:eastAsia="Courier New" w:hAnsi="Courier New"/>
          <w:sz w:val="15"/>
          <w:szCs w:val="15"/>
          <w:color w:val="auto"/>
        </w:rPr>
        <w:t>Title:Manager Credit Admin.</w:t>
      </w:r>
    </w:p>
    <w:p>
      <w:pPr>
        <w:spacing w:after="0" w:line="339"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UNION BANK, as Agent and a Bank</w:t>
      </w:r>
    </w:p>
    <w:p>
      <w:pPr>
        <w:spacing w:after="0" w:line="200" w:lineRule="exact"/>
        <w:rPr>
          <w:sz w:val="20"/>
          <w:szCs w:val="20"/>
          <w:color w:val="auto"/>
        </w:rPr>
      </w:pPr>
    </w:p>
    <w:p>
      <w:pPr>
        <w:spacing w:after="0" w:line="30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By: /s/ J. Kevin Sampson</w:t>
      </w:r>
    </w:p>
    <w:p>
      <w:pPr>
        <w:ind w:left="2580"/>
        <w:spacing w:after="0"/>
        <w:rPr>
          <w:sz w:val="20"/>
          <w:szCs w:val="20"/>
          <w:color w:val="auto"/>
        </w:rPr>
      </w:pPr>
      <w:r>
        <w:rPr>
          <w:rFonts w:ascii="Courier New" w:cs="Courier New" w:eastAsia="Courier New" w:hAnsi="Courier New"/>
          <w:sz w:val="15"/>
          <w:szCs w:val="15"/>
          <w:color w:val="auto"/>
        </w:rPr>
        <w:t>----------------------------</w:t>
      </w:r>
    </w:p>
    <w:p>
      <w:pPr>
        <w:ind w:left="2580"/>
        <w:spacing w:after="0"/>
        <w:rPr>
          <w:sz w:val="20"/>
          <w:szCs w:val="20"/>
          <w:color w:val="auto"/>
        </w:rPr>
      </w:pPr>
      <w:r>
        <w:rPr>
          <w:rFonts w:ascii="Courier New" w:cs="Courier New" w:eastAsia="Courier New" w:hAnsi="Courier New"/>
          <w:sz w:val="15"/>
          <w:szCs w:val="15"/>
          <w:color w:val="auto"/>
        </w:rPr>
        <w:t>Name: J. Kevin Sampson</w:t>
      </w:r>
    </w:p>
    <w:p>
      <w:pPr>
        <w:ind w:left="2580"/>
        <w:spacing w:after="0" w:line="238" w:lineRule="auto"/>
        <w:rPr>
          <w:sz w:val="20"/>
          <w:szCs w:val="20"/>
          <w:color w:val="auto"/>
        </w:rPr>
      </w:pPr>
      <w:r>
        <w:rPr>
          <w:rFonts w:ascii="Courier New" w:cs="Courier New" w:eastAsia="Courier New" w:hAnsi="Courier New"/>
          <w:sz w:val="15"/>
          <w:szCs w:val="15"/>
          <w:color w:val="auto"/>
        </w:rPr>
        <w:t>Title:</w:t>
      </w:r>
    </w:p>
    <w:p>
      <w:pPr>
        <w:spacing w:after="0" w:line="339"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Co-Agents</w:t>
      </w:r>
    </w:p>
    <w:p>
      <w:pPr>
        <w:spacing w:after="0" w:line="339"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CREDIT SUISSE, as Co-Agent and a Bank</w:t>
      </w:r>
    </w:p>
    <w:p>
      <w:pPr>
        <w:spacing w:after="0" w:line="200" w:lineRule="exact"/>
        <w:rPr>
          <w:sz w:val="20"/>
          <w:szCs w:val="20"/>
          <w:color w:val="auto"/>
        </w:rPr>
      </w:pPr>
    </w:p>
    <w:p>
      <w:pPr>
        <w:spacing w:after="0" w:line="30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By: /s/ Michael C. Mast</w:t>
      </w:r>
    </w:p>
    <w:p>
      <w:pPr>
        <w:ind w:left="2580"/>
        <w:spacing w:after="0"/>
        <w:rPr>
          <w:sz w:val="20"/>
          <w:szCs w:val="20"/>
          <w:color w:val="auto"/>
        </w:rPr>
      </w:pPr>
      <w:r>
        <w:rPr>
          <w:rFonts w:ascii="Courier New" w:cs="Courier New" w:eastAsia="Courier New" w:hAnsi="Courier New"/>
          <w:sz w:val="15"/>
          <w:szCs w:val="15"/>
          <w:color w:val="auto"/>
        </w:rPr>
        <w:t>----------------------------</w:t>
      </w:r>
    </w:p>
    <w:p>
      <w:pPr>
        <w:ind w:left="2580"/>
        <w:spacing w:after="0"/>
        <w:rPr>
          <w:sz w:val="20"/>
          <w:szCs w:val="20"/>
          <w:color w:val="auto"/>
        </w:rPr>
      </w:pPr>
      <w:r>
        <w:rPr>
          <w:rFonts w:ascii="Courier New" w:cs="Courier New" w:eastAsia="Courier New" w:hAnsi="Courier New"/>
          <w:sz w:val="15"/>
          <w:szCs w:val="15"/>
          <w:color w:val="auto"/>
        </w:rPr>
        <w:t>Name: Michael C. Mast</w:t>
      </w:r>
    </w:p>
    <w:p>
      <w:pPr>
        <w:ind w:left="2580"/>
        <w:spacing w:after="0" w:line="238" w:lineRule="auto"/>
        <w:rPr>
          <w:sz w:val="20"/>
          <w:szCs w:val="20"/>
          <w:color w:val="auto"/>
        </w:rPr>
      </w:pPr>
      <w:r>
        <w:rPr>
          <w:rFonts w:ascii="Courier New" w:cs="Courier New" w:eastAsia="Courier New" w:hAnsi="Courier New"/>
          <w:sz w:val="15"/>
          <w:szCs w:val="15"/>
          <w:color w:val="auto"/>
        </w:rPr>
        <w:t>Title: Member of Senior Management</w:t>
      </w:r>
    </w:p>
    <w:p>
      <w:pPr>
        <w:spacing w:after="0" w:line="339"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By: /s/ Kristina Catlin</w:t>
      </w:r>
    </w:p>
    <w:p>
      <w:pPr>
        <w:ind w:left="2580"/>
        <w:spacing w:after="0"/>
        <w:rPr>
          <w:sz w:val="20"/>
          <w:szCs w:val="20"/>
          <w:color w:val="auto"/>
        </w:rPr>
      </w:pPr>
      <w:r>
        <w:rPr>
          <w:rFonts w:ascii="Courier New" w:cs="Courier New" w:eastAsia="Courier New" w:hAnsi="Courier New"/>
          <w:sz w:val="15"/>
          <w:szCs w:val="15"/>
          <w:color w:val="auto"/>
        </w:rPr>
        <w:t>----------------------------</w:t>
      </w:r>
    </w:p>
    <w:p>
      <w:pPr>
        <w:ind w:left="2580"/>
        <w:spacing w:after="0"/>
        <w:rPr>
          <w:sz w:val="20"/>
          <w:szCs w:val="20"/>
          <w:color w:val="auto"/>
        </w:rPr>
      </w:pPr>
      <w:r>
        <w:rPr>
          <w:rFonts w:ascii="Courier New" w:cs="Courier New" w:eastAsia="Courier New" w:hAnsi="Courier New"/>
          <w:sz w:val="15"/>
          <w:szCs w:val="15"/>
          <w:color w:val="auto"/>
        </w:rPr>
        <w:t>Name: Kristina Catlin</w:t>
      </w:r>
    </w:p>
    <w:p>
      <w:pPr>
        <w:ind w:left="2580"/>
        <w:spacing w:after="0" w:line="238" w:lineRule="auto"/>
        <w:rPr>
          <w:sz w:val="20"/>
          <w:szCs w:val="20"/>
          <w:color w:val="auto"/>
        </w:rPr>
      </w:pPr>
      <w:r>
        <w:rPr>
          <w:rFonts w:ascii="Courier New" w:cs="Courier New" w:eastAsia="Courier New" w:hAnsi="Courier New"/>
          <w:sz w:val="15"/>
          <w:szCs w:val="15"/>
          <w:color w:val="auto"/>
        </w:rPr>
        <w:t>Title: Associate</w:t>
      </w:r>
    </w:p>
    <w:p>
      <w:pPr>
        <w:spacing w:after="0" w:line="200" w:lineRule="exact"/>
        <w:rPr>
          <w:sz w:val="20"/>
          <w:szCs w:val="20"/>
          <w:color w:val="auto"/>
        </w:rPr>
      </w:pPr>
    </w:p>
    <w:p>
      <w:pPr>
        <w:spacing w:after="0" w:line="314"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THE DAI-ICHI KANGYO BANK LTD., NEW YORK</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BRANCH, as Co-Agent and a Bank</w:t>
      </w:r>
    </w:p>
    <w:p>
      <w:pPr>
        <w:spacing w:after="0" w:line="200" w:lineRule="exact"/>
        <w:rPr>
          <w:sz w:val="20"/>
          <w:szCs w:val="20"/>
          <w:color w:val="auto"/>
        </w:rPr>
      </w:pPr>
    </w:p>
    <w:p>
      <w:pPr>
        <w:spacing w:after="0" w:line="30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By: /s/ Shinya Wako</w:t>
      </w:r>
    </w:p>
    <w:p>
      <w:pPr>
        <w:ind w:left="2580"/>
        <w:spacing w:after="0"/>
        <w:rPr>
          <w:sz w:val="20"/>
          <w:szCs w:val="20"/>
          <w:color w:val="auto"/>
        </w:rPr>
      </w:pPr>
      <w:r>
        <w:rPr>
          <w:rFonts w:ascii="Courier New" w:cs="Courier New" w:eastAsia="Courier New" w:hAnsi="Courier New"/>
          <w:sz w:val="15"/>
          <w:szCs w:val="15"/>
          <w:color w:val="auto"/>
        </w:rPr>
        <w:t>----------------------------</w:t>
      </w:r>
    </w:p>
    <w:p>
      <w:pPr>
        <w:ind w:left="2580"/>
        <w:spacing w:after="0"/>
        <w:rPr>
          <w:sz w:val="20"/>
          <w:szCs w:val="20"/>
          <w:color w:val="auto"/>
        </w:rPr>
      </w:pPr>
      <w:r>
        <w:rPr>
          <w:rFonts w:ascii="Courier New" w:cs="Courier New" w:eastAsia="Courier New" w:hAnsi="Courier New"/>
          <w:sz w:val="15"/>
          <w:szCs w:val="15"/>
          <w:color w:val="auto"/>
        </w:rPr>
        <w:t>Name: Shinya Wako</w:t>
      </w:r>
    </w:p>
    <w:p>
      <w:pPr>
        <w:ind w:left="2580"/>
        <w:spacing w:after="0" w:line="238" w:lineRule="auto"/>
        <w:rPr>
          <w:sz w:val="20"/>
          <w:szCs w:val="20"/>
          <w:color w:val="auto"/>
        </w:rPr>
      </w:pPr>
      <w:r>
        <w:rPr>
          <w:rFonts w:ascii="Courier New" w:cs="Courier New" w:eastAsia="Courier New" w:hAnsi="Courier New"/>
          <w:sz w:val="15"/>
          <w:szCs w:val="15"/>
          <w:color w:val="auto"/>
        </w:rPr>
        <w:t>Title:Senior Vice President</w:t>
      </w:r>
    </w:p>
    <w:p>
      <w:pPr>
        <w:ind w:left="3100"/>
        <w:spacing w:after="0"/>
        <w:rPr>
          <w:sz w:val="20"/>
          <w:szCs w:val="20"/>
          <w:color w:val="auto"/>
        </w:rPr>
      </w:pPr>
      <w:r>
        <w:rPr>
          <w:rFonts w:ascii="Courier New" w:cs="Courier New" w:eastAsia="Courier New" w:hAnsi="Courier New"/>
          <w:sz w:val="15"/>
          <w:szCs w:val="15"/>
          <w:color w:val="auto"/>
        </w:rPr>
        <w:t>and Department Head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019"/>
          </w:cols>
          <w:pgMar w:left="1440" w:top="627" w:right="1440" w:bottom="1440" w:gutter="0" w:footer="0" w:header="0"/>
        </w:sectPr>
      </w:pPr>
    </w:p>
    <w:bookmarkStart w:id="244" w:name="page245"/>
    <w:bookmarkEnd w:id="244"/>
    <w:p>
      <w:pPr>
        <w:ind w:left="2320"/>
        <w:spacing w:after="0"/>
        <w:rPr>
          <w:sz w:val="20"/>
          <w:szCs w:val="20"/>
          <w:color w:val="auto"/>
        </w:rPr>
      </w:pPr>
      <w:r>
        <w:rPr>
          <w:rFonts w:ascii="Courier New" w:cs="Courier New" w:eastAsia="Courier New" w:hAnsi="Courier New"/>
          <w:sz w:val="15"/>
          <w:szCs w:val="15"/>
          <w:color w:val="auto"/>
        </w:rPr>
        <w:t>THE MITSUBISHI BANK, LIMITED, as</w:t>
      </w:r>
    </w:p>
    <w:p>
      <w:pPr>
        <w:ind w:left="2320"/>
        <w:spacing w:after="0"/>
        <w:rPr>
          <w:sz w:val="20"/>
          <w:szCs w:val="20"/>
          <w:color w:val="auto"/>
        </w:rPr>
      </w:pPr>
      <w:r>
        <w:rPr>
          <w:rFonts w:ascii="Courier New" w:cs="Courier New" w:eastAsia="Courier New" w:hAnsi="Courier New"/>
          <w:sz w:val="15"/>
          <w:szCs w:val="15"/>
          <w:color w:val="auto"/>
        </w:rPr>
        <w:t>Co-Agent and a Bank</w:t>
      </w:r>
    </w:p>
    <w:p>
      <w:pPr>
        <w:spacing w:after="0" w:line="200" w:lineRule="exact"/>
        <w:rPr>
          <w:sz w:val="20"/>
          <w:szCs w:val="20"/>
          <w:color w:val="auto"/>
        </w:rPr>
      </w:pPr>
    </w:p>
    <w:p>
      <w:pPr>
        <w:spacing w:after="0" w:line="30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By: /s/ Paula Mueller</w:t>
      </w:r>
    </w:p>
    <w:p>
      <w:pPr>
        <w:ind w:left="2580"/>
        <w:spacing w:after="0"/>
        <w:rPr>
          <w:sz w:val="20"/>
          <w:szCs w:val="20"/>
          <w:color w:val="auto"/>
        </w:rPr>
      </w:pPr>
      <w:r>
        <w:rPr>
          <w:rFonts w:ascii="Courier New" w:cs="Courier New" w:eastAsia="Courier New" w:hAnsi="Courier New"/>
          <w:sz w:val="15"/>
          <w:szCs w:val="15"/>
          <w:color w:val="auto"/>
        </w:rPr>
        <w:t>----------------------------</w:t>
      </w:r>
    </w:p>
    <w:p>
      <w:pPr>
        <w:ind w:left="2580"/>
        <w:spacing w:after="0"/>
        <w:rPr>
          <w:sz w:val="20"/>
          <w:szCs w:val="20"/>
          <w:color w:val="auto"/>
        </w:rPr>
      </w:pPr>
      <w:r>
        <w:rPr>
          <w:rFonts w:ascii="Courier New" w:cs="Courier New" w:eastAsia="Courier New" w:hAnsi="Courier New"/>
          <w:sz w:val="15"/>
          <w:szCs w:val="15"/>
          <w:color w:val="auto"/>
        </w:rPr>
        <w:t>Name: Paula Mueller</w:t>
      </w:r>
    </w:p>
    <w:p>
      <w:pPr>
        <w:ind w:left="25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THE MITSUBISHI TRUST &amp; BANKING</w:t>
      </w:r>
    </w:p>
    <w:p>
      <w:pPr>
        <w:ind w:left="2320"/>
        <w:spacing w:after="0"/>
        <w:rPr>
          <w:sz w:val="20"/>
          <w:szCs w:val="20"/>
          <w:color w:val="auto"/>
        </w:rPr>
      </w:pPr>
      <w:r>
        <w:rPr>
          <w:rFonts w:ascii="Courier New" w:cs="Courier New" w:eastAsia="Courier New" w:hAnsi="Courier New"/>
          <w:sz w:val="15"/>
          <w:szCs w:val="15"/>
          <w:color w:val="auto"/>
        </w:rPr>
        <w:t>CORPORATION, as Co-Agent and a Bank</w:t>
      </w:r>
    </w:p>
    <w:p>
      <w:pPr>
        <w:spacing w:after="0" w:line="200" w:lineRule="exact"/>
        <w:rPr>
          <w:sz w:val="20"/>
          <w:szCs w:val="20"/>
          <w:color w:val="auto"/>
        </w:rPr>
      </w:pPr>
    </w:p>
    <w:p>
      <w:pPr>
        <w:spacing w:after="0" w:line="30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By: /s/ Patricia Loret de Mola</w:t>
      </w:r>
    </w:p>
    <w:p>
      <w:pPr>
        <w:ind w:left="2580"/>
        <w:spacing w:after="0"/>
        <w:rPr>
          <w:sz w:val="20"/>
          <w:szCs w:val="20"/>
          <w:color w:val="auto"/>
        </w:rPr>
      </w:pPr>
      <w:r>
        <w:rPr>
          <w:rFonts w:ascii="Courier New" w:cs="Courier New" w:eastAsia="Courier New" w:hAnsi="Courier New"/>
          <w:sz w:val="15"/>
          <w:szCs w:val="15"/>
          <w:color w:val="auto"/>
        </w:rPr>
        <w:t>----------------------------</w:t>
      </w:r>
    </w:p>
    <w:p>
      <w:pPr>
        <w:ind w:left="2580"/>
        <w:spacing w:after="0"/>
        <w:rPr>
          <w:sz w:val="20"/>
          <w:szCs w:val="20"/>
          <w:color w:val="auto"/>
        </w:rPr>
      </w:pPr>
      <w:r>
        <w:rPr>
          <w:rFonts w:ascii="Courier New" w:cs="Courier New" w:eastAsia="Courier New" w:hAnsi="Courier New"/>
          <w:sz w:val="15"/>
          <w:szCs w:val="15"/>
          <w:color w:val="auto"/>
        </w:rPr>
        <w:t>Name: Patricia Loret de Mola</w:t>
      </w:r>
    </w:p>
    <w:p>
      <w:pPr>
        <w:ind w:left="258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200" w:lineRule="exact"/>
        <w:rPr>
          <w:sz w:val="20"/>
          <w:szCs w:val="20"/>
          <w:color w:val="auto"/>
        </w:rPr>
      </w:pPr>
    </w:p>
    <w:p>
      <w:pPr>
        <w:spacing w:after="0" w:line="314"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ROYAL BANK OF CANADA, as Co-Agent and a</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Bank</w:t>
      </w:r>
    </w:p>
    <w:p>
      <w:pPr>
        <w:spacing w:after="0" w:line="200" w:lineRule="exact"/>
        <w:rPr>
          <w:sz w:val="20"/>
          <w:szCs w:val="20"/>
          <w:color w:val="auto"/>
        </w:rPr>
      </w:pPr>
    </w:p>
    <w:p>
      <w:pPr>
        <w:spacing w:after="0" w:line="30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By: /s/ Eduardo Salazar</w:t>
      </w:r>
    </w:p>
    <w:p>
      <w:pPr>
        <w:ind w:left="2580"/>
        <w:spacing w:after="0"/>
        <w:rPr>
          <w:sz w:val="20"/>
          <w:szCs w:val="20"/>
          <w:color w:val="auto"/>
        </w:rPr>
      </w:pPr>
      <w:r>
        <w:rPr>
          <w:rFonts w:ascii="Courier New" w:cs="Courier New" w:eastAsia="Courier New" w:hAnsi="Courier New"/>
          <w:sz w:val="15"/>
          <w:szCs w:val="15"/>
          <w:color w:val="auto"/>
        </w:rPr>
        <w:t>----------------------------</w:t>
      </w:r>
    </w:p>
    <w:p>
      <w:pPr>
        <w:ind w:left="2580"/>
        <w:spacing w:after="0"/>
        <w:rPr>
          <w:sz w:val="20"/>
          <w:szCs w:val="20"/>
          <w:color w:val="auto"/>
        </w:rPr>
      </w:pPr>
      <w:r>
        <w:rPr>
          <w:rFonts w:ascii="Courier New" w:cs="Courier New" w:eastAsia="Courier New" w:hAnsi="Courier New"/>
          <w:sz w:val="15"/>
          <w:szCs w:val="15"/>
          <w:color w:val="auto"/>
        </w:rPr>
        <w:t>Name: Eduardo Salazar</w:t>
      </w:r>
    </w:p>
    <w:p>
      <w:pPr>
        <w:ind w:left="2580"/>
        <w:spacing w:after="0" w:line="238" w:lineRule="auto"/>
        <w:rPr>
          <w:sz w:val="20"/>
          <w:szCs w:val="20"/>
          <w:color w:val="auto"/>
        </w:rPr>
      </w:pPr>
      <w:r>
        <w:rPr>
          <w:rFonts w:ascii="Courier New" w:cs="Courier New" w:eastAsia="Courier New" w:hAnsi="Courier New"/>
          <w:sz w:val="15"/>
          <w:szCs w:val="15"/>
          <w:color w:val="auto"/>
        </w:rPr>
        <w:t>Title: Senior Manager</w:t>
      </w:r>
    </w:p>
    <w:p>
      <w:pPr>
        <w:spacing w:after="0" w:line="344"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THE SANWA BANK, LTD., as Co-Agent and a</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Bank</w:t>
      </w:r>
    </w:p>
    <w:p>
      <w:pPr>
        <w:spacing w:after="0" w:line="200" w:lineRule="exact"/>
        <w:rPr>
          <w:sz w:val="20"/>
          <w:szCs w:val="20"/>
          <w:color w:val="auto"/>
        </w:rPr>
      </w:pPr>
    </w:p>
    <w:p>
      <w:pPr>
        <w:spacing w:after="0" w:line="30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By: /s/ Dominic J. Sorresso</w:t>
      </w:r>
    </w:p>
    <w:p>
      <w:pPr>
        <w:ind w:left="2580"/>
        <w:spacing w:after="0"/>
        <w:rPr>
          <w:sz w:val="20"/>
          <w:szCs w:val="20"/>
          <w:color w:val="auto"/>
        </w:rPr>
      </w:pPr>
      <w:r>
        <w:rPr>
          <w:rFonts w:ascii="Courier New" w:cs="Courier New" w:eastAsia="Courier New" w:hAnsi="Courier New"/>
          <w:sz w:val="15"/>
          <w:szCs w:val="15"/>
          <w:color w:val="auto"/>
        </w:rPr>
        <w:t>----------------------------</w:t>
      </w:r>
    </w:p>
    <w:p>
      <w:pPr>
        <w:ind w:left="2580"/>
        <w:spacing w:after="0"/>
        <w:rPr>
          <w:sz w:val="20"/>
          <w:szCs w:val="20"/>
          <w:color w:val="auto"/>
        </w:rPr>
      </w:pPr>
      <w:r>
        <w:rPr>
          <w:rFonts w:ascii="Courier New" w:cs="Courier New" w:eastAsia="Courier New" w:hAnsi="Courier New"/>
          <w:sz w:val="15"/>
          <w:szCs w:val="15"/>
          <w:color w:val="auto"/>
        </w:rPr>
        <w:t>Name: Dominic J. Sorresso</w:t>
      </w:r>
    </w:p>
    <w:p>
      <w:pPr>
        <w:ind w:left="2580"/>
        <w:spacing w:after="0" w:line="238" w:lineRule="auto"/>
        <w:rPr>
          <w:sz w:val="20"/>
          <w:szCs w:val="20"/>
          <w:color w:val="auto"/>
        </w:rPr>
      </w:pPr>
      <w:r>
        <w:rPr>
          <w:rFonts w:ascii="Courier New" w:cs="Courier New" w:eastAsia="Courier New" w:hAnsi="Courier New"/>
          <w:sz w:val="15"/>
          <w:szCs w:val="15"/>
          <w:color w:val="auto"/>
        </w:rPr>
        <w:t>Title:Vice President</w:t>
      </w:r>
    </w:p>
    <w:p>
      <w:pPr>
        <w:spacing w:after="0" w:line="339"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THE SUMITOMO BANK, LIMITED, NEW YORK</w:t>
      </w:r>
    </w:p>
    <w:p>
      <w:pPr>
        <w:ind w:left="2320"/>
        <w:spacing w:after="0"/>
        <w:rPr>
          <w:sz w:val="20"/>
          <w:szCs w:val="20"/>
          <w:color w:val="auto"/>
        </w:rPr>
      </w:pPr>
      <w:r>
        <w:rPr>
          <w:rFonts w:ascii="Courier New" w:cs="Courier New" w:eastAsia="Courier New" w:hAnsi="Courier New"/>
          <w:sz w:val="15"/>
          <w:szCs w:val="15"/>
          <w:color w:val="auto"/>
        </w:rPr>
        <w:t>BRANCH, as Co-Agent and a Bank</w:t>
      </w:r>
    </w:p>
    <w:p>
      <w:pPr>
        <w:spacing w:after="0" w:line="200" w:lineRule="exact"/>
        <w:rPr>
          <w:sz w:val="20"/>
          <w:szCs w:val="20"/>
          <w:color w:val="auto"/>
        </w:rPr>
      </w:pPr>
    </w:p>
    <w:p>
      <w:pPr>
        <w:spacing w:after="0" w:line="30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By: /s/ Shuntaro Hisashi</w:t>
      </w:r>
    </w:p>
    <w:p>
      <w:pPr>
        <w:ind w:left="2580"/>
        <w:spacing w:after="0"/>
        <w:rPr>
          <w:sz w:val="20"/>
          <w:szCs w:val="20"/>
          <w:color w:val="auto"/>
        </w:rPr>
      </w:pPr>
      <w:r>
        <w:rPr>
          <w:rFonts w:ascii="Courier New" w:cs="Courier New" w:eastAsia="Courier New" w:hAnsi="Courier New"/>
          <w:sz w:val="15"/>
          <w:szCs w:val="15"/>
          <w:color w:val="auto"/>
        </w:rPr>
        <w:t>----------------------------</w:t>
      </w:r>
    </w:p>
    <w:p>
      <w:pPr>
        <w:ind w:left="2580"/>
        <w:spacing w:after="0"/>
        <w:rPr>
          <w:sz w:val="20"/>
          <w:szCs w:val="20"/>
          <w:color w:val="auto"/>
        </w:rPr>
      </w:pPr>
      <w:r>
        <w:rPr>
          <w:rFonts w:ascii="Courier New" w:cs="Courier New" w:eastAsia="Courier New" w:hAnsi="Courier New"/>
          <w:sz w:val="15"/>
          <w:szCs w:val="15"/>
          <w:color w:val="auto"/>
        </w:rPr>
        <w:t>Name: Shuntaro Hisashi</w:t>
      </w:r>
    </w:p>
    <w:p>
      <w:pPr>
        <w:ind w:left="2580"/>
        <w:spacing w:after="0" w:line="238" w:lineRule="auto"/>
        <w:rPr>
          <w:sz w:val="20"/>
          <w:szCs w:val="20"/>
          <w:color w:val="auto"/>
        </w:rPr>
      </w:pPr>
      <w:r>
        <w:rPr>
          <w:rFonts w:ascii="Courier New" w:cs="Courier New" w:eastAsia="Courier New" w:hAnsi="Courier New"/>
          <w:sz w:val="15"/>
          <w:szCs w:val="15"/>
          <w:color w:val="auto"/>
        </w:rPr>
        <w:t>Title: Joint General Manager</w:t>
      </w:r>
    </w:p>
    <w:p>
      <w:pPr>
        <w:spacing w:after="0" w:line="200" w:lineRule="exact"/>
        <w:rPr>
          <w:sz w:val="20"/>
          <w:szCs w:val="20"/>
          <w:color w:val="auto"/>
        </w:rPr>
      </w:pPr>
    </w:p>
    <w:p>
      <w:pPr>
        <w:spacing w:after="0" w:line="30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019"/>
          </w:cols>
          <w:pgMar w:left="1440" w:top="622" w:right="1440" w:bottom="1440" w:gutter="0" w:footer="0" w:header="0"/>
        </w:sectPr>
      </w:pPr>
    </w:p>
    <w:bookmarkStart w:id="245" w:name="page246"/>
    <w:bookmarkEnd w:id="245"/>
    <w:p>
      <w:pPr>
        <w:ind w:left="2320"/>
        <w:spacing w:after="0"/>
        <w:rPr>
          <w:sz w:val="20"/>
          <w:szCs w:val="20"/>
          <w:color w:val="auto"/>
        </w:rPr>
      </w:pPr>
      <w:r>
        <w:rPr>
          <w:rFonts w:ascii="Courier New" w:cs="Courier New" w:eastAsia="Courier New" w:hAnsi="Courier New"/>
          <w:sz w:val="14"/>
          <w:szCs w:val="14"/>
          <w:color w:val="auto"/>
        </w:rPr>
        <w:t>UNION BANK OF SWITZERLAND, as Co-Agent</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and a Bank</w:t>
      </w:r>
    </w:p>
    <w:p>
      <w:pPr>
        <w:spacing w:after="0" w:line="200" w:lineRule="exact"/>
        <w:rPr>
          <w:sz w:val="20"/>
          <w:szCs w:val="20"/>
          <w:color w:val="auto"/>
        </w:rPr>
      </w:pPr>
    </w:p>
    <w:p>
      <w:pPr>
        <w:spacing w:after="0" w:line="30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By: /s/ James P. Kelleher</w:t>
      </w:r>
    </w:p>
    <w:p>
      <w:pPr>
        <w:ind w:left="2580"/>
        <w:spacing w:after="0"/>
        <w:rPr>
          <w:sz w:val="20"/>
          <w:szCs w:val="20"/>
          <w:color w:val="auto"/>
        </w:rPr>
      </w:pPr>
      <w:r>
        <w:rPr>
          <w:rFonts w:ascii="Courier New" w:cs="Courier New" w:eastAsia="Courier New" w:hAnsi="Courier New"/>
          <w:sz w:val="15"/>
          <w:szCs w:val="15"/>
          <w:color w:val="auto"/>
        </w:rPr>
        <w:t>----------------------------</w:t>
      </w:r>
    </w:p>
    <w:p>
      <w:pPr>
        <w:ind w:left="2580"/>
        <w:spacing w:after="0"/>
        <w:rPr>
          <w:sz w:val="20"/>
          <w:szCs w:val="20"/>
          <w:color w:val="auto"/>
        </w:rPr>
      </w:pPr>
      <w:r>
        <w:rPr>
          <w:rFonts w:ascii="Courier New" w:cs="Courier New" w:eastAsia="Courier New" w:hAnsi="Courier New"/>
          <w:sz w:val="15"/>
          <w:szCs w:val="15"/>
          <w:color w:val="auto"/>
        </w:rPr>
        <w:t>Name: James P. Kelleher</w:t>
      </w:r>
    </w:p>
    <w:p>
      <w:pPr>
        <w:ind w:left="2580"/>
        <w:spacing w:after="0" w:line="238" w:lineRule="auto"/>
        <w:rPr>
          <w:sz w:val="20"/>
          <w:szCs w:val="20"/>
          <w:color w:val="auto"/>
        </w:rPr>
      </w:pPr>
      <w:r>
        <w:rPr>
          <w:rFonts w:ascii="Courier New" w:cs="Courier New" w:eastAsia="Courier New" w:hAnsi="Courier New"/>
          <w:sz w:val="15"/>
          <w:szCs w:val="15"/>
          <w:color w:val="auto"/>
        </w:rPr>
        <w:t>Title: Assistant Vice President</w:t>
      </w:r>
    </w:p>
    <w:p>
      <w:pPr>
        <w:spacing w:after="0" w:line="339"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By: /s/ Peter B. Yearley</w:t>
      </w:r>
    </w:p>
    <w:p>
      <w:pPr>
        <w:ind w:left="2580"/>
        <w:spacing w:after="0"/>
        <w:rPr>
          <w:sz w:val="20"/>
          <w:szCs w:val="20"/>
          <w:color w:val="auto"/>
        </w:rPr>
      </w:pPr>
      <w:r>
        <w:rPr>
          <w:rFonts w:ascii="Courier New" w:cs="Courier New" w:eastAsia="Courier New" w:hAnsi="Courier New"/>
          <w:sz w:val="15"/>
          <w:szCs w:val="15"/>
          <w:color w:val="auto"/>
        </w:rPr>
        <w:t>----------------------------</w:t>
      </w:r>
    </w:p>
    <w:p>
      <w:pPr>
        <w:ind w:left="2580"/>
        <w:spacing w:after="0"/>
        <w:rPr>
          <w:sz w:val="20"/>
          <w:szCs w:val="20"/>
          <w:color w:val="auto"/>
        </w:rPr>
      </w:pPr>
      <w:r>
        <w:rPr>
          <w:rFonts w:ascii="Courier New" w:cs="Courier New" w:eastAsia="Courier New" w:hAnsi="Courier New"/>
          <w:sz w:val="15"/>
          <w:szCs w:val="15"/>
          <w:color w:val="auto"/>
        </w:rPr>
        <w:t>Name: Peter B. Yearley</w:t>
      </w:r>
    </w:p>
    <w:p>
      <w:pPr>
        <w:ind w:left="25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Syndication Agent</w:t>
      </w:r>
    </w:p>
    <w:p>
      <w:pPr>
        <w:spacing w:after="0" w:line="339"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JP MORGAN SECURITIES INC., as the</w:t>
      </w:r>
    </w:p>
    <w:p>
      <w:pPr>
        <w:ind w:left="2320"/>
        <w:spacing w:after="0"/>
        <w:rPr>
          <w:sz w:val="20"/>
          <w:szCs w:val="20"/>
          <w:color w:val="auto"/>
        </w:rPr>
      </w:pPr>
      <w:r>
        <w:rPr>
          <w:rFonts w:ascii="Courier New" w:cs="Courier New" w:eastAsia="Courier New" w:hAnsi="Courier New"/>
          <w:sz w:val="15"/>
          <w:szCs w:val="15"/>
          <w:color w:val="auto"/>
        </w:rPr>
        <w:t>Syndication Agent</w:t>
      </w:r>
    </w:p>
    <w:p>
      <w:pPr>
        <w:spacing w:after="0" w:line="200" w:lineRule="exact"/>
        <w:rPr>
          <w:sz w:val="20"/>
          <w:szCs w:val="20"/>
          <w:color w:val="auto"/>
        </w:rPr>
      </w:pPr>
    </w:p>
    <w:p>
      <w:pPr>
        <w:spacing w:after="0" w:line="30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By: /s/ Barbara J. Asch</w:t>
      </w:r>
    </w:p>
    <w:p>
      <w:pPr>
        <w:ind w:left="2580"/>
        <w:spacing w:after="0"/>
        <w:rPr>
          <w:sz w:val="20"/>
          <w:szCs w:val="20"/>
          <w:color w:val="auto"/>
        </w:rPr>
      </w:pPr>
      <w:r>
        <w:rPr>
          <w:rFonts w:ascii="Courier New" w:cs="Courier New" w:eastAsia="Courier New" w:hAnsi="Courier New"/>
          <w:sz w:val="15"/>
          <w:szCs w:val="15"/>
          <w:color w:val="auto"/>
        </w:rPr>
        <w:t>----------------------------</w:t>
      </w:r>
    </w:p>
    <w:p>
      <w:pPr>
        <w:ind w:left="2580"/>
        <w:spacing w:after="0"/>
        <w:rPr>
          <w:sz w:val="20"/>
          <w:szCs w:val="20"/>
          <w:color w:val="auto"/>
        </w:rPr>
      </w:pPr>
      <w:r>
        <w:rPr>
          <w:rFonts w:ascii="Courier New" w:cs="Courier New" w:eastAsia="Courier New" w:hAnsi="Courier New"/>
          <w:sz w:val="15"/>
          <w:szCs w:val="15"/>
          <w:color w:val="auto"/>
        </w:rPr>
        <w:t>Name: Barbara J. Asch</w:t>
      </w:r>
    </w:p>
    <w:p>
      <w:pPr>
        <w:ind w:left="2580"/>
        <w:spacing w:after="0" w:line="238" w:lineRule="auto"/>
        <w:rPr>
          <w:sz w:val="20"/>
          <w:szCs w:val="20"/>
          <w:color w:val="auto"/>
        </w:rPr>
      </w:pPr>
      <w:r>
        <w:rPr>
          <w:rFonts w:ascii="Courier New" w:cs="Courier New" w:eastAsia="Courier New" w:hAnsi="Courier New"/>
          <w:sz w:val="15"/>
          <w:szCs w:val="15"/>
          <w:color w:val="auto"/>
        </w:rPr>
        <w:t>Title:Vice President</w:t>
      </w:r>
    </w:p>
    <w:p>
      <w:pPr>
        <w:spacing w:after="0" w:line="339"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Lead Managers</w:t>
      </w:r>
    </w:p>
    <w:p>
      <w:pPr>
        <w:spacing w:after="0" w:line="339"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CHEMICAL BANK, as Lead Manager and a</w:t>
      </w:r>
    </w:p>
    <w:p>
      <w:pPr>
        <w:ind w:left="2320"/>
        <w:spacing w:after="0"/>
        <w:rPr>
          <w:sz w:val="20"/>
          <w:szCs w:val="20"/>
          <w:color w:val="auto"/>
        </w:rPr>
      </w:pPr>
      <w:r>
        <w:rPr>
          <w:rFonts w:ascii="Courier New" w:cs="Courier New" w:eastAsia="Courier New" w:hAnsi="Courier New"/>
          <w:sz w:val="15"/>
          <w:szCs w:val="15"/>
          <w:color w:val="auto"/>
        </w:rPr>
        <w:t>Bank</w:t>
      </w:r>
    </w:p>
    <w:p>
      <w:pPr>
        <w:spacing w:after="0" w:line="200" w:lineRule="exact"/>
        <w:rPr>
          <w:sz w:val="20"/>
          <w:szCs w:val="20"/>
          <w:color w:val="auto"/>
        </w:rPr>
      </w:pPr>
    </w:p>
    <w:p>
      <w:pPr>
        <w:spacing w:after="0" w:line="30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By: /s/ Mary E. Cameron</w:t>
      </w:r>
    </w:p>
    <w:p>
      <w:pPr>
        <w:ind w:left="2580"/>
        <w:spacing w:after="0"/>
        <w:rPr>
          <w:sz w:val="20"/>
          <w:szCs w:val="20"/>
          <w:color w:val="auto"/>
        </w:rPr>
      </w:pPr>
      <w:r>
        <w:rPr>
          <w:rFonts w:ascii="Courier New" w:cs="Courier New" w:eastAsia="Courier New" w:hAnsi="Courier New"/>
          <w:sz w:val="15"/>
          <w:szCs w:val="15"/>
          <w:color w:val="auto"/>
        </w:rPr>
        <w:t>----------------------------</w:t>
      </w:r>
    </w:p>
    <w:p>
      <w:pPr>
        <w:ind w:left="2580"/>
        <w:spacing w:after="0"/>
        <w:rPr>
          <w:sz w:val="20"/>
          <w:szCs w:val="20"/>
          <w:color w:val="auto"/>
        </w:rPr>
      </w:pPr>
      <w:r>
        <w:rPr>
          <w:rFonts w:ascii="Courier New" w:cs="Courier New" w:eastAsia="Courier New" w:hAnsi="Courier New"/>
          <w:sz w:val="15"/>
          <w:szCs w:val="15"/>
          <w:color w:val="auto"/>
        </w:rPr>
        <w:t>Name: Mary E. Cameron</w:t>
      </w:r>
    </w:p>
    <w:p>
      <w:pPr>
        <w:ind w:left="25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019"/>
          </w:cols>
          <w:pgMar w:left="1440" w:top="628" w:right="1440" w:bottom="1440" w:gutter="0" w:footer="0" w:header="0"/>
        </w:sectPr>
      </w:pPr>
    </w:p>
    <w:bookmarkStart w:id="246" w:name="page247"/>
    <w:bookmarkEnd w:id="246"/>
    <w:p>
      <w:pPr>
        <w:ind w:left="2320"/>
        <w:spacing w:after="0"/>
        <w:rPr>
          <w:sz w:val="20"/>
          <w:szCs w:val="20"/>
          <w:color w:val="auto"/>
        </w:rPr>
      </w:pPr>
      <w:r>
        <w:rPr>
          <w:rFonts w:ascii="Courier New" w:cs="Courier New" w:eastAsia="Courier New" w:hAnsi="Courier New"/>
          <w:sz w:val="14"/>
          <w:szCs w:val="14"/>
          <w:color w:val="auto"/>
        </w:rPr>
        <w:t>DEUTSCHE BANK AG, through its New York</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and/or Cayman Islands Branch, as Lead</w:t>
      </w:r>
    </w:p>
    <w:p>
      <w:pPr>
        <w:ind w:left="2320"/>
        <w:spacing w:after="0"/>
        <w:rPr>
          <w:sz w:val="20"/>
          <w:szCs w:val="20"/>
          <w:color w:val="auto"/>
        </w:rPr>
      </w:pPr>
      <w:r>
        <w:rPr>
          <w:rFonts w:ascii="Courier New" w:cs="Courier New" w:eastAsia="Courier New" w:hAnsi="Courier New"/>
          <w:sz w:val="15"/>
          <w:szCs w:val="15"/>
          <w:color w:val="auto"/>
        </w:rPr>
        <w:t>Manager and a Bank</w:t>
      </w:r>
    </w:p>
    <w:p>
      <w:pPr>
        <w:spacing w:after="0" w:line="200" w:lineRule="exact"/>
        <w:rPr>
          <w:sz w:val="20"/>
          <w:szCs w:val="20"/>
          <w:color w:val="auto"/>
        </w:rPr>
      </w:pPr>
    </w:p>
    <w:p>
      <w:pPr>
        <w:spacing w:after="0" w:line="30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By: /s/ Steven M. Godeke</w:t>
      </w:r>
    </w:p>
    <w:p>
      <w:pPr>
        <w:ind w:left="2580"/>
        <w:spacing w:after="0"/>
        <w:rPr>
          <w:sz w:val="20"/>
          <w:szCs w:val="20"/>
          <w:color w:val="auto"/>
        </w:rPr>
      </w:pPr>
      <w:r>
        <w:rPr>
          <w:rFonts w:ascii="Courier New" w:cs="Courier New" w:eastAsia="Courier New" w:hAnsi="Courier New"/>
          <w:sz w:val="15"/>
          <w:szCs w:val="15"/>
          <w:color w:val="auto"/>
        </w:rPr>
        <w:t>----------------------------</w:t>
      </w:r>
    </w:p>
    <w:p>
      <w:pPr>
        <w:ind w:left="2580"/>
        <w:spacing w:after="0"/>
        <w:rPr>
          <w:sz w:val="20"/>
          <w:szCs w:val="20"/>
          <w:color w:val="auto"/>
        </w:rPr>
      </w:pPr>
      <w:r>
        <w:rPr>
          <w:rFonts w:ascii="Courier New" w:cs="Courier New" w:eastAsia="Courier New" w:hAnsi="Courier New"/>
          <w:sz w:val="15"/>
          <w:szCs w:val="15"/>
          <w:color w:val="auto"/>
        </w:rPr>
        <w:t>Name: Steven M. Godeke</w:t>
      </w:r>
    </w:p>
    <w:p>
      <w:pPr>
        <w:ind w:left="25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By: /s/ Bina R. Dabbah</w:t>
      </w:r>
    </w:p>
    <w:p>
      <w:pPr>
        <w:ind w:left="2580"/>
        <w:spacing w:after="0"/>
        <w:rPr>
          <w:sz w:val="20"/>
          <w:szCs w:val="20"/>
          <w:color w:val="auto"/>
        </w:rPr>
      </w:pPr>
      <w:r>
        <w:rPr>
          <w:rFonts w:ascii="Courier New" w:cs="Courier New" w:eastAsia="Courier New" w:hAnsi="Courier New"/>
          <w:sz w:val="15"/>
          <w:szCs w:val="15"/>
          <w:color w:val="auto"/>
        </w:rPr>
        <w:t>----------------------------</w:t>
      </w:r>
    </w:p>
    <w:p>
      <w:pPr>
        <w:ind w:left="2580"/>
        <w:spacing w:after="0"/>
        <w:rPr>
          <w:sz w:val="20"/>
          <w:szCs w:val="20"/>
          <w:color w:val="auto"/>
        </w:rPr>
      </w:pPr>
      <w:r>
        <w:rPr>
          <w:rFonts w:ascii="Courier New" w:cs="Courier New" w:eastAsia="Courier New" w:hAnsi="Courier New"/>
          <w:sz w:val="15"/>
          <w:szCs w:val="15"/>
          <w:color w:val="auto"/>
        </w:rPr>
        <w:t>Name: Bina R. Dabbah</w:t>
      </w:r>
    </w:p>
    <w:p>
      <w:pPr>
        <w:ind w:left="25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169"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Participants</w:t>
      </w:r>
    </w:p>
    <w:p>
      <w:pPr>
        <w:spacing w:after="0" w:line="339"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THE SAKURA BANK, LIMITED</w:t>
      </w:r>
    </w:p>
    <w:p>
      <w:pPr>
        <w:spacing w:after="0" w:line="200" w:lineRule="exact"/>
        <w:rPr>
          <w:sz w:val="20"/>
          <w:szCs w:val="20"/>
          <w:color w:val="auto"/>
        </w:rPr>
      </w:pPr>
    </w:p>
    <w:p>
      <w:pPr>
        <w:spacing w:after="0" w:line="30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By: /s/ Hiroshi Shimazaki</w:t>
      </w:r>
    </w:p>
    <w:p>
      <w:pPr>
        <w:ind w:left="2580"/>
        <w:spacing w:after="0"/>
        <w:rPr>
          <w:sz w:val="20"/>
          <w:szCs w:val="20"/>
          <w:color w:val="auto"/>
        </w:rPr>
      </w:pPr>
      <w:r>
        <w:rPr>
          <w:rFonts w:ascii="Courier New" w:cs="Courier New" w:eastAsia="Courier New" w:hAnsi="Courier New"/>
          <w:sz w:val="15"/>
          <w:szCs w:val="15"/>
          <w:color w:val="auto"/>
        </w:rPr>
        <w:t>----------------------------</w:t>
      </w:r>
    </w:p>
    <w:p>
      <w:pPr>
        <w:ind w:left="2580"/>
        <w:spacing w:after="0"/>
        <w:rPr>
          <w:sz w:val="20"/>
          <w:szCs w:val="20"/>
          <w:color w:val="auto"/>
        </w:rPr>
      </w:pPr>
      <w:r>
        <w:rPr>
          <w:rFonts w:ascii="Courier New" w:cs="Courier New" w:eastAsia="Courier New" w:hAnsi="Courier New"/>
          <w:sz w:val="15"/>
          <w:szCs w:val="15"/>
          <w:color w:val="auto"/>
        </w:rPr>
        <w:t>Name: Hiroshi Shimazaki</w:t>
      </w:r>
    </w:p>
    <w:p>
      <w:pPr>
        <w:ind w:left="2580"/>
        <w:spacing w:after="0" w:line="238" w:lineRule="auto"/>
        <w:rPr>
          <w:sz w:val="20"/>
          <w:szCs w:val="20"/>
          <w:color w:val="auto"/>
        </w:rPr>
      </w:pPr>
      <w:r>
        <w:rPr>
          <w:rFonts w:ascii="Courier New" w:cs="Courier New" w:eastAsia="Courier New" w:hAnsi="Courier New"/>
          <w:sz w:val="15"/>
          <w:szCs w:val="15"/>
          <w:color w:val="auto"/>
        </w:rPr>
        <w:t>Title: Senior Vice President</w:t>
      </w:r>
    </w:p>
    <w:p>
      <w:pPr>
        <w:ind w:left="3200"/>
        <w:spacing w:after="0"/>
        <w:rPr>
          <w:sz w:val="20"/>
          <w:szCs w:val="20"/>
          <w:color w:val="auto"/>
        </w:rPr>
      </w:pPr>
      <w:r>
        <w:rPr>
          <w:rFonts w:ascii="Courier New" w:cs="Courier New" w:eastAsia="Courier New" w:hAnsi="Courier New"/>
          <w:sz w:val="15"/>
          <w:szCs w:val="15"/>
          <w:color w:val="auto"/>
        </w:rPr>
        <w:t>and Manager</w:t>
      </w:r>
    </w:p>
    <w:p>
      <w:pPr>
        <w:spacing w:after="0" w:line="33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COMPAGNIE FINANCIERE DE CIC ET DE</w:t>
      </w:r>
    </w:p>
    <w:p>
      <w:pPr>
        <w:ind w:left="2320"/>
        <w:spacing w:after="0"/>
        <w:rPr>
          <w:sz w:val="20"/>
          <w:szCs w:val="20"/>
          <w:color w:val="auto"/>
        </w:rPr>
      </w:pPr>
      <w:r>
        <w:rPr>
          <w:rFonts w:ascii="Courier New" w:cs="Courier New" w:eastAsia="Courier New" w:hAnsi="Courier New"/>
          <w:sz w:val="15"/>
          <w:szCs w:val="15"/>
          <w:color w:val="auto"/>
        </w:rPr>
        <w:t>L'UNION EUROPEENNE, NEW YORK BRANCH</w:t>
      </w:r>
    </w:p>
    <w:p>
      <w:pPr>
        <w:spacing w:after="0" w:line="200" w:lineRule="exact"/>
        <w:rPr>
          <w:sz w:val="20"/>
          <w:szCs w:val="20"/>
          <w:color w:val="auto"/>
        </w:rPr>
      </w:pPr>
    </w:p>
    <w:p>
      <w:pPr>
        <w:spacing w:after="0" w:line="30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By:/s/ Brian O'Leary/Marcus Edward</w:t>
      </w:r>
    </w:p>
    <w:p>
      <w:pPr>
        <w:ind w:left="2580"/>
        <w:spacing w:after="0"/>
        <w:rPr>
          <w:sz w:val="20"/>
          <w:szCs w:val="20"/>
          <w:color w:val="auto"/>
        </w:rPr>
      </w:pPr>
      <w:r>
        <w:rPr>
          <w:rFonts w:ascii="Courier New" w:cs="Courier New" w:eastAsia="Courier New" w:hAnsi="Courier New"/>
          <w:sz w:val="15"/>
          <w:szCs w:val="15"/>
          <w:color w:val="auto"/>
        </w:rPr>
        <w:t>--------------------------------</w:t>
      </w:r>
    </w:p>
    <w:p>
      <w:pPr>
        <w:ind w:left="2580"/>
        <w:spacing w:after="0"/>
        <w:rPr>
          <w:sz w:val="20"/>
          <w:szCs w:val="20"/>
          <w:color w:val="auto"/>
        </w:rPr>
      </w:pPr>
      <w:r>
        <w:rPr>
          <w:rFonts w:ascii="Courier New" w:cs="Courier New" w:eastAsia="Courier New" w:hAnsi="Courier New"/>
          <w:sz w:val="15"/>
          <w:szCs w:val="15"/>
          <w:color w:val="auto"/>
        </w:rPr>
        <w:t>Name: Brian O'Leary/Marcus Edward</w:t>
      </w:r>
    </w:p>
    <w:p>
      <w:pPr>
        <w:ind w:left="2580"/>
        <w:spacing w:after="0" w:line="238" w:lineRule="auto"/>
        <w:rPr>
          <w:sz w:val="20"/>
          <w:szCs w:val="20"/>
          <w:color w:val="auto"/>
        </w:rPr>
      </w:pPr>
      <w:r>
        <w:rPr>
          <w:rFonts w:ascii="Courier New" w:cs="Courier New" w:eastAsia="Courier New" w:hAnsi="Courier New"/>
          <w:sz w:val="15"/>
          <w:szCs w:val="15"/>
          <w:color w:val="auto"/>
        </w:rPr>
        <w:t>Title: Vice Presidents</w:t>
      </w:r>
    </w:p>
    <w:p>
      <w:pPr>
        <w:spacing w:after="0" w:line="339"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PNC BANK N.A.</w:t>
      </w:r>
    </w:p>
    <w:p>
      <w:pPr>
        <w:spacing w:after="0" w:line="200" w:lineRule="exact"/>
        <w:rPr>
          <w:sz w:val="20"/>
          <w:szCs w:val="20"/>
          <w:color w:val="auto"/>
        </w:rPr>
      </w:pPr>
    </w:p>
    <w:p>
      <w:pPr>
        <w:spacing w:after="0" w:line="30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By: /s/ Karen M. Wolters</w:t>
      </w:r>
    </w:p>
    <w:p>
      <w:pPr>
        <w:ind w:left="2580"/>
        <w:spacing w:after="0"/>
        <w:rPr>
          <w:sz w:val="20"/>
          <w:szCs w:val="20"/>
          <w:color w:val="auto"/>
        </w:rPr>
      </w:pPr>
      <w:r>
        <w:rPr>
          <w:rFonts w:ascii="Courier New" w:cs="Courier New" w:eastAsia="Courier New" w:hAnsi="Courier New"/>
          <w:sz w:val="15"/>
          <w:szCs w:val="15"/>
          <w:color w:val="auto"/>
        </w:rPr>
        <w:t>----------------------------</w:t>
      </w:r>
    </w:p>
    <w:p>
      <w:pPr>
        <w:ind w:left="2580"/>
        <w:spacing w:after="0"/>
        <w:rPr>
          <w:sz w:val="20"/>
          <w:szCs w:val="20"/>
          <w:color w:val="auto"/>
        </w:rPr>
      </w:pPr>
      <w:r>
        <w:rPr>
          <w:rFonts w:ascii="Courier New" w:cs="Courier New" w:eastAsia="Courier New" w:hAnsi="Courier New"/>
          <w:sz w:val="15"/>
          <w:szCs w:val="15"/>
          <w:color w:val="auto"/>
        </w:rPr>
        <w:t>Name: Karen M. Wolters</w:t>
      </w:r>
    </w:p>
    <w:p>
      <w:pPr>
        <w:ind w:left="250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019"/>
          </w:cols>
          <w:pgMar w:left="1440" w:top="797" w:right="1440" w:bottom="1440" w:gutter="0" w:footer="0" w:header="0"/>
        </w:sectPr>
      </w:pPr>
    </w:p>
    <w:bookmarkStart w:id="247" w:name="page248"/>
    <w:bookmarkEnd w:id="247"/>
    <w:p>
      <w:pPr>
        <w:ind w:left="2320"/>
        <w:spacing w:after="0"/>
        <w:rPr>
          <w:sz w:val="20"/>
          <w:szCs w:val="20"/>
          <w:color w:val="auto"/>
        </w:rPr>
      </w:pPr>
      <w:r>
        <w:rPr>
          <w:rFonts w:ascii="Courier New" w:cs="Courier New" w:eastAsia="Courier New" w:hAnsi="Courier New"/>
          <w:sz w:val="15"/>
          <w:szCs w:val="15"/>
          <w:color w:val="auto"/>
        </w:rPr>
        <w:t>FIRST INTERSTATE BANK OF WASHINGTON,</w:t>
      </w:r>
    </w:p>
    <w:p>
      <w:pPr>
        <w:ind w:left="2320"/>
        <w:spacing w:after="0"/>
        <w:rPr>
          <w:sz w:val="20"/>
          <w:szCs w:val="20"/>
          <w:color w:val="auto"/>
        </w:rPr>
      </w:pPr>
      <w:r>
        <w:rPr>
          <w:rFonts w:ascii="Courier New" w:cs="Courier New" w:eastAsia="Courier New" w:hAnsi="Courier New"/>
          <w:sz w:val="15"/>
          <w:szCs w:val="15"/>
          <w:color w:val="auto"/>
        </w:rPr>
        <w:t>N.A.</w:t>
      </w:r>
    </w:p>
    <w:p>
      <w:pPr>
        <w:spacing w:after="0" w:line="200" w:lineRule="exact"/>
        <w:rPr>
          <w:sz w:val="20"/>
          <w:szCs w:val="20"/>
          <w:color w:val="auto"/>
        </w:rPr>
      </w:pPr>
    </w:p>
    <w:p>
      <w:pPr>
        <w:spacing w:after="0" w:line="30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By:/s/ Susan Hendrixson</w:t>
      </w:r>
    </w:p>
    <w:p>
      <w:pPr>
        <w:ind w:left="2580"/>
        <w:spacing w:after="0"/>
        <w:rPr>
          <w:sz w:val="20"/>
          <w:szCs w:val="20"/>
          <w:color w:val="auto"/>
        </w:rPr>
      </w:pPr>
      <w:r>
        <w:rPr>
          <w:rFonts w:ascii="Courier New" w:cs="Courier New" w:eastAsia="Courier New" w:hAnsi="Courier New"/>
          <w:sz w:val="15"/>
          <w:szCs w:val="15"/>
          <w:color w:val="auto"/>
        </w:rPr>
        <w:t>----------------------------</w:t>
      </w:r>
    </w:p>
    <w:p>
      <w:pPr>
        <w:ind w:left="2580"/>
        <w:spacing w:after="0"/>
        <w:rPr>
          <w:sz w:val="20"/>
          <w:szCs w:val="20"/>
          <w:color w:val="auto"/>
        </w:rPr>
      </w:pPr>
      <w:r>
        <w:rPr>
          <w:rFonts w:ascii="Courier New" w:cs="Courier New" w:eastAsia="Courier New" w:hAnsi="Courier New"/>
          <w:sz w:val="15"/>
          <w:szCs w:val="15"/>
          <w:color w:val="auto"/>
        </w:rPr>
        <w:t>Name: Susan Hendrixson</w:t>
      </w:r>
    </w:p>
    <w:p>
      <w:pPr>
        <w:ind w:left="25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GULF INTERNATIONAL BANK</w:t>
      </w:r>
    </w:p>
    <w:p>
      <w:pPr>
        <w:spacing w:after="0" w:line="200" w:lineRule="exact"/>
        <w:rPr>
          <w:sz w:val="20"/>
          <w:szCs w:val="20"/>
          <w:color w:val="auto"/>
        </w:rPr>
      </w:pPr>
    </w:p>
    <w:p>
      <w:pPr>
        <w:spacing w:after="0" w:line="30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By:/s/ Abdel-Fattah Tahoun</w:t>
      </w:r>
    </w:p>
    <w:p>
      <w:pPr>
        <w:ind w:left="2580"/>
        <w:spacing w:after="0"/>
        <w:rPr>
          <w:sz w:val="20"/>
          <w:szCs w:val="20"/>
          <w:color w:val="auto"/>
        </w:rPr>
      </w:pPr>
      <w:r>
        <w:rPr>
          <w:rFonts w:ascii="Courier New" w:cs="Courier New" w:eastAsia="Courier New" w:hAnsi="Courier New"/>
          <w:sz w:val="15"/>
          <w:szCs w:val="15"/>
          <w:color w:val="auto"/>
        </w:rPr>
        <w:t>----------------------------</w:t>
      </w:r>
    </w:p>
    <w:p>
      <w:pPr>
        <w:ind w:left="2580"/>
        <w:spacing w:after="0"/>
        <w:rPr>
          <w:sz w:val="20"/>
          <w:szCs w:val="20"/>
          <w:color w:val="auto"/>
        </w:rPr>
      </w:pPr>
      <w:r>
        <w:rPr>
          <w:rFonts w:ascii="Courier New" w:cs="Courier New" w:eastAsia="Courier New" w:hAnsi="Courier New"/>
          <w:sz w:val="15"/>
          <w:szCs w:val="15"/>
          <w:color w:val="auto"/>
        </w:rPr>
        <w:t>Name: Abdel-Fattah Tahoun</w:t>
      </w:r>
    </w:p>
    <w:p>
      <w:pPr>
        <w:ind w:left="258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169"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By:/s/ Haytham F. Khalil</w:t>
      </w:r>
    </w:p>
    <w:p>
      <w:pPr>
        <w:ind w:left="2580"/>
        <w:spacing w:after="0"/>
        <w:rPr>
          <w:sz w:val="20"/>
          <w:szCs w:val="20"/>
          <w:color w:val="auto"/>
        </w:rPr>
      </w:pPr>
      <w:r>
        <w:rPr>
          <w:rFonts w:ascii="Courier New" w:cs="Courier New" w:eastAsia="Courier New" w:hAnsi="Courier New"/>
          <w:sz w:val="15"/>
          <w:szCs w:val="15"/>
          <w:color w:val="auto"/>
        </w:rPr>
        <w:t>----------------------------</w:t>
      </w:r>
    </w:p>
    <w:p>
      <w:pPr>
        <w:ind w:left="2580"/>
        <w:spacing w:after="0"/>
        <w:rPr>
          <w:sz w:val="20"/>
          <w:szCs w:val="20"/>
          <w:color w:val="auto"/>
        </w:rPr>
      </w:pPr>
      <w:r>
        <w:rPr>
          <w:rFonts w:ascii="Courier New" w:cs="Courier New" w:eastAsia="Courier New" w:hAnsi="Courier New"/>
          <w:sz w:val="15"/>
          <w:szCs w:val="15"/>
          <w:color w:val="auto"/>
        </w:rPr>
        <w:t>Name: Haytham F. Khalil</w:t>
      </w:r>
    </w:p>
    <w:p>
      <w:pPr>
        <w:ind w:left="2580"/>
        <w:spacing w:after="0" w:line="238" w:lineRule="auto"/>
        <w:rPr>
          <w:sz w:val="20"/>
          <w:szCs w:val="20"/>
          <w:color w:val="auto"/>
        </w:rPr>
      </w:pPr>
      <w:r>
        <w:rPr>
          <w:rFonts w:ascii="Courier New" w:cs="Courier New" w:eastAsia="Courier New" w:hAnsi="Courier New"/>
          <w:sz w:val="15"/>
          <w:szCs w:val="15"/>
          <w:color w:val="auto"/>
        </w:rPr>
        <w:t>Title: Assistant Vice President</w:t>
      </w:r>
    </w:p>
    <w:p>
      <w:pPr>
        <w:spacing w:after="0" w:line="344"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THE TOKAI BANK, LIMITED, NEW YORK BRANCH</w:t>
      </w:r>
    </w:p>
    <w:p>
      <w:pPr>
        <w:spacing w:after="0" w:line="200" w:lineRule="exact"/>
        <w:rPr>
          <w:sz w:val="20"/>
          <w:szCs w:val="20"/>
          <w:color w:val="auto"/>
        </w:rPr>
      </w:pPr>
    </w:p>
    <w:p>
      <w:pPr>
        <w:spacing w:after="0" w:line="31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By: /s/ Masaharu Muto</w:t>
      </w:r>
    </w:p>
    <w:p>
      <w:pPr>
        <w:ind w:left="2580"/>
        <w:spacing w:after="0"/>
        <w:rPr>
          <w:sz w:val="20"/>
          <w:szCs w:val="20"/>
          <w:color w:val="auto"/>
        </w:rPr>
      </w:pPr>
      <w:r>
        <w:rPr>
          <w:rFonts w:ascii="Courier New" w:cs="Courier New" w:eastAsia="Courier New" w:hAnsi="Courier New"/>
          <w:sz w:val="15"/>
          <w:szCs w:val="15"/>
          <w:color w:val="auto"/>
        </w:rPr>
        <w:t>----------------------------</w:t>
      </w:r>
    </w:p>
    <w:p>
      <w:pPr>
        <w:ind w:left="2580"/>
        <w:spacing w:after="0"/>
        <w:rPr>
          <w:sz w:val="20"/>
          <w:szCs w:val="20"/>
          <w:color w:val="auto"/>
        </w:rPr>
      </w:pPr>
      <w:r>
        <w:rPr>
          <w:rFonts w:ascii="Courier New" w:cs="Courier New" w:eastAsia="Courier New" w:hAnsi="Courier New"/>
          <w:sz w:val="15"/>
          <w:szCs w:val="15"/>
          <w:color w:val="auto"/>
        </w:rPr>
        <w:t>Name: Masaharu Muto</w:t>
      </w:r>
    </w:p>
    <w:p>
      <w:pPr>
        <w:ind w:left="2580"/>
        <w:spacing w:after="0" w:line="238" w:lineRule="auto"/>
        <w:rPr>
          <w:sz w:val="20"/>
          <w:szCs w:val="20"/>
          <w:color w:val="auto"/>
        </w:rPr>
      </w:pPr>
      <w:r>
        <w:rPr>
          <w:rFonts w:ascii="Courier New" w:cs="Courier New" w:eastAsia="Courier New" w:hAnsi="Courier New"/>
          <w:sz w:val="15"/>
          <w:szCs w:val="15"/>
          <w:color w:val="auto"/>
        </w:rPr>
        <w:t>Title: Deputy General Manager</w:t>
      </w:r>
    </w:p>
    <w:p>
      <w:pPr>
        <w:spacing w:after="0" w:line="339"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THE YASUDA TRUST AND BANKING CO., LTD.,</w:t>
      </w:r>
    </w:p>
    <w:p>
      <w:pPr>
        <w:ind w:left="2320"/>
        <w:spacing w:after="0"/>
        <w:rPr>
          <w:sz w:val="20"/>
          <w:szCs w:val="20"/>
          <w:color w:val="auto"/>
        </w:rPr>
      </w:pPr>
      <w:r>
        <w:rPr>
          <w:rFonts w:ascii="Courier New" w:cs="Courier New" w:eastAsia="Courier New" w:hAnsi="Courier New"/>
          <w:sz w:val="15"/>
          <w:szCs w:val="15"/>
          <w:color w:val="auto"/>
        </w:rPr>
        <w:t>NEW YORK BRANCH</w:t>
      </w:r>
    </w:p>
    <w:p>
      <w:pPr>
        <w:spacing w:after="0" w:line="200" w:lineRule="exact"/>
        <w:rPr>
          <w:sz w:val="20"/>
          <w:szCs w:val="20"/>
          <w:color w:val="auto"/>
        </w:rPr>
      </w:pPr>
    </w:p>
    <w:p>
      <w:pPr>
        <w:spacing w:after="0" w:line="30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By:/s/ Neil T. Chau</w:t>
      </w:r>
    </w:p>
    <w:p>
      <w:pPr>
        <w:ind w:left="2580"/>
        <w:spacing w:after="0"/>
        <w:rPr>
          <w:sz w:val="20"/>
          <w:szCs w:val="20"/>
          <w:color w:val="auto"/>
        </w:rPr>
      </w:pPr>
      <w:r>
        <w:rPr>
          <w:rFonts w:ascii="Courier New" w:cs="Courier New" w:eastAsia="Courier New" w:hAnsi="Courier New"/>
          <w:sz w:val="15"/>
          <w:szCs w:val="15"/>
          <w:color w:val="auto"/>
        </w:rPr>
        <w:t>----------------------------</w:t>
      </w:r>
    </w:p>
    <w:p>
      <w:pPr>
        <w:ind w:left="2580"/>
        <w:spacing w:after="0"/>
        <w:rPr>
          <w:sz w:val="20"/>
          <w:szCs w:val="20"/>
          <w:color w:val="auto"/>
        </w:rPr>
      </w:pPr>
      <w:r>
        <w:rPr>
          <w:rFonts w:ascii="Courier New" w:cs="Courier New" w:eastAsia="Courier New" w:hAnsi="Courier New"/>
          <w:sz w:val="15"/>
          <w:szCs w:val="15"/>
          <w:color w:val="auto"/>
        </w:rPr>
        <w:t>Name: Neil T. Chau</w:t>
      </w:r>
    </w:p>
    <w:p>
      <w:pPr>
        <w:ind w:left="2580"/>
        <w:spacing w:after="0" w:line="238" w:lineRule="auto"/>
        <w:rPr>
          <w:sz w:val="20"/>
          <w:szCs w:val="20"/>
          <w:color w:val="auto"/>
        </w:rPr>
      </w:pPr>
      <w:r>
        <w:rPr>
          <w:rFonts w:ascii="Courier New" w:cs="Courier New" w:eastAsia="Courier New" w:hAnsi="Courier New"/>
          <w:sz w:val="15"/>
          <w:szCs w:val="15"/>
          <w:color w:val="auto"/>
        </w:rPr>
        <w:t>Title: First Vice President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019"/>
          </w:cols>
          <w:pgMar w:left="1440" w:top="622" w:right="1440" w:bottom="1440" w:gutter="0" w:footer="0" w:header="0"/>
        </w:sectPr>
      </w:pPr>
    </w:p>
    <w:bookmarkStart w:id="248" w:name="page249"/>
    <w:bookmarkEnd w:id="248"/>
    <w:p>
      <w:pPr>
        <w:jc w:val="center"/>
        <w:ind w:right="-160"/>
        <w:spacing w:after="0"/>
        <w:rPr>
          <w:sz w:val="20"/>
          <w:szCs w:val="20"/>
          <w:color w:val="auto"/>
        </w:rPr>
      </w:pPr>
      <w:r>
        <w:rPr>
          <w:rFonts w:ascii="Courier New" w:cs="Courier New" w:eastAsia="Courier New" w:hAnsi="Courier New"/>
          <w:sz w:val="14"/>
          <w:szCs w:val="14"/>
          <w:color w:val="auto"/>
        </w:rPr>
        <w:t>BANK BRUSSELS LAMBERT, NEW YORK BRANCH</w:t>
      </w:r>
    </w:p>
    <w:p>
      <w:pPr>
        <w:sectPr>
          <w:pgSz w:w="11900" w:h="16838" w:orient="portrait"/>
          <w:cols w:equalWidth="0" w:num="1">
            <w:col w:w="10219"/>
          </w:cols>
          <w:pgMar w:left="240" w:top="628" w:right="1440" w:bottom="1440" w:gutter="0" w:footer="0" w:header="0"/>
        </w:sect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Denise Isherwood</w:t>
      </w:r>
    </w:p>
    <w:p>
      <w:pPr>
        <w:ind w:left="260"/>
        <w:spacing w:after="0"/>
        <w:rPr>
          <w:sz w:val="20"/>
          <w:szCs w:val="20"/>
          <w:color w:val="auto"/>
        </w:rPr>
      </w:pPr>
      <w:r>
        <w:rPr>
          <w:rFonts w:ascii="Courier New" w:cs="Courier New" w:eastAsia="Courier New" w:hAnsi="Courier New"/>
          <w:sz w:val="15"/>
          <w:szCs w:val="15"/>
          <w:color w:val="auto"/>
        </w:rPr>
        <w:t>---------------------</w:t>
      </w:r>
    </w:p>
    <w:p>
      <w:pPr>
        <w:ind w:left="260"/>
        <w:spacing w:after="0"/>
        <w:tabs>
          <w:tab w:leader="none" w:pos="8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Denise Isherwood</w:t>
      </w:r>
    </w:p>
    <w:p>
      <w:pPr>
        <w:ind w:left="260"/>
        <w:spacing w:after="0" w:line="238" w:lineRule="auto"/>
        <w:rPr>
          <w:sz w:val="20"/>
          <w:szCs w:val="20"/>
          <w:color w:val="auto"/>
        </w:rPr>
      </w:pPr>
      <w:r>
        <w:rPr>
          <w:rFonts w:ascii="Courier New" w:cs="Courier New" w:eastAsia="Courier New" w:hAnsi="Courier New"/>
          <w:sz w:val="15"/>
          <w:szCs w:val="15"/>
          <w:color w:val="auto"/>
        </w:rPr>
        <w:t>Title: Assistant Vice</w:t>
      </w:r>
    </w:p>
    <w:p>
      <w:pPr>
        <w:ind w:left="1140"/>
        <w:spacing w:after="0"/>
        <w:rPr>
          <w:sz w:val="20"/>
          <w:szCs w:val="20"/>
          <w:color w:val="auto"/>
        </w:rPr>
      </w:pPr>
      <w:r>
        <w:rPr>
          <w:rFonts w:ascii="Courier New" w:cs="Courier New" w:eastAsia="Courier New" w:hAnsi="Courier New"/>
          <w:sz w:val="15"/>
          <w:szCs w:val="15"/>
          <w:color w:val="auto"/>
        </w:rPr>
        <w:t>President</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Eric Hollanders</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60"/>
        <w:spacing w:after="0"/>
        <w:tabs>
          <w:tab w:leader="none" w:pos="960" w:val="left"/>
        </w:tabs>
        <w:rPr>
          <w:sz w:val="20"/>
          <w:szCs w:val="20"/>
          <w:color w:val="auto"/>
        </w:rPr>
      </w:pPr>
      <w:r>
        <w:rPr>
          <w:rFonts w:ascii="Courier New" w:cs="Courier New" w:eastAsia="Courier New" w:hAnsi="Courier New"/>
          <w:sz w:val="15"/>
          <w:szCs w:val="15"/>
          <w:color w:val="auto"/>
        </w:rPr>
        <w:t>Name:</w:t>
        <w:tab/>
        <w:t>Eric Hollanders</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Title: Senior Vice President</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Credit Department</w:t>
      </w:r>
    </w:p>
    <w:p>
      <w:pPr>
        <w:spacing w:after="0" w:line="174" w:lineRule="exact"/>
        <w:rPr>
          <w:sz w:val="20"/>
          <w:szCs w:val="20"/>
          <w:color w:val="auto"/>
        </w:rPr>
      </w:pPr>
    </w:p>
    <w:p>
      <w:pPr>
        <w:sectPr>
          <w:pgSz w:w="11900" w:h="16838" w:orient="portrait"/>
          <w:cols w:equalWidth="0" w:num="2">
            <w:col w:w="2700" w:space="720"/>
            <w:col w:w="6799"/>
          </w:cols>
          <w:pgMar w:left="240" w:top="628" w:right="1440" w:bottom="1440" w:gutter="0" w:footer="0" w:header="0"/>
          <w:type w:val="continuous"/>
        </w:sectPr>
      </w:pPr>
    </w:p>
    <w:p>
      <w:pPr>
        <w:ind w:left="3520"/>
        <w:spacing w:after="0"/>
        <w:rPr>
          <w:sz w:val="20"/>
          <w:szCs w:val="20"/>
          <w:color w:val="auto"/>
        </w:rPr>
      </w:pPr>
      <w:r>
        <w:rPr>
          <w:rFonts w:ascii="Courier New" w:cs="Courier New" w:eastAsia="Courier New" w:hAnsi="Courier New"/>
          <w:sz w:val="14"/>
          <w:szCs w:val="14"/>
          <w:color w:val="auto"/>
        </w:rPr>
        <w:t>BANQUE FRANCAISE DU COMMERCE EXTERIEUR,</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NEW YORK BRANCH</w:t>
      </w:r>
    </w:p>
    <w:p>
      <w:pPr>
        <w:spacing w:after="0" w:line="33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By: /s/ Peter K. Harris</w:t>
      </w:r>
    </w:p>
    <w:p>
      <w:pPr>
        <w:ind w:left="3780"/>
        <w:spacing w:after="0"/>
        <w:rPr>
          <w:sz w:val="20"/>
          <w:szCs w:val="20"/>
          <w:color w:val="auto"/>
        </w:rPr>
      </w:pPr>
      <w:r>
        <w:rPr>
          <w:rFonts w:ascii="Courier New" w:cs="Courier New" w:eastAsia="Courier New" w:hAnsi="Courier New"/>
          <w:sz w:val="15"/>
          <w:szCs w:val="15"/>
          <w:color w:val="auto"/>
        </w:rPr>
        <w:t>----------------------------</w:t>
      </w:r>
    </w:p>
    <w:p>
      <w:pPr>
        <w:ind w:left="3780"/>
        <w:spacing w:after="0"/>
        <w:rPr>
          <w:sz w:val="20"/>
          <w:szCs w:val="20"/>
          <w:color w:val="auto"/>
        </w:rPr>
      </w:pPr>
      <w:r>
        <w:rPr>
          <w:rFonts w:ascii="Courier New" w:cs="Courier New" w:eastAsia="Courier New" w:hAnsi="Courier New"/>
          <w:sz w:val="15"/>
          <w:szCs w:val="15"/>
          <w:color w:val="auto"/>
        </w:rPr>
        <w:t>Name: Peter K. Harris</w:t>
      </w:r>
    </w:p>
    <w:p>
      <w:pPr>
        <w:ind w:left="3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By: /s/ William Marer</w:t>
      </w:r>
    </w:p>
    <w:p>
      <w:pPr>
        <w:ind w:left="3780"/>
        <w:spacing w:after="0"/>
        <w:rPr>
          <w:sz w:val="20"/>
          <w:szCs w:val="20"/>
          <w:color w:val="auto"/>
        </w:rPr>
      </w:pPr>
      <w:r>
        <w:rPr>
          <w:rFonts w:ascii="Courier New" w:cs="Courier New" w:eastAsia="Courier New" w:hAnsi="Courier New"/>
          <w:sz w:val="15"/>
          <w:szCs w:val="15"/>
          <w:color w:val="auto"/>
        </w:rPr>
        <w:t>----------------------------</w:t>
      </w:r>
    </w:p>
    <w:p>
      <w:pPr>
        <w:ind w:left="3780"/>
        <w:spacing w:after="0"/>
        <w:rPr>
          <w:sz w:val="20"/>
          <w:szCs w:val="20"/>
          <w:color w:val="auto"/>
        </w:rPr>
      </w:pPr>
      <w:r>
        <w:rPr>
          <w:rFonts w:ascii="Courier New" w:cs="Courier New" w:eastAsia="Courier New" w:hAnsi="Courier New"/>
          <w:sz w:val="15"/>
          <w:szCs w:val="15"/>
          <w:color w:val="auto"/>
        </w:rPr>
        <w:t>Name: William Marer</w:t>
      </w:r>
    </w:p>
    <w:p>
      <w:pPr>
        <w:ind w:left="3780"/>
        <w:spacing w:after="0" w:line="238" w:lineRule="auto"/>
        <w:rPr>
          <w:sz w:val="20"/>
          <w:szCs w:val="20"/>
          <w:color w:val="auto"/>
        </w:rPr>
      </w:pPr>
      <w:r>
        <w:rPr>
          <w:rFonts w:ascii="Courier New" w:cs="Courier New" w:eastAsia="Courier New" w:hAnsi="Courier New"/>
          <w:sz w:val="15"/>
          <w:szCs w:val="15"/>
          <w:color w:val="auto"/>
        </w:rPr>
        <w:t>Title: Vice President/Manager</w:t>
      </w:r>
    </w:p>
    <w:p>
      <w:pPr>
        <w:spacing w:after="0" w:line="33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DEN DANSKE BANK</w:t>
      </w:r>
    </w:p>
    <w:p>
      <w:pPr>
        <w:spacing w:after="0" w:line="33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By: /s/ George Wendell</w:t>
      </w:r>
    </w:p>
    <w:p>
      <w:pPr>
        <w:ind w:left="3780"/>
        <w:spacing w:after="0"/>
        <w:rPr>
          <w:sz w:val="20"/>
          <w:szCs w:val="20"/>
          <w:color w:val="auto"/>
        </w:rPr>
      </w:pPr>
      <w:r>
        <w:rPr>
          <w:rFonts w:ascii="Courier New" w:cs="Courier New" w:eastAsia="Courier New" w:hAnsi="Courier New"/>
          <w:sz w:val="15"/>
          <w:szCs w:val="15"/>
          <w:color w:val="auto"/>
        </w:rPr>
        <w:t>----------------------------</w:t>
      </w:r>
    </w:p>
    <w:p>
      <w:pPr>
        <w:ind w:left="3780"/>
        <w:spacing w:after="0"/>
        <w:rPr>
          <w:sz w:val="20"/>
          <w:szCs w:val="20"/>
          <w:color w:val="auto"/>
        </w:rPr>
      </w:pPr>
      <w:r>
        <w:rPr>
          <w:rFonts w:ascii="Courier New" w:cs="Courier New" w:eastAsia="Courier New" w:hAnsi="Courier New"/>
          <w:sz w:val="15"/>
          <w:szCs w:val="15"/>
          <w:color w:val="auto"/>
        </w:rPr>
        <w:t>Name: George Wendell</w:t>
      </w:r>
    </w:p>
    <w:p>
      <w:pPr>
        <w:ind w:left="3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By: /s/ Mogens Sondergaard</w:t>
      </w:r>
    </w:p>
    <w:p>
      <w:pPr>
        <w:ind w:left="3780"/>
        <w:spacing w:after="0"/>
        <w:rPr>
          <w:sz w:val="20"/>
          <w:szCs w:val="20"/>
          <w:color w:val="auto"/>
        </w:rPr>
      </w:pPr>
      <w:r>
        <w:rPr>
          <w:rFonts w:ascii="Courier New" w:cs="Courier New" w:eastAsia="Courier New" w:hAnsi="Courier New"/>
          <w:sz w:val="15"/>
          <w:szCs w:val="15"/>
          <w:color w:val="auto"/>
        </w:rPr>
        <w:t>----------------------------</w:t>
      </w:r>
    </w:p>
    <w:p>
      <w:pPr>
        <w:ind w:left="3780"/>
        <w:spacing w:after="0"/>
        <w:rPr>
          <w:sz w:val="20"/>
          <w:szCs w:val="20"/>
          <w:color w:val="auto"/>
        </w:rPr>
      </w:pPr>
      <w:r>
        <w:rPr>
          <w:rFonts w:ascii="Courier New" w:cs="Courier New" w:eastAsia="Courier New" w:hAnsi="Courier New"/>
          <w:sz w:val="15"/>
          <w:szCs w:val="15"/>
          <w:color w:val="auto"/>
        </w:rPr>
        <w:t>Name: Mogens Sondergaard</w:t>
      </w:r>
    </w:p>
    <w:p>
      <w:pPr>
        <w:ind w:left="3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FIRST UNION NATIONAL BANK OF NORTH</w:t>
      </w:r>
    </w:p>
    <w:p>
      <w:pPr>
        <w:ind w:left="3520"/>
        <w:spacing w:after="0"/>
        <w:rPr>
          <w:sz w:val="20"/>
          <w:szCs w:val="20"/>
          <w:color w:val="auto"/>
        </w:rPr>
      </w:pPr>
      <w:r>
        <w:rPr>
          <w:rFonts w:ascii="Courier New" w:cs="Courier New" w:eastAsia="Courier New" w:hAnsi="Courier New"/>
          <w:sz w:val="15"/>
          <w:szCs w:val="15"/>
          <w:color w:val="auto"/>
        </w:rPr>
        <w:t>CAROLINA</w:t>
      </w:r>
    </w:p>
    <w:p>
      <w:pPr>
        <w:spacing w:after="0" w:line="33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By: /s/ William F. Laponte, III</w:t>
      </w:r>
    </w:p>
    <w:p>
      <w:pPr>
        <w:ind w:left="3780"/>
        <w:spacing w:after="0"/>
        <w:rPr>
          <w:sz w:val="20"/>
          <w:szCs w:val="20"/>
          <w:color w:val="auto"/>
        </w:rPr>
      </w:pPr>
      <w:r>
        <w:rPr>
          <w:rFonts w:ascii="Courier New" w:cs="Courier New" w:eastAsia="Courier New" w:hAnsi="Courier New"/>
          <w:sz w:val="15"/>
          <w:szCs w:val="15"/>
          <w:color w:val="auto"/>
        </w:rPr>
        <w:t>----------------------------</w:t>
      </w:r>
    </w:p>
    <w:p>
      <w:pPr>
        <w:ind w:left="3780"/>
        <w:spacing w:after="0"/>
        <w:rPr>
          <w:sz w:val="20"/>
          <w:szCs w:val="20"/>
          <w:color w:val="auto"/>
        </w:rPr>
      </w:pPr>
      <w:r>
        <w:rPr>
          <w:rFonts w:ascii="Courier New" w:cs="Courier New" w:eastAsia="Courier New" w:hAnsi="Courier New"/>
          <w:sz w:val="15"/>
          <w:szCs w:val="15"/>
          <w:color w:val="auto"/>
        </w:rPr>
        <w:t>Name: William F. Laponte, III</w:t>
      </w:r>
    </w:p>
    <w:p>
      <w:pPr>
        <w:ind w:left="3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28" w:right="1440" w:bottom="1440" w:gutter="0" w:footer="0" w:header="0"/>
          <w:type w:val="continuous"/>
        </w:sectPr>
      </w:pPr>
    </w:p>
    <w:bookmarkStart w:id="249" w:name="page250"/>
    <w:bookmarkEnd w:id="249"/>
    <w:p>
      <w:pPr>
        <w:ind w:left="2320"/>
        <w:spacing w:after="0"/>
        <w:rPr>
          <w:sz w:val="20"/>
          <w:szCs w:val="20"/>
          <w:color w:val="auto"/>
        </w:rPr>
      </w:pPr>
      <w:r>
        <w:rPr>
          <w:rFonts w:ascii="Courier New" w:cs="Courier New" w:eastAsia="Courier New" w:hAnsi="Courier New"/>
          <w:sz w:val="14"/>
          <w:szCs w:val="14"/>
          <w:color w:val="auto"/>
        </w:rPr>
        <w:t>NIPPON CREDIT BANK, LTD., LOS ANGELES</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AGENCY</w:t>
      </w:r>
    </w:p>
    <w:p>
      <w:pPr>
        <w:spacing w:after="0" w:line="339"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By: /s/ Bernardo E. Correa-Henschke</w:t>
      </w:r>
    </w:p>
    <w:p>
      <w:pPr>
        <w:ind w:left="25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580"/>
        <w:spacing w:after="0"/>
        <w:tabs>
          <w:tab w:leader="none" w:pos="3180" w:val="left"/>
        </w:tabs>
        <w:rPr>
          <w:sz w:val="20"/>
          <w:szCs w:val="20"/>
          <w:color w:val="auto"/>
        </w:rPr>
      </w:pPr>
      <w:r>
        <w:rPr>
          <w:rFonts w:ascii="Courier New" w:cs="Courier New" w:eastAsia="Courier New" w:hAnsi="Courier New"/>
          <w:sz w:val="14"/>
          <w:szCs w:val="14"/>
          <w:color w:val="auto"/>
        </w:rPr>
        <w:t>Name:</w:t>
        <w:tab/>
        <w:t>Bernardo E. Correa-Henschke</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Title: Vice President and Manager</w:t>
      </w:r>
    </w:p>
    <w:p>
      <w:pPr>
        <w:spacing w:after="0" w:line="339"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SHAWMUT BANK CONNECTICUT, N.A.</w:t>
      </w:r>
    </w:p>
    <w:p>
      <w:pPr>
        <w:spacing w:after="0" w:line="339"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By: /s/ Robert F. West</w:t>
      </w:r>
    </w:p>
    <w:p>
      <w:pPr>
        <w:ind w:left="2580"/>
        <w:spacing w:after="0"/>
        <w:rPr>
          <w:sz w:val="20"/>
          <w:szCs w:val="20"/>
          <w:color w:val="auto"/>
        </w:rPr>
      </w:pPr>
      <w:r>
        <w:rPr>
          <w:rFonts w:ascii="Courier New" w:cs="Courier New" w:eastAsia="Courier New" w:hAnsi="Courier New"/>
          <w:sz w:val="15"/>
          <w:szCs w:val="15"/>
          <w:color w:val="auto"/>
        </w:rPr>
        <w:t>----------------------------</w:t>
      </w:r>
    </w:p>
    <w:p>
      <w:pPr>
        <w:ind w:left="2580"/>
        <w:spacing w:after="0"/>
        <w:rPr>
          <w:sz w:val="20"/>
          <w:szCs w:val="20"/>
          <w:color w:val="auto"/>
        </w:rPr>
      </w:pPr>
      <w:r>
        <w:rPr>
          <w:rFonts w:ascii="Courier New" w:cs="Courier New" w:eastAsia="Courier New" w:hAnsi="Courier New"/>
          <w:sz w:val="15"/>
          <w:szCs w:val="15"/>
          <w:color w:val="auto"/>
        </w:rPr>
        <w:t>Name: Robert F. West</w:t>
      </w:r>
    </w:p>
    <w:p>
      <w:pPr>
        <w:ind w:left="2580"/>
        <w:spacing w:after="0" w:line="238" w:lineRule="auto"/>
        <w:rPr>
          <w:sz w:val="20"/>
          <w:szCs w:val="20"/>
          <w:color w:val="auto"/>
        </w:rPr>
      </w:pPr>
      <w:r>
        <w:rPr>
          <w:rFonts w:ascii="Courier New" w:cs="Courier New" w:eastAsia="Courier New" w:hAnsi="Courier New"/>
          <w:sz w:val="15"/>
          <w:szCs w:val="15"/>
          <w:color w:val="auto"/>
        </w:rPr>
        <w:t>Title: Director</w:t>
      </w:r>
    </w:p>
    <w:p>
      <w:pPr>
        <w:spacing w:after="0" w:line="339"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VAN KAMPEN PRIME RATE INCOME TRUST</w:t>
      </w:r>
    </w:p>
    <w:p>
      <w:pPr>
        <w:spacing w:after="0" w:line="200" w:lineRule="exact"/>
        <w:rPr>
          <w:sz w:val="20"/>
          <w:szCs w:val="20"/>
          <w:color w:val="auto"/>
        </w:rPr>
      </w:pPr>
    </w:p>
    <w:p>
      <w:pPr>
        <w:spacing w:after="0" w:line="30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By: /s/ Jeffrey W. Maillet</w:t>
      </w:r>
    </w:p>
    <w:p>
      <w:pPr>
        <w:ind w:left="2580"/>
        <w:spacing w:after="0"/>
        <w:rPr>
          <w:sz w:val="20"/>
          <w:szCs w:val="20"/>
          <w:color w:val="auto"/>
        </w:rPr>
      </w:pPr>
      <w:r>
        <w:rPr>
          <w:rFonts w:ascii="Courier New" w:cs="Courier New" w:eastAsia="Courier New" w:hAnsi="Courier New"/>
          <w:sz w:val="15"/>
          <w:szCs w:val="15"/>
          <w:color w:val="auto"/>
        </w:rPr>
        <w:t>----------------------------</w:t>
      </w:r>
    </w:p>
    <w:p>
      <w:pPr>
        <w:ind w:left="2580"/>
        <w:spacing w:after="0"/>
        <w:rPr>
          <w:sz w:val="20"/>
          <w:szCs w:val="20"/>
          <w:color w:val="auto"/>
        </w:rPr>
      </w:pPr>
      <w:r>
        <w:rPr>
          <w:rFonts w:ascii="Courier New" w:cs="Courier New" w:eastAsia="Courier New" w:hAnsi="Courier New"/>
          <w:sz w:val="15"/>
          <w:szCs w:val="15"/>
          <w:color w:val="auto"/>
        </w:rPr>
        <w:t>Name: Jeffrey W. Maillet</w:t>
      </w:r>
    </w:p>
    <w:p>
      <w:pPr>
        <w:ind w:left="2580"/>
        <w:spacing w:after="0" w:line="238" w:lineRule="auto"/>
        <w:rPr>
          <w:sz w:val="20"/>
          <w:szCs w:val="20"/>
          <w:color w:val="auto"/>
        </w:rPr>
      </w:pPr>
      <w:r>
        <w:rPr>
          <w:rFonts w:ascii="Courier New" w:cs="Courier New" w:eastAsia="Courier New" w:hAnsi="Courier New"/>
          <w:sz w:val="15"/>
          <w:szCs w:val="15"/>
          <w:color w:val="auto"/>
        </w:rPr>
        <w:t>Title: Vice President</w:t>
      </w:r>
    </w:p>
    <w:p>
      <w:pPr>
        <w:ind w:left="3380" w:hanging="182"/>
        <w:spacing w:after="0"/>
        <w:tabs>
          <w:tab w:leader="none" w:pos="338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Portfolio Mgr.</w:t>
      </w:r>
    </w:p>
    <w:p>
      <w:pPr>
        <w:spacing w:after="0" w:line="338" w:lineRule="exact"/>
        <w:rPr>
          <w:rFonts w:ascii="Courier New" w:cs="Courier New" w:eastAsia="Courier New" w:hAnsi="Courier New"/>
          <w:sz w:val="15"/>
          <w:szCs w:val="15"/>
          <w:color w:val="auto"/>
        </w:rPr>
      </w:pPr>
    </w:p>
    <w:p>
      <w:pPr>
        <w:ind w:left="2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FIRST HAWAIIAN BANK</w:t>
      </w:r>
    </w:p>
    <w:p>
      <w:pPr>
        <w:spacing w:after="0" w:line="200" w:lineRule="exact"/>
        <w:rPr>
          <w:sz w:val="20"/>
          <w:szCs w:val="20"/>
          <w:color w:val="auto"/>
        </w:rPr>
      </w:pPr>
    </w:p>
    <w:p>
      <w:pPr>
        <w:spacing w:after="0" w:line="30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By: /s/ William B. Schink</w:t>
      </w:r>
    </w:p>
    <w:p>
      <w:pPr>
        <w:ind w:left="2580"/>
        <w:spacing w:after="0"/>
        <w:rPr>
          <w:sz w:val="20"/>
          <w:szCs w:val="20"/>
          <w:color w:val="auto"/>
        </w:rPr>
      </w:pPr>
      <w:r>
        <w:rPr>
          <w:rFonts w:ascii="Courier New" w:cs="Courier New" w:eastAsia="Courier New" w:hAnsi="Courier New"/>
          <w:sz w:val="15"/>
          <w:szCs w:val="15"/>
          <w:color w:val="auto"/>
        </w:rPr>
        <w:t>----------------------------</w:t>
      </w:r>
    </w:p>
    <w:p>
      <w:pPr>
        <w:ind w:left="2580"/>
        <w:spacing w:after="0"/>
        <w:rPr>
          <w:sz w:val="20"/>
          <w:szCs w:val="20"/>
          <w:color w:val="auto"/>
        </w:rPr>
      </w:pPr>
      <w:r>
        <w:rPr>
          <w:rFonts w:ascii="Courier New" w:cs="Courier New" w:eastAsia="Courier New" w:hAnsi="Courier New"/>
          <w:sz w:val="15"/>
          <w:szCs w:val="15"/>
          <w:color w:val="auto"/>
        </w:rPr>
        <w:t>Name: William B. Schink</w:t>
      </w:r>
    </w:p>
    <w:p>
      <w:pPr>
        <w:ind w:left="25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BAYERISCHE VEREINS BANK, A.G.</w:t>
      </w:r>
    </w:p>
    <w:p>
      <w:pPr>
        <w:spacing w:after="0" w:line="200" w:lineRule="exact"/>
        <w:rPr>
          <w:sz w:val="20"/>
          <w:szCs w:val="20"/>
          <w:color w:val="auto"/>
        </w:rPr>
      </w:pPr>
    </w:p>
    <w:p>
      <w:pPr>
        <w:spacing w:after="0" w:line="30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By: /s/ John Carlson</w:t>
      </w:r>
    </w:p>
    <w:p>
      <w:pPr>
        <w:ind w:left="2580"/>
        <w:spacing w:after="0"/>
        <w:rPr>
          <w:sz w:val="20"/>
          <w:szCs w:val="20"/>
          <w:color w:val="auto"/>
        </w:rPr>
      </w:pPr>
      <w:r>
        <w:rPr>
          <w:rFonts w:ascii="Courier New" w:cs="Courier New" w:eastAsia="Courier New" w:hAnsi="Courier New"/>
          <w:sz w:val="15"/>
          <w:szCs w:val="15"/>
          <w:color w:val="auto"/>
        </w:rPr>
        <w:t>----------------------------</w:t>
      </w:r>
    </w:p>
    <w:p>
      <w:pPr>
        <w:ind w:left="2580"/>
        <w:spacing w:after="0"/>
        <w:rPr>
          <w:sz w:val="20"/>
          <w:szCs w:val="20"/>
          <w:color w:val="auto"/>
        </w:rPr>
      </w:pPr>
      <w:r>
        <w:rPr>
          <w:rFonts w:ascii="Courier New" w:cs="Courier New" w:eastAsia="Courier New" w:hAnsi="Courier New"/>
          <w:sz w:val="15"/>
          <w:szCs w:val="15"/>
          <w:color w:val="auto"/>
        </w:rPr>
        <w:t>Name: John Carlson</w:t>
      </w:r>
    </w:p>
    <w:p>
      <w:pPr>
        <w:ind w:left="25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169"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By: /s/ Sylvia Cheng</w:t>
      </w:r>
    </w:p>
    <w:p>
      <w:pPr>
        <w:ind w:left="2580"/>
        <w:spacing w:after="0"/>
        <w:rPr>
          <w:sz w:val="20"/>
          <w:szCs w:val="20"/>
          <w:color w:val="auto"/>
        </w:rPr>
      </w:pPr>
      <w:r>
        <w:rPr>
          <w:rFonts w:ascii="Courier New" w:cs="Courier New" w:eastAsia="Courier New" w:hAnsi="Courier New"/>
          <w:sz w:val="15"/>
          <w:szCs w:val="15"/>
          <w:color w:val="auto"/>
        </w:rPr>
        <w:t>----------------------------</w:t>
      </w:r>
    </w:p>
    <w:p>
      <w:pPr>
        <w:ind w:left="2580"/>
        <w:spacing w:after="0"/>
        <w:rPr>
          <w:sz w:val="20"/>
          <w:szCs w:val="20"/>
          <w:color w:val="auto"/>
        </w:rPr>
      </w:pPr>
      <w:r>
        <w:rPr>
          <w:rFonts w:ascii="Courier New" w:cs="Courier New" w:eastAsia="Courier New" w:hAnsi="Courier New"/>
          <w:sz w:val="15"/>
          <w:szCs w:val="15"/>
          <w:color w:val="auto"/>
        </w:rPr>
        <w:t>Name: Sylvia Cheng</w:t>
      </w:r>
    </w:p>
    <w:p>
      <w:pPr>
        <w:ind w:left="25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BANK OF HAWAII</w:t>
      </w:r>
    </w:p>
    <w:p>
      <w:pPr>
        <w:spacing w:after="0" w:line="200" w:lineRule="exact"/>
        <w:rPr>
          <w:sz w:val="20"/>
          <w:szCs w:val="20"/>
          <w:color w:val="auto"/>
        </w:rPr>
      </w:pPr>
    </w:p>
    <w:p>
      <w:pPr>
        <w:spacing w:after="0" w:line="30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By: /s/ J. Bryan Scearce</w:t>
      </w:r>
    </w:p>
    <w:p>
      <w:pPr>
        <w:ind w:left="2580"/>
        <w:spacing w:after="0"/>
        <w:rPr>
          <w:sz w:val="20"/>
          <w:szCs w:val="20"/>
          <w:color w:val="auto"/>
        </w:rPr>
      </w:pPr>
      <w:r>
        <w:rPr>
          <w:rFonts w:ascii="Courier New" w:cs="Courier New" w:eastAsia="Courier New" w:hAnsi="Courier New"/>
          <w:sz w:val="15"/>
          <w:szCs w:val="15"/>
          <w:color w:val="auto"/>
        </w:rPr>
        <w:t>----------------------------</w:t>
      </w:r>
    </w:p>
    <w:p>
      <w:pPr>
        <w:ind w:left="2580"/>
        <w:spacing w:after="0"/>
        <w:rPr>
          <w:sz w:val="20"/>
          <w:szCs w:val="20"/>
          <w:color w:val="auto"/>
        </w:rPr>
      </w:pPr>
      <w:r>
        <w:rPr>
          <w:rFonts w:ascii="Courier New" w:cs="Courier New" w:eastAsia="Courier New" w:hAnsi="Courier New"/>
          <w:sz w:val="15"/>
          <w:szCs w:val="15"/>
          <w:color w:val="auto"/>
        </w:rPr>
        <w:t>Name: J. Bryan Scearce</w:t>
      </w:r>
    </w:p>
    <w:p>
      <w:pPr>
        <w:ind w:left="2580"/>
        <w:spacing w:after="0" w:line="238" w:lineRule="auto"/>
        <w:rPr>
          <w:sz w:val="20"/>
          <w:szCs w:val="20"/>
          <w:color w:val="auto"/>
        </w:rPr>
      </w:pPr>
      <w:r>
        <w:rPr>
          <w:rFonts w:ascii="Courier New" w:cs="Courier New" w:eastAsia="Courier New" w:hAnsi="Courier New"/>
          <w:sz w:val="15"/>
          <w:szCs w:val="15"/>
          <w:color w:val="auto"/>
        </w:rPr>
        <w:t>Title: Associate Vice President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019"/>
          </w:cols>
          <w:pgMar w:left="1440" w:top="628" w:right="1440" w:bottom="1440" w:gutter="0" w:footer="0" w:header="0"/>
        </w:sectPr>
      </w:pPr>
    </w:p>
    <w:bookmarkStart w:id="250" w:name="page251"/>
    <w:bookmarkEnd w:id="250"/>
    <w:p>
      <w:pPr>
        <w:ind w:left="2320"/>
        <w:spacing w:after="0"/>
        <w:rPr>
          <w:sz w:val="20"/>
          <w:szCs w:val="20"/>
          <w:color w:val="auto"/>
        </w:rPr>
      </w:pPr>
      <w:r>
        <w:rPr>
          <w:rFonts w:ascii="Courier New" w:cs="Courier New" w:eastAsia="Courier New" w:hAnsi="Courier New"/>
          <w:sz w:val="14"/>
          <w:szCs w:val="14"/>
          <w:color w:val="auto"/>
        </w:rPr>
        <w:t>THE SUMITOMO TRUST BANKING COMPANY, LTD.</w:t>
      </w:r>
    </w:p>
    <w:p>
      <w:pPr>
        <w:spacing w:after="0" w:line="200" w:lineRule="exact"/>
        <w:rPr>
          <w:sz w:val="20"/>
          <w:szCs w:val="20"/>
          <w:color w:val="auto"/>
        </w:rPr>
      </w:pPr>
    </w:p>
    <w:p>
      <w:pPr>
        <w:spacing w:after="0" w:line="31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By: /s/ Suraj P. Bhatia</w:t>
      </w:r>
    </w:p>
    <w:p>
      <w:pPr>
        <w:ind w:left="2580"/>
        <w:spacing w:after="0"/>
        <w:rPr>
          <w:sz w:val="20"/>
          <w:szCs w:val="20"/>
          <w:color w:val="auto"/>
        </w:rPr>
      </w:pPr>
      <w:r>
        <w:rPr>
          <w:rFonts w:ascii="Courier New" w:cs="Courier New" w:eastAsia="Courier New" w:hAnsi="Courier New"/>
          <w:sz w:val="15"/>
          <w:szCs w:val="15"/>
          <w:color w:val="auto"/>
        </w:rPr>
        <w:t>----------------------------</w:t>
      </w:r>
    </w:p>
    <w:p>
      <w:pPr>
        <w:ind w:left="2580"/>
        <w:spacing w:after="0"/>
        <w:rPr>
          <w:sz w:val="20"/>
          <w:szCs w:val="20"/>
          <w:color w:val="auto"/>
        </w:rPr>
      </w:pPr>
      <w:r>
        <w:rPr>
          <w:rFonts w:ascii="Courier New" w:cs="Courier New" w:eastAsia="Courier New" w:hAnsi="Courier New"/>
          <w:sz w:val="15"/>
          <w:szCs w:val="15"/>
          <w:color w:val="auto"/>
        </w:rPr>
        <w:t>Name: Suraj P. Bhatia</w:t>
      </w:r>
    </w:p>
    <w:p>
      <w:pPr>
        <w:ind w:left="2580"/>
        <w:spacing w:after="0" w:line="238" w:lineRule="auto"/>
        <w:rPr>
          <w:sz w:val="20"/>
          <w:szCs w:val="20"/>
          <w:color w:val="auto"/>
        </w:rPr>
      </w:pPr>
      <w:r>
        <w:rPr>
          <w:rFonts w:ascii="Courier New" w:cs="Courier New" w:eastAsia="Courier New" w:hAnsi="Courier New"/>
          <w:sz w:val="15"/>
          <w:szCs w:val="15"/>
          <w:color w:val="auto"/>
        </w:rPr>
        <w:t>Title: Senior Vice President</w:t>
      </w:r>
    </w:p>
    <w:p>
      <w:pPr>
        <w:ind w:left="3200"/>
        <w:spacing w:after="0"/>
        <w:rPr>
          <w:sz w:val="20"/>
          <w:szCs w:val="20"/>
          <w:color w:val="auto"/>
        </w:rPr>
      </w:pPr>
      <w:r>
        <w:rPr>
          <w:rFonts w:ascii="Courier New" w:cs="Courier New" w:eastAsia="Courier New" w:hAnsi="Courier New"/>
          <w:sz w:val="15"/>
          <w:szCs w:val="15"/>
          <w:color w:val="auto"/>
        </w:rPr>
        <w:t>Manager, Corp. Finance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019"/>
          </w:cols>
          <w:pgMar w:left="1440" w:top="628" w:right="1440" w:bottom="1440" w:gutter="0" w:footer="0" w:header="0"/>
        </w:sectPr>
      </w:pPr>
    </w:p>
    <w:bookmarkStart w:id="251" w:name="page252"/>
    <w:bookmarkEnd w:id="251"/>
    <w:p>
      <w:pPr>
        <w:ind w:left="3160"/>
        <w:spacing w:after="0"/>
        <w:rPr>
          <w:sz w:val="20"/>
          <w:szCs w:val="20"/>
          <w:color w:val="auto"/>
        </w:rPr>
      </w:pPr>
      <w:r>
        <w:rPr>
          <w:rFonts w:ascii="Courier New" w:cs="Courier New" w:eastAsia="Courier New" w:hAnsi="Courier New"/>
          <w:sz w:val="15"/>
          <w:szCs w:val="15"/>
          <w:color w:val="auto"/>
        </w:rPr>
        <w:t>AMENDMENT</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This Amendment ("Amendment"), dated as of November 17, 1995, shall</w:t>
      </w:r>
    </w:p>
    <w:p>
      <w:pPr>
        <w:spacing w:after="0"/>
        <w:rPr>
          <w:sz w:val="20"/>
          <w:szCs w:val="20"/>
          <w:color w:val="auto"/>
        </w:rPr>
      </w:pPr>
      <w:r>
        <w:rPr>
          <w:rFonts w:ascii="Courier New" w:cs="Courier New" w:eastAsia="Courier New" w:hAnsi="Courier New"/>
          <w:sz w:val="15"/>
          <w:szCs w:val="15"/>
          <w:color w:val="auto"/>
        </w:rPr>
        <w:t>be:</w:t>
      </w:r>
    </w:p>
    <w:p>
      <w:pPr>
        <w:spacing w:after="0" w:line="174" w:lineRule="exact"/>
        <w:rPr>
          <w:sz w:val="20"/>
          <w:szCs w:val="20"/>
          <w:color w:val="auto"/>
        </w:rPr>
      </w:pPr>
    </w:p>
    <w:p>
      <w:pPr>
        <w:ind w:right="3179" w:firstLine="970"/>
        <w:spacing w:after="0" w:line="238" w:lineRule="auto"/>
        <w:rPr>
          <w:sz w:val="20"/>
          <w:szCs w:val="20"/>
          <w:color w:val="auto"/>
        </w:rPr>
      </w:pPr>
      <w:r>
        <w:rPr>
          <w:rFonts w:ascii="Courier New" w:cs="Courier New" w:eastAsia="Courier New" w:hAnsi="Courier New"/>
          <w:sz w:val="15"/>
          <w:szCs w:val="15"/>
          <w:color w:val="auto"/>
        </w:rPr>
        <w:t>AMENDMENT NO. 4 to the $6.489 BILLION CREDIT AGREEMENT, dated as of July 1, 1994, as amended, ("Parent Facility") among VIACOM INC., a Delaware corporation ("Viacom"), each of the several Banks, THE BANK OF NEW YORK, as a Managing Agent and as the Documentation Agent, CITIBANK, N.A., as a Managing Agent and as the Administrative Agent, MORGAN GUARANTY TRUST COMPANY OF NEW YORK, as a Managing Agent, JP MORGAN SECURITIES INC., as the Syndication Agent, BANK OF AMERICA NT&amp;SA, as a Managing Agent, the Banks identified as Agents on the signature pages thereof, as Agents, and the Banks identified as Co-Agents on the signature pages thereof, as Co-Agents.</w:t>
      </w:r>
    </w:p>
    <w:p>
      <w:pPr>
        <w:spacing w:after="0" w:line="179" w:lineRule="exact"/>
        <w:rPr>
          <w:sz w:val="20"/>
          <w:szCs w:val="20"/>
          <w:color w:val="auto"/>
        </w:rPr>
      </w:pPr>
    </w:p>
    <w:p>
      <w:pPr>
        <w:ind w:right="3179" w:firstLine="970"/>
        <w:spacing w:after="0" w:line="238" w:lineRule="auto"/>
        <w:rPr>
          <w:sz w:val="20"/>
          <w:szCs w:val="20"/>
          <w:color w:val="auto"/>
        </w:rPr>
      </w:pPr>
      <w:r>
        <w:rPr>
          <w:rFonts w:ascii="Courier New" w:cs="Courier New" w:eastAsia="Courier New" w:hAnsi="Courier New"/>
          <w:sz w:val="15"/>
          <w:szCs w:val="15"/>
          <w:color w:val="auto"/>
        </w:rPr>
        <w:t>AMENDMENT NO. 3 to the $311 MILLION CREDIT AGREEMENT, dated as of July 1, 1994, as amended, (the "Subsidiary Facility") among VIACOM CABLEVISION OF DAYTON INC., WNYT INC., WMZQ INC., WVIT INC., AND VIACOM INTERNATIONAL INC., each a Delaware corporation (collectively "Subsidiary Borrowers"), each of the several Banks, THE BANK OF NEW YORK, as a Managing Agent and as the Documentation Agent, CITIBANK, N.A., as a Managing Agent and as the Administrative Agent, MORGAN GUARANTY TRUST COMPANY OF NEW YORK, as a Managing Agent, JP MORGAN SECURITIES INC., as the Syndication Agent, BANK OF AMERICA NT&amp;SA, as a Managing Agent, the Banks identified as Agents of the signature pages thereof, as Agents, and the Banks identified as Co-Agents on the signature pages thereof, as Co-Agents.</w:t>
      </w:r>
    </w:p>
    <w:p>
      <w:pPr>
        <w:spacing w:after="0" w:line="17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WITNESSETH:</w:t>
      </w:r>
    </w:p>
    <w:p>
      <w:pPr>
        <w:spacing w:after="0" w:line="175" w:lineRule="exact"/>
        <w:rPr>
          <w:sz w:val="20"/>
          <w:szCs w:val="20"/>
          <w:color w:val="auto"/>
        </w:rPr>
      </w:pPr>
    </w:p>
    <w:p>
      <w:pPr>
        <w:ind w:right="3179" w:firstLine="970"/>
        <w:spacing w:after="0" w:line="257" w:lineRule="auto"/>
        <w:rPr>
          <w:sz w:val="20"/>
          <w:szCs w:val="20"/>
          <w:color w:val="auto"/>
        </w:rPr>
      </w:pPr>
      <w:r>
        <w:rPr>
          <w:rFonts w:ascii="Courier New" w:cs="Courier New" w:eastAsia="Courier New" w:hAnsi="Courier New"/>
          <w:sz w:val="14"/>
          <w:szCs w:val="14"/>
          <w:color w:val="auto"/>
        </w:rPr>
        <w:t>WHEREAS, Viacom, Viacom International Inc., a wholly-owned subsidiary of Viacom ("VII"), Viacom International Services Inc., a wholly-owned subsidiary of VII ("VII Services"), Tele-Communications Inc. ("TCI"), and TCI Communications Inc. ("TCI Sub"), a wholly -owned subsidiary of TCI, have entered into a series of agreements ("the Transaction Documents", which are listed on Schedule I attached hereto) pursuant to which (i) VII will convey to VII Services proceeds from the $1.7 billion bank debt described below and all of its assets relating to business operations other than the cable television business (the "Non Cable Businesses"), and VII Services will assume all of VII's liabilities (including its existing public debt and bank debt) other than the $1.7 Billion bank debt described below and liabilities relating to the cable television business (the "Cable Business"), (ii) VII will distribute the stock of VII Services to Viacom (the "First Distribution"), (iii) VII, after giving</w:t>
      </w:r>
    </w:p>
    <w:p>
      <w:pPr>
        <w:sectPr>
          <w:pgSz w:w="11900" w:h="16838" w:orient="portrait"/>
          <w:cols w:equalWidth="0" w:num="1">
            <w:col w:w="10219"/>
          </w:cols>
          <w:pgMar w:left="240" w:top="622" w:right="1440" w:bottom="1440" w:gutter="0" w:footer="0" w:header="0"/>
        </w:sectPr>
      </w:pPr>
    </w:p>
    <w:bookmarkStart w:id="252" w:name="page253"/>
    <w:bookmarkEnd w:id="252"/>
    <w:p>
      <w:pPr>
        <w:ind w:right="3179"/>
        <w:spacing w:after="0" w:line="257" w:lineRule="auto"/>
        <w:rPr>
          <w:sz w:val="20"/>
          <w:szCs w:val="20"/>
          <w:color w:val="auto"/>
        </w:rPr>
      </w:pPr>
      <w:r>
        <w:rPr>
          <w:rFonts w:ascii="Courier New" w:cs="Courier New" w:eastAsia="Courier New" w:hAnsi="Courier New"/>
          <w:sz w:val="14"/>
          <w:szCs w:val="14"/>
          <w:color w:val="auto"/>
        </w:rPr>
        <w:t>effect to the First Distribution, will be solely engaged in the Cable Business and VII will be recapitalized with new VII Class A common stock, (iv) the Class A common stock of VII will be split off to the shareholders of Viacom in an exchange offer (the "Exchange Offer") in which shares of Viacom common stock will be exchanged for shares of VII Class A common stock, (v) VII prior to the expiration of the Exchange Offer will borrow $1.7 billion from a syndicate of lenders, the proceeds of which will be deposited in a secured collateral account until the date of consummation of the Exchange Offer when VII will transfer such proceeds to VII Services as described above, and (vi) immediately after the split off, TCI has agreed to purchase Class B common stock of VII and the Class A common stock will be automatically converted upon such purchase into preferred stock, and (vii) VII will no longer be a subsidiary of Viacom and will be renamed TCI Pacific Communications Inc. and VII Services will be renamed Viacom International Inc. (collectively the "Cable Transaction"); and</w:t>
      </w:r>
    </w:p>
    <w:p>
      <w:pPr>
        <w:spacing w:after="0" w:line="165" w:lineRule="exact"/>
        <w:rPr>
          <w:sz w:val="20"/>
          <w:szCs w:val="20"/>
          <w:color w:val="auto"/>
        </w:rPr>
      </w:pPr>
    </w:p>
    <w:p>
      <w:pPr>
        <w:ind w:right="3179" w:firstLine="970"/>
        <w:spacing w:after="0" w:line="260" w:lineRule="auto"/>
        <w:rPr>
          <w:sz w:val="20"/>
          <w:szCs w:val="20"/>
          <w:color w:val="auto"/>
        </w:rPr>
      </w:pPr>
      <w:r>
        <w:rPr>
          <w:rFonts w:ascii="Courier New" w:cs="Courier New" w:eastAsia="Courier New" w:hAnsi="Courier New"/>
          <w:sz w:val="14"/>
          <w:szCs w:val="14"/>
          <w:color w:val="auto"/>
        </w:rPr>
        <w:t>WHEREAS, Viacom and the Subsidiary Borrowers have requested certain amendments to be made to and certain consents obtained with respect to certain provisions of the Parent Facility and the Subsidiary Facility, respectively; and</w:t>
      </w:r>
    </w:p>
    <w:p>
      <w:pPr>
        <w:spacing w:after="0" w:line="163" w:lineRule="exact"/>
        <w:rPr>
          <w:sz w:val="20"/>
          <w:szCs w:val="20"/>
          <w:color w:val="auto"/>
        </w:rPr>
      </w:pPr>
    </w:p>
    <w:p>
      <w:pPr>
        <w:ind w:right="3359" w:firstLine="970"/>
        <w:spacing w:after="0" w:line="237" w:lineRule="auto"/>
        <w:rPr>
          <w:sz w:val="20"/>
          <w:szCs w:val="20"/>
          <w:color w:val="auto"/>
        </w:rPr>
      </w:pPr>
      <w:r>
        <w:rPr>
          <w:rFonts w:ascii="Courier New" w:cs="Courier New" w:eastAsia="Courier New" w:hAnsi="Courier New"/>
          <w:sz w:val="15"/>
          <w:szCs w:val="15"/>
          <w:color w:val="auto"/>
        </w:rPr>
        <w:t>WHEREAS, the parties who have heretofore entered into the Parent Facility and the Subsidiary Facility now desire to amend certain provisions of such agreements and for the Majority Banks to consent to the waiver of the application of certain other provisions in connection with the Cable Transaction,</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NOW THEREFORE, the parties hereto agree as follows:</w:t>
      </w:r>
    </w:p>
    <w:p>
      <w:pPr>
        <w:spacing w:after="0" w:line="169" w:lineRule="exact"/>
        <w:rPr>
          <w:sz w:val="20"/>
          <w:szCs w:val="20"/>
          <w:color w:val="auto"/>
        </w:rPr>
      </w:pPr>
    </w:p>
    <w:p>
      <w:pPr>
        <w:ind w:left="960"/>
        <w:spacing w:after="0"/>
        <w:tabs>
          <w:tab w:leader="none" w:pos="200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4"/>
          <w:szCs w:val="14"/>
          <w:color w:val="auto"/>
        </w:rPr>
        <w:t>Amendments.</w:t>
      </w:r>
    </w:p>
    <w:p>
      <w:pPr>
        <w:spacing w:after="0" w:line="175" w:lineRule="exact"/>
        <w:rPr>
          <w:sz w:val="20"/>
          <w:szCs w:val="20"/>
          <w:color w:val="auto"/>
        </w:rPr>
      </w:pPr>
    </w:p>
    <w:p>
      <w:pPr>
        <w:ind w:right="3259" w:firstLine="1401"/>
        <w:spacing w:after="0" w:line="238" w:lineRule="auto"/>
        <w:tabs>
          <w:tab w:leader="none" w:pos="1763"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definition of Net Cash Proceeds in Section 1.1 of the Parent Facility is hereby amended by adding the following provisions: "(v) with reference to proceeds from any sale of Spelling Entertainment Group Inc., the net amount paid by the Borrower for the portion of Virgin Interactive Entertainment Limited ("VIEL") not theretofore directly or indirectly owned by the Borrower, and (vi) with reference to proceeds from any sale of Spelling Entertainment Group Inc., that portion of the Net Cash Proceeds attributable to repayment of Indebtedness owed by Spelling Entertainment Group Inc. to the Borrower;"</w:t>
      </w:r>
    </w:p>
    <w:p>
      <w:pPr>
        <w:spacing w:after="0" w:line="200" w:lineRule="exact"/>
        <w:rPr>
          <w:sz w:val="20"/>
          <w:szCs w:val="20"/>
          <w:color w:val="auto"/>
        </w:rPr>
      </w:pPr>
    </w:p>
    <w:p>
      <w:pPr>
        <w:spacing w:after="0" w:line="31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7" w:right="1440" w:bottom="1440" w:gutter="0" w:footer="0" w:header="0"/>
        </w:sectPr>
      </w:pPr>
    </w:p>
    <w:bookmarkStart w:id="253" w:name="page254"/>
    <w:bookmarkEnd w:id="253"/>
    <w:p>
      <w:pPr>
        <w:ind w:right="3259" w:firstLine="1401"/>
        <w:spacing w:after="0" w:line="235" w:lineRule="auto"/>
        <w:tabs>
          <w:tab w:leader="none" w:pos="1763"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2.3 (b) of the Parent Facility is hereby amended by replacing it in its entirety with the following:</w:t>
      </w:r>
    </w:p>
    <w:p>
      <w:pPr>
        <w:spacing w:after="0" w:line="176" w:lineRule="exact"/>
        <w:rPr>
          <w:sz w:val="20"/>
          <w:szCs w:val="20"/>
          <w:color w:val="auto"/>
        </w:rPr>
      </w:pPr>
    </w:p>
    <w:p>
      <w:pPr>
        <w:ind w:right="3179" w:firstLine="1851"/>
        <w:spacing w:after="0" w:line="238" w:lineRule="auto"/>
        <w:rPr>
          <w:sz w:val="20"/>
          <w:szCs w:val="20"/>
          <w:color w:val="auto"/>
        </w:rPr>
      </w:pPr>
      <w:r>
        <w:rPr>
          <w:rFonts w:ascii="Courier New" w:cs="Courier New" w:eastAsia="Courier New" w:hAnsi="Courier New"/>
          <w:sz w:val="15"/>
          <w:szCs w:val="15"/>
          <w:color w:val="auto"/>
        </w:rPr>
        <w:t>"2.3(b) Mandatory Reductions. The Borrower shall reduce the Short-Term Loan Commitment of each Bank by (i) each Bank's Ratable Portion of the amount received by the Borrower from VII Services representing the loan proceeds from VII in connection with the consummation of the Exchange Offer (the "Cable Transaction Effective Date") and (ii) in the event that the Cable Transaction Effective Date has not occurred by May 31, 1996, by each Bank's Ratable Portion of the amount by which any Net Cash Proceeds received by the Borrower from the sale of Spelling Entertainment Group Inc. (or any of its subsidiaries other than VIEL) exceed $150 million. After the Short-Term Loan Commitments have been reduced to $0 and all Short-Term Loans have been repaid, no mandatory reductions of any Commitment shall be required from Net Cash Proceeds".</w:t>
      </w:r>
    </w:p>
    <w:p>
      <w:pPr>
        <w:spacing w:after="0" w:line="182" w:lineRule="exact"/>
        <w:rPr>
          <w:sz w:val="20"/>
          <w:szCs w:val="20"/>
          <w:color w:val="auto"/>
        </w:rPr>
      </w:pPr>
    </w:p>
    <w:p>
      <w:pPr>
        <w:ind w:right="3539" w:firstLine="1401"/>
        <w:spacing w:after="0" w:line="235" w:lineRule="auto"/>
        <w:tabs>
          <w:tab w:leader="none" w:pos="1763"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10.6 of the Parent Facility is hereby amended by replacing it in its entirety with the following:</w:t>
      </w:r>
    </w:p>
    <w:p>
      <w:pPr>
        <w:spacing w:after="0" w:line="176" w:lineRule="exact"/>
        <w:rPr>
          <w:sz w:val="20"/>
          <w:szCs w:val="20"/>
          <w:color w:val="auto"/>
        </w:rPr>
      </w:pPr>
    </w:p>
    <w:p>
      <w:pPr>
        <w:ind w:right="3179" w:firstLine="1851"/>
        <w:spacing w:after="0" w:line="257" w:lineRule="auto"/>
        <w:rPr>
          <w:sz w:val="20"/>
          <w:szCs w:val="20"/>
          <w:color w:val="auto"/>
        </w:rPr>
      </w:pPr>
      <w:r>
        <w:rPr>
          <w:rFonts w:ascii="Courier New" w:cs="Courier New" w:eastAsia="Courier New" w:hAnsi="Courier New"/>
          <w:sz w:val="14"/>
          <w:szCs w:val="14"/>
          <w:color w:val="auto"/>
        </w:rPr>
        <w:t>"10.6. Subsidiary Indebtedness. The Borrower shall not permit any of its Subsidiaries, other than the Guarantor Subsidiary, to incur Indebtedness for borrowed money other than (a) the Subsidiary Loans (as defined in the Subsidiary Facility), (b) under existing facilities identified on Schedule 10.6 to this Amendment No. 4 or any replacement facilities thereto which in the aggregate do not exceed the amounts of the commitments on such Schedule and (c) Indebtedness for borrowed money in an aggregate amount at any time outstanding of not more than $300 million; provided, however, the aggregate amount of Indebtedness for borrowed money scheduled to mature earlier than six months after the Commitment Termination Date at any time permitted to be outstanding under 10.6(c) and 10.7(b) may not exceed $300 million."</w:t>
      </w:r>
    </w:p>
    <w:p>
      <w:pPr>
        <w:spacing w:after="0" w:line="166" w:lineRule="exact"/>
        <w:rPr>
          <w:sz w:val="20"/>
          <w:szCs w:val="20"/>
          <w:color w:val="auto"/>
        </w:rPr>
      </w:pPr>
    </w:p>
    <w:p>
      <w:pPr>
        <w:ind w:right="3539" w:firstLine="1401"/>
        <w:spacing w:after="0" w:line="235" w:lineRule="auto"/>
        <w:tabs>
          <w:tab w:leader="none" w:pos="1763"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10.7 of the Parent Facility is hereby amended by replacing it in its entirety with the following:</w:t>
      </w:r>
    </w:p>
    <w:p>
      <w:pPr>
        <w:spacing w:after="0" w:line="176" w:lineRule="exact"/>
        <w:rPr>
          <w:sz w:val="20"/>
          <w:szCs w:val="20"/>
          <w:color w:val="auto"/>
        </w:rPr>
      </w:pPr>
    </w:p>
    <w:p>
      <w:pPr>
        <w:ind w:right="3259" w:firstLine="1851"/>
        <w:spacing w:after="0" w:line="258" w:lineRule="auto"/>
        <w:rPr>
          <w:sz w:val="20"/>
          <w:szCs w:val="20"/>
          <w:color w:val="auto"/>
        </w:rPr>
      </w:pPr>
      <w:r>
        <w:rPr>
          <w:rFonts w:ascii="Courier New" w:cs="Courier New" w:eastAsia="Courier New" w:hAnsi="Courier New"/>
          <w:sz w:val="14"/>
          <w:szCs w:val="14"/>
          <w:color w:val="auto"/>
        </w:rPr>
        <w:t>"10.7. Other Restrictions on Indebtedness. The Borrower shall not, and shall not permit the Guarantor Subsidiary to, incur Indebtedness for borrowed money maturing earlier than six months after the Commitment Termination Date other than (a) Commercial Paper and (b) up to $300 million at any time outstanding (less the aggregate amount outstanding under 10.6(c)</w:t>
      </w:r>
    </w:p>
    <w:p>
      <w:pPr>
        <w:spacing w:after="0" w:line="32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7" w:right="1440" w:bottom="1440" w:gutter="0" w:footer="0" w:header="0"/>
        </w:sectPr>
      </w:pPr>
    </w:p>
    <w:bookmarkStart w:id="254" w:name="page255"/>
    <w:bookmarkEnd w:id="254"/>
    <w:p>
      <w:pPr>
        <w:ind w:left="10" w:right="3539"/>
        <w:spacing w:after="0" w:line="235" w:lineRule="auto"/>
        <w:rPr>
          <w:sz w:val="20"/>
          <w:szCs w:val="20"/>
          <w:color w:val="auto"/>
        </w:rPr>
      </w:pPr>
      <w:r>
        <w:rPr>
          <w:rFonts w:ascii="Courier New" w:cs="Courier New" w:eastAsia="Courier New" w:hAnsi="Courier New"/>
          <w:sz w:val="15"/>
          <w:szCs w:val="15"/>
          <w:color w:val="auto"/>
        </w:rPr>
        <w:t>scheduled to mature earlier than six months after the Commitment Termination Date) and on terms no more onerous than the terms hereof".</w:t>
      </w:r>
    </w:p>
    <w:p>
      <w:pPr>
        <w:spacing w:after="0" w:line="176" w:lineRule="exact"/>
        <w:rPr>
          <w:sz w:val="20"/>
          <w:szCs w:val="20"/>
          <w:color w:val="auto"/>
        </w:rPr>
      </w:pPr>
    </w:p>
    <w:p>
      <w:pPr>
        <w:ind w:left="10" w:right="3259" w:firstLine="1401"/>
        <w:spacing w:after="0" w:line="235" w:lineRule="auto"/>
        <w:tabs>
          <w:tab w:leader="none" w:pos="1772"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7.5 of the Subsidiary Facility is hereby amended by replacing it in its entirety with the following:</w:t>
      </w:r>
    </w:p>
    <w:p>
      <w:pPr>
        <w:spacing w:after="0" w:line="176" w:lineRule="exact"/>
        <w:rPr>
          <w:sz w:val="20"/>
          <w:szCs w:val="20"/>
          <w:color w:val="auto"/>
        </w:rPr>
      </w:pPr>
    </w:p>
    <w:p>
      <w:pPr>
        <w:ind w:left="10" w:right="3179" w:firstLine="1851"/>
        <w:spacing w:after="0" w:line="256" w:lineRule="auto"/>
        <w:rPr>
          <w:sz w:val="20"/>
          <w:szCs w:val="20"/>
          <w:color w:val="auto"/>
        </w:rPr>
      </w:pPr>
      <w:r>
        <w:rPr>
          <w:rFonts w:ascii="Courier New" w:cs="Courier New" w:eastAsia="Courier New" w:hAnsi="Courier New"/>
          <w:sz w:val="14"/>
          <w:szCs w:val="14"/>
          <w:color w:val="auto"/>
        </w:rPr>
        <w:t>"7.5 Other Restrictions on Indebtedness. No Subsidiary Borrower shall incur Indebtedness for borrowed money maturing earlier than six months after the Commitment Termination Date other than (a) Commercial Paper and</w:t>
      </w:r>
    </w:p>
    <w:p>
      <w:pPr>
        <w:spacing w:after="0" w:line="1" w:lineRule="exact"/>
        <w:rPr>
          <w:sz w:val="20"/>
          <w:szCs w:val="20"/>
          <w:color w:val="auto"/>
        </w:rPr>
      </w:pPr>
    </w:p>
    <w:p>
      <w:pPr>
        <w:ind w:left="10" w:right="3539" w:hanging="10"/>
        <w:spacing w:after="0" w:line="237" w:lineRule="auto"/>
        <w:tabs>
          <w:tab w:leader="none" w:pos="362"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$300 million at any time outstanding (less the aggregate amount outstanding scheduled to mature earlier than six months after the Commitment Termination Date under 10.6(c) of the Parent Facility)".</w:t>
      </w:r>
    </w:p>
    <w:p>
      <w:pPr>
        <w:spacing w:after="0" w:line="174" w:lineRule="exact"/>
        <w:rPr>
          <w:rFonts w:ascii="Courier New" w:cs="Courier New" w:eastAsia="Courier New" w:hAnsi="Courier New"/>
          <w:sz w:val="15"/>
          <w:szCs w:val="15"/>
          <w:color w:val="auto"/>
        </w:rPr>
      </w:pPr>
    </w:p>
    <w:p>
      <w:pPr>
        <w:ind w:left="10" w:right="3259" w:firstLine="1401"/>
        <w:spacing w:after="0" w:line="237" w:lineRule="auto"/>
        <w:tabs>
          <w:tab w:leader="none" w:pos="1772"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13.1 of the Parent Facility is hereby amended by deleting the word "or" preceding clause (f) thereof and inserting the following new clause (g): "or (g) amend clause (i) of Section 13.6".</w:t>
      </w:r>
    </w:p>
    <w:p>
      <w:pPr>
        <w:spacing w:after="0" w:line="174" w:lineRule="exact"/>
        <w:rPr>
          <w:rFonts w:ascii="Courier New" w:cs="Courier New" w:eastAsia="Courier New" w:hAnsi="Courier New"/>
          <w:sz w:val="15"/>
          <w:szCs w:val="15"/>
          <w:color w:val="auto"/>
        </w:rPr>
      </w:pPr>
    </w:p>
    <w:p>
      <w:pPr>
        <w:ind w:left="10" w:right="3179" w:firstLine="1401"/>
        <w:spacing w:after="0" w:line="237" w:lineRule="auto"/>
        <w:tabs>
          <w:tab w:leader="none" w:pos="1772"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10.1 of the Subsidiary Facility is hereby amended by deleting the word "or" preceding clause (f) and inserting the following new clause (g): "or (g) amend clause (i) of Section 10.6".</w:t>
      </w:r>
    </w:p>
    <w:p>
      <w:pPr>
        <w:spacing w:after="0" w:line="174" w:lineRule="exact"/>
        <w:rPr>
          <w:rFonts w:ascii="Courier New" w:cs="Courier New" w:eastAsia="Courier New" w:hAnsi="Courier New"/>
          <w:sz w:val="15"/>
          <w:szCs w:val="15"/>
          <w:color w:val="auto"/>
        </w:rPr>
      </w:pPr>
    </w:p>
    <w:p>
      <w:pPr>
        <w:ind w:left="10" w:right="3179" w:firstLine="1401"/>
        <w:spacing w:after="0" w:line="238" w:lineRule="auto"/>
        <w:tabs>
          <w:tab w:leader="none" w:pos="1772"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Clause (i) of Section 13.6 of the Parent Facility is hereby amended to read in its entirety as follows: "the Borrower shall have no right to assign its rights or obligations hereunder or any interest herein (and any such purported assignment shall be void) without the prior consent of the Banks except in connection with any (x) merger or consolidation permitted under Section 10.2 or (y) merger, consolidation or sale of assets consented to by the Majority Banks".</w:t>
      </w:r>
    </w:p>
    <w:p>
      <w:pPr>
        <w:spacing w:after="0" w:line="176" w:lineRule="exact"/>
        <w:rPr>
          <w:rFonts w:ascii="Courier New" w:cs="Courier New" w:eastAsia="Courier New" w:hAnsi="Courier New"/>
          <w:sz w:val="15"/>
          <w:szCs w:val="15"/>
          <w:color w:val="auto"/>
        </w:rPr>
      </w:pPr>
    </w:p>
    <w:p>
      <w:pPr>
        <w:ind w:left="10" w:right="3179" w:firstLine="1401"/>
        <w:spacing w:after="0" w:line="238" w:lineRule="auto"/>
        <w:tabs>
          <w:tab w:leader="none" w:pos="1772"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Clause (i) of Section 10.6 of the Subsidiary Facility is hereby amended to read in its entirety as follows: "no Subsidiary Borrower shall have the right to assign its rights or obligations hereunder or any interest herein (and any such purported assignment shall be void) without the prior consent of the Banks, except in connection with any (x) merger or consolidation permitted under Section 10.2 of the Parent Facility or (y) merger, consolidation or sale of assets consented to by the Majority Banks".</w:t>
      </w:r>
    </w:p>
    <w:p>
      <w:pPr>
        <w:spacing w:after="0" w:line="171" w:lineRule="exact"/>
        <w:rPr>
          <w:sz w:val="20"/>
          <w:szCs w:val="20"/>
          <w:color w:val="auto"/>
        </w:rPr>
      </w:pPr>
    </w:p>
    <w:p>
      <w:pPr>
        <w:ind w:left="970"/>
        <w:spacing w:after="0"/>
        <w:tabs>
          <w:tab w:leader="none" w:pos="2009" w:val="left"/>
          <w:tab w:leader="none" w:pos="2969" w:val="left"/>
        </w:tabs>
        <w:rPr>
          <w:sz w:val="20"/>
          <w:szCs w:val="20"/>
          <w:color w:val="auto"/>
        </w:rPr>
      </w:pPr>
      <w:r>
        <w:rPr>
          <w:rFonts w:ascii="Courier New" w:cs="Courier New" w:eastAsia="Courier New" w:hAnsi="Courier New"/>
          <w:sz w:val="15"/>
          <w:szCs w:val="15"/>
          <w:color w:val="auto"/>
        </w:rPr>
        <w:t>SECTION 2.</w:t>
        <w:tab/>
        <w:t>Consents.</w:t>
      </w:r>
      <w:r>
        <w:rPr>
          <w:sz w:val="20"/>
          <w:szCs w:val="20"/>
          <w:color w:val="auto"/>
        </w:rPr>
        <w:tab/>
      </w:r>
      <w:r>
        <w:rPr>
          <w:rFonts w:ascii="Courier New" w:cs="Courier New" w:eastAsia="Courier New" w:hAnsi="Courier New"/>
          <w:sz w:val="14"/>
          <w:szCs w:val="14"/>
          <w:color w:val="auto"/>
        </w:rPr>
        <w:t>In connection with the Cable Transaction:</w:t>
      </w:r>
    </w:p>
    <w:p>
      <w:pPr>
        <w:spacing w:after="0" w:line="200" w:lineRule="exact"/>
        <w:rPr>
          <w:sz w:val="20"/>
          <w:szCs w:val="20"/>
          <w:color w:val="auto"/>
        </w:rPr>
      </w:pPr>
    </w:p>
    <w:p>
      <w:pPr>
        <w:spacing w:after="0" w:line="30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9"/>
          </w:cols>
          <w:pgMar w:left="230" w:top="628" w:right="1440" w:bottom="1440" w:gutter="0" w:footer="0" w:header="0"/>
        </w:sectPr>
      </w:pPr>
    </w:p>
    <w:bookmarkStart w:id="255" w:name="page256"/>
    <w:bookmarkEnd w:id="255"/>
    <w:p>
      <w:pPr>
        <w:ind w:right="3259" w:firstLine="1401"/>
        <w:spacing w:after="0" w:line="238" w:lineRule="auto"/>
        <w:tabs>
          <w:tab w:leader="none" w:pos="1763"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Cable Transaction Effective Date, the Guarantor Subsidiary may assign all of its rights and obligations under the VII Guaranty to VII Services (which will change its name to Viacom International Inc.) if in connection therewith VII Services (i) assumes all of the obligations of VII under the VII Guaranty and (ii) receives an assignment of the Non Cable Businesses. VII Services will become the Guarantor Subsidiary and VII will be released from all of its obligations thereunder.</w:t>
      </w:r>
    </w:p>
    <w:p>
      <w:pPr>
        <w:spacing w:after="0" w:line="176" w:lineRule="exact"/>
        <w:rPr>
          <w:rFonts w:ascii="Courier New" w:cs="Courier New" w:eastAsia="Courier New" w:hAnsi="Courier New"/>
          <w:sz w:val="15"/>
          <w:szCs w:val="15"/>
          <w:color w:val="auto"/>
        </w:rPr>
      </w:pPr>
    </w:p>
    <w:p>
      <w:pPr>
        <w:ind w:right="3179" w:firstLine="1401"/>
        <w:spacing w:after="0" w:line="258" w:lineRule="auto"/>
        <w:tabs>
          <w:tab w:leader="none" w:pos="1763"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Cable Transaction Effective Date, the Subsidiary Loan made to VII under the Subsidiary Facility may be assigned to VII Services if in connection therewith VII Services (i) assumes all of the obligations of VII under the Subsidiary Loan and (ii) receives an assignment of the Non Cable Businesses. VII Services will become a Subsidiary Borrower under the Subsidiary Facility and VII will be released from all of its obligations thereunder.</w:t>
      </w:r>
    </w:p>
    <w:p>
      <w:pPr>
        <w:spacing w:after="0" w:line="163" w:lineRule="exact"/>
        <w:rPr>
          <w:rFonts w:ascii="Courier New" w:cs="Courier New" w:eastAsia="Courier New" w:hAnsi="Courier New"/>
          <w:sz w:val="14"/>
          <w:szCs w:val="14"/>
          <w:color w:val="auto"/>
        </w:rPr>
      </w:pPr>
    </w:p>
    <w:p>
      <w:pPr>
        <w:ind w:right="3179" w:firstLine="1401"/>
        <w:spacing w:after="0" w:line="238" w:lineRule="auto"/>
        <w:tabs>
          <w:tab w:leader="none" w:pos="1763"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expiration of the Exchange Offer, VII may borrow $1.7 billion from a syndicate of banks on terms permitted pursuant to the Transaction Documents substantially in the form of those in effect at the date hereof and may grant such banks a Lien on such funds until they are released to VII Services on the date of consummation of the Exchange Offer and a lien on rights under the Subscription Agreement referred to in Schedule I.</w:t>
      </w:r>
    </w:p>
    <w:p>
      <w:pPr>
        <w:spacing w:after="0" w:line="175" w:lineRule="exact"/>
        <w:rPr>
          <w:rFonts w:ascii="Courier New" w:cs="Courier New" w:eastAsia="Courier New" w:hAnsi="Courier New"/>
          <w:sz w:val="15"/>
          <w:szCs w:val="15"/>
          <w:color w:val="auto"/>
        </w:rPr>
      </w:pPr>
    </w:p>
    <w:p>
      <w:pPr>
        <w:ind w:right="3179" w:firstLine="1401"/>
        <w:spacing w:after="0" w:line="237" w:lineRule="auto"/>
        <w:tabs>
          <w:tab w:leader="none" w:pos="1763"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Cable Transaction Effective Date, VII Services may hold certain cable franchises for the benefit of VII until regulatory approvals are obtained and may assign the receivables related to such franchises to the banks lending to VII.</w:t>
      </w:r>
    </w:p>
    <w:p>
      <w:pPr>
        <w:spacing w:after="0" w:line="176" w:lineRule="exact"/>
        <w:rPr>
          <w:rFonts w:ascii="Courier New" w:cs="Courier New" w:eastAsia="Courier New" w:hAnsi="Courier New"/>
          <w:sz w:val="15"/>
          <w:szCs w:val="15"/>
          <w:color w:val="auto"/>
        </w:rPr>
      </w:pPr>
    </w:p>
    <w:p>
      <w:pPr>
        <w:ind w:right="3359" w:firstLine="1401"/>
        <w:spacing w:after="0" w:line="237" w:lineRule="auto"/>
        <w:tabs>
          <w:tab w:leader="none" w:pos="1763"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the Parent Facility and the Subsidiary Facility, the $1.7 Billion loan to VII shall not be considered Indebtedness of the Borrower or a Subsidiary Borrower.</w:t>
      </w:r>
    </w:p>
    <w:p>
      <w:pPr>
        <w:spacing w:after="0" w:line="175" w:lineRule="exact"/>
        <w:rPr>
          <w:sz w:val="20"/>
          <w:szCs w:val="20"/>
          <w:color w:val="auto"/>
        </w:rPr>
      </w:pPr>
    </w:p>
    <w:p>
      <w:pPr>
        <w:ind w:right="3179" w:firstLine="970"/>
        <w:spacing w:after="0" w:line="238" w:lineRule="auto"/>
        <w:rPr>
          <w:sz w:val="20"/>
          <w:szCs w:val="20"/>
          <w:color w:val="auto"/>
        </w:rPr>
      </w:pPr>
      <w:r>
        <w:rPr>
          <w:rFonts w:ascii="Courier New" w:cs="Courier New" w:eastAsia="Courier New" w:hAnsi="Courier New"/>
          <w:sz w:val="15"/>
          <w:szCs w:val="15"/>
          <w:color w:val="auto"/>
        </w:rPr>
        <w:t>Upon the execution and delivery hereof of the Majority Banks, the Majority Banks shall have consented to each of the foregoing relating to the Cable Transaction and, to the extent any of the matters described in (a) - (e) above are otherwise inconsistent with the terms of the Parent Facility or Subsidiary Facility, as hereby amended, this Amendment shall constitute a waiver of the provisions thereof to the extent necessary to permit the Cable Transaction.</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7" w:right="1440" w:bottom="1440" w:gutter="0" w:footer="0" w:header="0"/>
        </w:sectPr>
      </w:pPr>
    </w:p>
    <w:bookmarkStart w:id="256" w:name="page257"/>
    <w:bookmarkEnd w:id="256"/>
    <w:p>
      <w:pPr>
        <w:ind w:right="3179" w:firstLine="970"/>
        <w:spacing w:after="0" w:line="237" w:lineRule="auto"/>
        <w:rPr>
          <w:sz w:val="20"/>
          <w:szCs w:val="20"/>
          <w:color w:val="auto"/>
        </w:rPr>
      </w:pPr>
      <w:r>
        <w:rPr>
          <w:rFonts w:ascii="Courier New" w:cs="Courier New" w:eastAsia="Courier New" w:hAnsi="Courier New"/>
          <w:sz w:val="15"/>
          <w:szCs w:val="15"/>
          <w:color w:val="auto"/>
        </w:rPr>
        <w:t>SECTION 3. Assumption of Liabilities. As of the Cable Transaction Effective Date, VII Services hereby expressly assumes and agrees to pay, satisfy and perform when due all liabilities of VII under each Loan Document to which VII is a party. For purposes of clarity, VII's obligations under the $1.7 billion of bank debt described above will not be assumed by VII Services.</w:t>
      </w:r>
    </w:p>
    <w:p>
      <w:pPr>
        <w:spacing w:after="0" w:line="178" w:lineRule="exact"/>
        <w:rPr>
          <w:sz w:val="20"/>
          <w:szCs w:val="20"/>
          <w:color w:val="auto"/>
        </w:rPr>
      </w:pPr>
    </w:p>
    <w:p>
      <w:pPr>
        <w:ind w:right="3359" w:firstLine="970"/>
        <w:spacing w:after="0" w:line="237" w:lineRule="auto"/>
        <w:rPr>
          <w:sz w:val="20"/>
          <w:szCs w:val="20"/>
          <w:color w:val="auto"/>
        </w:rPr>
      </w:pPr>
      <w:r>
        <w:rPr>
          <w:rFonts w:ascii="Courier New" w:cs="Courier New" w:eastAsia="Courier New" w:hAnsi="Courier New"/>
          <w:sz w:val="15"/>
          <w:szCs w:val="15"/>
          <w:color w:val="auto"/>
        </w:rPr>
        <w:t>SECTION 4. Effectiveness. This Amendment will be effective upon the execution hereof by each of Viacom, each Subsidiary Borrower, VII and VII Services and the Majority Banks.</w:t>
      </w:r>
    </w:p>
    <w:p>
      <w:pPr>
        <w:spacing w:after="0" w:line="175" w:lineRule="exact"/>
        <w:rPr>
          <w:sz w:val="20"/>
          <w:szCs w:val="20"/>
          <w:color w:val="auto"/>
        </w:rPr>
      </w:pPr>
    </w:p>
    <w:p>
      <w:pPr>
        <w:ind w:right="3179" w:firstLine="970"/>
        <w:spacing w:after="0" w:line="238" w:lineRule="auto"/>
        <w:rPr>
          <w:sz w:val="20"/>
          <w:szCs w:val="20"/>
          <w:color w:val="auto"/>
        </w:rPr>
      </w:pPr>
      <w:r>
        <w:rPr>
          <w:rFonts w:ascii="Courier New" w:cs="Courier New" w:eastAsia="Courier New" w:hAnsi="Courier New"/>
          <w:sz w:val="15"/>
          <w:szCs w:val="15"/>
          <w:color w:val="auto"/>
        </w:rPr>
        <w:t>SECTION 5. Representations and Warranties. Each of Viacom, the Subsidiary Borrowers and the Guarantor Subsidiary hereby represents and warrants that (i) as of the date hereof, both before and after giving effect to this Amendment, and (ii) as of the date of, and after giving effect to consummation of, the Cable Transaction, no Default or Event of Default shall exist or be continuing under the Parent Facility or the Subsidiary Facility.</w:t>
      </w:r>
    </w:p>
    <w:p>
      <w:pPr>
        <w:spacing w:after="0" w:line="176" w:lineRule="exact"/>
        <w:rPr>
          <w:sz w:val="20"/>
          <w:szCs w:val="20"/>
          <w:color w:val="auto"/>
        </w:rPr>
      </w:pPr>
    </w:p>
    <w:p>
      <w:pPr>
        <w:ind w:right="3179" w:firstLine="970"/>
        <w:spacing w:after="0" w:line="237" w:lineRule="auto"/>
        <w:rPr>
          <w:sz w:val="20"/>
          <w:szCs w:val="20"/>
          <w:color w:val="auto"/>
        </w:rPr>
      </w:pPr>
      <w:r>
        <w:rPr>
          <w:rFonts w:ascii="Courier New" w:cs="Courier New" w:eastAsia="Courier New" w:hAnsi="Courier New"/>
          <w:sz w:val="15"/>
          <w:szCs w:val="15"/>
          <w:color w:val="auto"/>
        </w:rPr>
        <w:t>SECTION 6. Miscellaneous. (a) Capitalized terms used herein and not otherwise defined herein shall have the meanings ascribed to them in each of the Parent Facility and the Subsidiary Facility.</w:t>
      </w:r>
    </w:p>
    <w:p>
      <w:pPr>
        <w:spacing w:after="0" w:line="175" w:lineRule="exact"/>
        <w:rPr>
          <w:sz w:val="20"/>
          <w:szCs w:val="20"/>
          <w:color w:val="auto"/>
        </w:rPr>
      </w:pPr>
    </w:p>
    <w:p>
      <w:pPr>
        <w:ind w:right="3179" w:firstLine="1401"/>
        <w:spacing w:after="0" w:line="237" w:lineRule="auto"/>
        <w:tabs>
          <w:tab w:leader="none" w:pos="1763"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amended or waived hereby, all of the terms of each of the Parent Facility and the Subsidiary Facility shall remain and continue in full force and effect and are hereby confirmed in all respects.</w:t>
      </w:r>
    </w:p>
    <w:p>
      <w:pPr>
        <w:spacing w:after="0" w:line="174" w:lineRule="exact"/>
        <w:rPr>
          <w:rFonts w:ascii="Courier New" w:cs="Courier New" w:eastAsia="Courier New" w:hAnsi="Courier New"/>
          <w:sz w:val="15"/>
          <w:szCs w:val="15"/>
          <w:color w:val="auto"/>
        </w:rPr>
      </w:pPr>
    </w:p>
    <w:p>
      <w:pPr>
        <w:ind w:right="3259" w:firstLine="1401"/>
        <w:spacing w:after="0" w:line="235" w:lineRule="auto"/>
        <w:tabs>
          <w:tab w:leader="none" w:pos="1763"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shall be a Loan Document for the purposes of the Parent Facility and the Subsidiary Facility.</w:t>
      </w:r>
    </w:p>
    <w:p>
      <w:pPr>
        <w:spacing w:after="0" w:line="175" w:lineRule="exact"/>
        <w:rPr>
          <w:rFonts w:ascii="Courier New" w:cs="Courier New" w:eastAsia="Courier New" w:hAnsi="Courier New"/>
          <w:sz w:val="15"/>
          <w:szCs w:val="15"/>
          <w:color w:val="auto"/>
        </w:rPr>
      </w:pPr>
    </w:p>
    <w:p>
      <w:pPr>
        <w:ind w:right="3179" w:firstLine="1401"/>
        <w:spacing w:after="0" w:line="237" w:lineRule="auto"/>
        <w:tabs>
          <w:tab w:leader="none" w:pos="1763"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may be signed in any number of counterparts, each of which shall be an original, with the same effect as if the signatures thereto were upon the same instrument. Delivery of an executed counterpart of a signature page of this Amendment by telecopier shall be effective as delivery of a manually executed counterpart of this Amendment.</w:t>
      </w:r>
    </w:p>
    <w:p>
      <w:pPr>
        <w:spacing w:after="0" w:line="178" w:lineRule="exact"/>
        <w:rPr>
          <w:rFonts w:ascii="Courier New" w:cs="Courier New" w:eastAsia="Courier New" w:hAnsi="Courier New"/>
          <w:sz w:val="15"/>
          <w:szCs w:val="15"/>
          <w:color w:val="auto"/>
        </w:rPr>
      </w:pPr>
    </w:p>
    <w:p>
      <w:pPr>
        <w:ind w:right="3179" w:firstLine="1401"/>
        <w:spacing w:after="0" w:line="237" w:lineRule="auto"/>
        <w:tabs>
          <w:tab w:leader="none" w:pos="1763"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AND THE RIGHTS AND OBLIGATIONS OF THE PARTIES HERETO SHALL BE GOVERNED BY, AND CONSTRUED IN ACCORDANCE WITH, THE LAWS OF THE STATE OF NEW YORK.</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SECTION 7. Covenant. Viacom shall within two Business Days following</w:t>
      </w:r>
    </w:p>
    <w:p>
      <w:pPr>
        <w:spacing w:after="0" w:line="34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8" w:right="1440" w:bottom="1440" w:gutter="0" w:footer="0" w:header="0"/>
        </w:sectPr>
      </w:pPr>
    </w:p>
    <w:bookmarkStart w:id="257" w:name="page258"/>
    <w:bookmarkEnd w:id="257"/>
    <w:p>
      <w:pPr>
        <w:ind w:right="3359"/>
        <w:spacing w:after="0" w:line="235" w:lineRule="auto"/>
        <w:rPr>
          <w:sz w:val="20"/>
          <w:szCs w:val="20"/>
          <w:color w:val="auto"/>
        </w:rPr>
      </w:pPr>
      <w:r>
        <w:rPr>
          <w:rFonts w:ascii="Courier New" w:cs="Courier New" w:eastAsia="Courier New" w:hAnsi="Courier New"/>
          <w:sz w:val="15"/>
          <w:szCs w:val="15"/>
          <w:color w:val="auto"/>
        </w:rPr>
        <w:t>the Cable Transaction Effective Date deliver to the Documentation Agent, dated as of the Cable Transaction Effective Date, as to VII Services only:</w:t>
      </w:r>
    </w:p>
    <w:p>
      <w:pPr>
        <w:spacing w:after="0" w:line="176" w:lineRule="exact"/>
        <w:rPr>
          <w:sz w:val="20"/>
          <w:szCs w:val="20"/>
          <w:color w:val="auto"/>
        </w:rPr>
      </w:pPr>
    </w:p>
    <w:p>
      <w:pPr>
        <w:ind w:right="3179" w:firstLine="1048"/>
        <w:spacing w:after="0" w:line="235" w:lineRule="auto"/>
        <w:tabs>
          <w:tab w:leader="none" w:pos="141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documents referred to in Section 6.1(a), (b) and (c) of the Parent Facility;</w:t>
      </w:r>
    </w:p>
    <w:p>
      <w:pPr>
        <w:spacing w:after="0" w:line="175" w:lineRule="exact"/>
        <w:rPr>
          <w:rFonts w:ascii="Courier New" w:cs="Courier New" w:eastAsia="Courier New" w:hAnsi="Courier New"/>
          <w:sz w:val="15"/>
          <w:szCs w:val="15"/>
          <w:color w:val="auto"/>
        </w:rPr>
      </w:pPr>
    </w:p>
    <w:p>
      <w:pPr>
        <w:ind w:right="3179" w:firstLine="960"/>
        <w:spacing w:after="0" w:line="235" w:lineRule="auto"/>
        <w:tabs>
          <w:tab w:leader="none" w:pos="141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documents referred to in Section 4.1(a), (b) and (c) of the Subsidiary Facility;</w:t>
      </w:r>
    </w:p>
    <w:p>
      <w:pPr>
        <w:spacing w:after="0" w:line="175" w:lineRule="exact"/>
        <w:rPr>
          <w:rFonts w:ascii="Courier New" w:cs="Courier New" w:eastAsia="Courier New" w:hAnsi="Courier New"/>
          <w:sz w:val="15"/>
          <w:szCs w:val="15"/>
          <w:color w:val="auto"/>
        </w:rPr>
      </w:pPr>
    </w:p>
    <w:p>
      <w:pPr>
        <w:ind w:right="3179" w:firstLine="872"/>
        <w:spacing w:after="0" w:line="237" w:lineRule="auto"/>
        <w:tabs>
          <w:tab w:leader="none" w:pos="141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favorable opinion of Shearman &amp; Sterling, special counsel to the Loan Parties, with respect to this Amendment substantially to the same effect as contemplated by paragraph 1 of Exhibit E-1 to the Parent Agreement and paragraph 1 of Exhibit E-1 to the Subsidiary Agreement; and</w:t>
      </w:r>
    </w:p>
    <w:p>
      <w:pPr>
        <w:spacing w:after="0" w:line="176" w:lineRule="exact"/>
        <w:rPr>
          <w:rFonts w:ascii="Courier New" w:cs="Courier New" w:eastAsia="Courier New" w:hAnsi="Courier New"/>
          <w:sz w:val="15"/>
          <w:szCs w:val="15"/>
          <w:color w:val="auto"/>
        </w:rPr>
      </w:pPr>
    </w:p>
    <w:p>
      <w:pPr>
        <w:ind w:right="3439" w:firstLine="960"/>
        <w:spacing w:after="0" w:line="259" w:lineRule="auto"/>
        <w:tabs>
          <w:tab w:leader="none" w:pos="141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favorable opinion of Philippe P. Dauman, General Counsel to the Loan Parties, with respect to this Amendment substantially to the same effect as contemplated by paragraphs 1 - 6 of Exhibit E-2 to the Parent Agreement and paragraphs 1 - 6 of Exhibit E-2 to the Subsidiary Agreement.</w:t>
      </w:r>
    </w:p>
    <w:p>
      <w:pPr>
        <w:spacing w:after="0" w:line="163" w:lineRule="exact"/>
        <w:rPr>
          <w:sz w:val="20"/>
          <w:szCs w:val="20"/>
          <w:color w:val="auto"/>
        </w:rPr>
      </w:pPr>
    </w:p>
    <w:p>
      <w:pPr>
        <w:jc w:val="both"/>
        <w:ind w:right="3359" w:firstLine="970"/>
        <w:spacing w:after="0" w:line="260" w:lineRule="auto"/>
        <w:rPr>
          <w:sz w:val="20"/>
          <w:szCs w:val="20"/>
          <w:color w:val="auto"/>
        </w:rPr>
      </w:pPr>
      <w:r>
        <w:rPr>
          <w:rFonts w:ascii="Courier New" w:cs="Courier New" w:eastAsia="Courier New" w:hAnsi="Courier New"/>
          <w:sz w:val="14"/>
          <w:szCs w:val="14"/>
          <w:color w:val="auto"/>
        </w:rPr>
        <w:t>SECTION 8. Guarantor Subsidiary Confirmation. By signing below, the Guarantor Subsidiary hereby agrees to the terms of the foregoing Amendment and confirms that the VII Guarantee remains in full force and effect.</w:t>
      </w:r>
    </w:p>
    <w:p>
      <w:pPr>
        <w:spacing w:after="0" w:line="163" w:lineRule="exact"/>
        <w:rPr>
          <w:sz w:val="20"/>
          <w:szCs w:val="20"/>
          <w:color w:val="auto"/>
        </w:rPr>
      </w:pPr>
    </w:p>
    <w:p>
      <w:pPr>
        <w:ind w:right="3359" w:firstLine="970"/>
        <w:spacing w:after="0" w:line="237" w:lineRule="auto"/>
        <w:rPr>
          <w:sz w:val="20"/>
          <w:szCs w:val="20"/>
          <w:color w:val="auto"/>
        </w:rPr>
      </w:pPr>
      <w:r>
        <w:rPr>
          <w:rFonts w:ascii="Courier New" w:cs="Courier New" w:eastAsia="Courier New" w:hAnsi="Courier New"/>
          <w:sz w:val="15"/>
          <w:szCs w:val="15"/>
          <w:color w:val="auto"/>
        </w:rPr>
        <w:t>SECTION 9. Viacom Inc. Confirmation. By signing below, Viacom Inc., as guarantor under the Parent Guaranty ("Parent Guarantor"), hereby agrees to the terms of the foregoing Amendment and confirms that the Parent Guaranty remains in full force and effect.</w:t>
      </w:r>
    </w:p>
    <w:p>
      <w:pPr>
        <w:spacing w:after="0" w:line="176" w:lineRule="exact"/>
        <w:rPr>
          <w:sz w:val="20"/>
          <w:szCs w:val="20"/>
          <w:color w:val="auto"/>
        </w:rPr>
      </w:pPr>
    </w:p>
    <w:p>
      <w:pPr>
        <w:ind w:right="3259" w:firstLine="970"/>
        <w:spacing w:after="0" w:line="235" w:lineRule="auto"/>
        <w:rPr>
          <w:sz w:val="20"/>
          <w:szCs w:val="20"/>
          <w:color w:val="auto"/>
        </w:rPr>
      </w:pPr>
      <w:r>
        <w:rPr>
          <w:rFonts w:ascii="Courier New" w:cs="Courier New" w:eastAsia="Courier New" w:hAnsi="Courier New"/>
          <w:sz w:val="15"/>
          <w:szCs w:val="15"/>
          <w:color w:val="auto"/>
        </w:rPr>
        <w:t>IN WITNESS WHEREOF, the parties hereto have caused this Amendment to be duly executed as of the date first above written.</w:t>
      </w:r>
    </w:p>
    <w:p>
      <w:pPr>
        <w:spacing w:after="0" w:line="170"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VIACOM INC., as Borrower and Parent Guarantor</w:t>
      </w:r>
    </w:p>
    <w:p>
      <w:pPr>
        <w:spacing w:after="0" w:line="33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By:/s/ Vaughn A. Clarke</w:t>
      </w:r>
    </w:p>
    <w:p>
      <w:pPr>
        <w:ind w:left="2540"/>
        <w:spacing w:after="0"/>
        <w:rPr>
          <w:sz w:val="20"/>
          <w:szCs w:val="20"/>
          <w:color w:val="auto"/>
        </w:rPr>
      </w:pPr>
      <w:r>
        <w:rPr>
          <w:rFonts w:ascii="Courier New" w:cs="Courier New" w:eastAsia="Courier New" w:hAnsi="Courier New"/>
          <w:sz w:val="15"/>
          <w:szCs w:val="15"/>
          <w:color w:val="auto"/>
        </w:rPr>
        <w:t>--------------------------------</w:t>
      </w:r>
    </w:p>
    <w:p>
      <w:pPr>
        <w:ind w:left="2540"/>
        <w:spacing w:after="0"/>
        <w:rPr>
          <w:sz w:val="20"/>
          <w:szCs w:val="20"/>
          <w:color w:val="auto"/>
        </w:rPr>
      </w:pPr>
      <w:r>
        <w:rPr>
          <w:rFonts w:ascii="Courier New" w:cs="Courier New" w:eastAsia="Courier New" w:hAnsi="Courier New"/>
          <w:sz w:val="15"/>
          <w:szCs w:val="15"/>
          <w:color w:val="auto"/>
        </w:rPr>
        <w:t>Name: Vaughn A. Clarke</w:t>
      </w:r>
    </w:p>
    <w:p>
      <w:pPr>
        <w:ind w:left="254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8" w:right="1440" w:bottom="1440" w:gutter="0" w:footer="0" w:header="0"/>
        </w:sectPr>
      </w:pPr>
    </w:p>
    <w:bookmarkStart w:id="258" w:name="page259"/>
    <w:bookmarkEnd w:id="258"/>
    <w:p>
      <w:pPr>
        <w:ind w:left="1080"/>
        <w:spacing w:after="0"/>
        <w:rPr>
          <w:sz w:val="20"/>
          <w:szCs w:val="20"/>
          <w:color w:val="auto"/>
        </w:rPr>
      </w:pPr>
      <w:r>
        <w:rPr>
          <w:rFonts w:ascii="Courier New" w:cs="Courier New" w:eastAsia="Courier New" w:hAnsi="Courier New"/>
          <w:sz w:val="15"/>
          <w:szCs w:val="15"/>
          <w:color w:val="auto"/>
        </w:rPr>
        <w:t>VIACOM INTERNATIONAL INC., as a Subsidiary</w:t>
      </w:r>
    </w:p>
    <w:p>
      <w:pPr>
        <w:ind w:left="1080"/>
        <w:spacing w:after="0"/>
        <w:rPr>
          <w:sz w:val="20"/>
          <w:szCs w:val="20"/>
          <w:color w:val="auto"/>
        </w:rPr>
      </w:pPr>
      <w:r>
        <w:rPr>
          <w:rFonts w:ascii="Courier New" w:cs="Courier New" w:eastAsia="Courier New" w:hAnsi="Courier New"/>
          <w:sz w:val="15"/>
          <w:szCs w:val="15"/>
          <w:color w:val="auto"/>
        </w:rPr>
        <w:t>Borrower and as a Guarantor Subsidiary</w:t>
      </w:r>
    </w:p>
    <w:p>
      <w:pPr>
        <w:spacing w:after="0" w:line="33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Vaughn A. Clarke</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rPr>
          <w:sz w:val="20"/>
          <w:szCs w:val="20"/>
          <w:color w:val="auto"/>
        </w:rPr>
      </w:pPr>
      <w:r>
        <w:rPr>
          <w:rFonts w:ascii="Courier New" w:cs="Courier New" w:eastAsia="Courier New" w:hAnsi="Courier New"/>
          <w:sz w:val="15"/>
          <w:szCs w:val="15"/>
          <w:color w:val="auto"/>
        </w:rPr>
        <w:t>Name: Vaughn A. Clarke</w:t>
      </w:r>
    </w:p>
    <w:p>
      <w:pPr>
        <w:ind w:left="134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175"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On behalf of the following Subsidiary Borrowers:</w:t>
      </w:r>
    </w:p>
    <w:p>
      <w:pPr>
        <w:spacing w:after="0" w:line="17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VIACOM CABLEVISION OF DAYTON INC.,</w:t>
      </w:r>
    </w:p>
    <w:p>
      <w:pPr>
        <w:spacing w:after="0" w:line="16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WNYT INC.,</w:t>
      </w:r>
    </w:p>
    <w:p>
      <w:pPr>
        <w:spacing w:after="0" w:line="16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WMZQ INC. and</w:t>
      </w:r>
    </w:p>
    <w:p>
      <w:pPr>
        <w:spacing w:after="0" w:line="16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WVIT INC.,</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Vaughn A. Clarke</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Vaughn A. Clarke</w:t>
      </w:r>
    </w:p>
    <w:p>
      <w:pPr>
        <w:ind w:left="134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16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VIACOM INTERNATIONAL SERVICES INC.</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Vaughn A. Clarke</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Vaughn A. Clarke</w:t>
      </w:r>
    </w:p>
    <w:p>
      <w:pPr>
        <w:ind w:left="134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CREDIT SUISSE</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 Hamilton Crawford</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J. Hamilton Crawford</w:t>
      </w:r>
    </w:p>
    <w:p>
      <w:pPr>
        <w:ind w:left="1340"/>
        <w:spacing w:after="0" w:line="238" w:lineRule="auto"/>
        <w:rPr>
          <w:sz w:val="20"/>
          <w:szCs w:val="20"/>
          <w:color w:val="auto"/>
        </w:rPr>
      </w:pPr>
      <w:r>
        <w:rPr>
          <w:rFonts w:ascii="Courier New" w:cs="Courier New" w:eastAsia="Courier New" w:hAnsi="Courier New"/>
          <w:sz w:val="15"/>
          <w:szCs w:val="15"/>
          <w:color w:val="auto"/>
        </w:rPr>
        <w:t>Title: Associate</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Michael C. Mast</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Michael C. Mast</w:t>
      </w:r>
    </w:p>
    <w:p>
      <w:pPr>
        <w:ind w:left="1340"/>
        <w:spacing w:after="0" w:line="238" w:lineRule="auto"/>
        <w:rPr>
          <w:sz w:val="20"/>
          <w:szCs w:val="20"/>
          <w:color w:val="auto"/>
        </w:rPr>
      </w:pPr>
      <w:r>
        <w:rPr>
          <w:rFonts w:ascii="Courier New" w:cs="Courier New" w:eastAsia="Courier New" w:hAnsi="Courier New"/>
          <w:sz w:val="15"/>
          <w:szCs w:val="15"/>
          <w:color w:val="auto"/>
        </w:rPr>
        <w:t>Title: Member of Senior Mgmt.</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SOCIETE GENERALE</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Elaine I. Khalil</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Elaine I. Khalil</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019"/>
          </w:cols>
          <w:pgMar w:left="1440" w:top="622" w:right="1440" w:bottom="1440" w:gutter="0" w:footer="0" w:header="0"/>
        </w:sectPr>
      </w:pPr>
    </w:p>
    <w:bookmarkStart w:id="259" w:name="page260"/>
    <w:bookmarkEnd w:id="259"/>
    <w:p>
      <w:pPr>
        <w:ind w:left="1080"/>
        <w:spacing w:after="0"/>
        <w:rPr>
          <w:sz w:val="20"/>
          <w:szCs w:val="20"/>
          <w:color w:val="auto"/>
        </w:rPr>
      </w:pPr>
      <w:r>
        <w:rPr>
          <w:rFonts w:ascii="Courier New" w:cs="Courier New" w:eastAsia="Courier New" w:hAnsi="Courier New"/>
          <w:sz w:val="15"/>
          <w:szCs w:val="15"/>
          <w:color w:val="auto"/>
        </w:rPr>
        <w:t>THE BANK OF NEW YORK</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Geoffrey C. Brooks</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Geoffrey C. Brooks</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BANK OF TOKYO TRUST COMPANY</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John P. Judge</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John P. Judge</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344"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FIRST INTERSTATE BANK OF WASHINGTON</w:t>
      </w:r>
    </w:p>
    <w:p>
      <w:pPr>
        <w:spacing w:after="0" w:line="344"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Susan Hendrixson</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Susan Hendrixson</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UNION BANK OF SWITZERLAND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Stephen A. Cayer</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Stephen A. Cayer</w:t>
      </w:r>
    </w:p>
    <w:p>
      <w:pPr>
        <w:ind w:left="1340"/>
        <w:spacing w:after="0"/>
        <w:rPr>
          <w:sz w:val="20"/>
          <w:szCs w:val="20"/>
          <w:color w:val="auto"/>
        </w:rPr>
      </w:pPr>
      <w:r>
        <w:rPr>
          <w:rFonts w:ascii="Courier New" w:cs="Courier New" w:eastAsia="Courier New" w:hAnsi="Courier New"/>
          <w:sz w:val="15"/>
          <w:szCs w:val="15"/>
          <w:color w:val="auto"/>
        </w:rPr>
        <w:t>Title: Assistant Treasurer</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Peter B. Yearly</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Peter B. Yearly</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344"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THE YASUDA TRUST &amp; BANKING CO., LTD</w:t>
      </w:r>
    </w:p>
    <w:p>
      <w:pPr>
        <w:spacing w:after="0" w:line="344"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Gerald Gill</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Gerald Gill</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33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019"/>
          </w:cols>
          <w:pgMar w:left="1440" w:top="622" w:right="1440" w:bottom="1440" w:gutter="0" w:footer="0" w:header="0"/>
        </w:sectPr>
      </w:pPr>
    </w:p>
    <w:bookmarkStart w:id="260" w:name="page261"/>
    <w:bookmarkEnd w:id="260"/>
    <w:p>
      <w:pPr>
        <w:ind w:left="1080"/>
        <w:spacing w:after="0"/>
        <w:rPr>
          <w:sz w:val="20"/>
          <w:szCs w:val="20"/>
          <w:color w:val="auto"/>
        </w:rPr>
      </w:pPr>
      <w:r>
        <w:rPr>
          <w:rFonts w:ascii="Courier New" w:cs="Courier New" w:eastAsia="Courier New" w:hAnsi="Courier New"/>
          <w:sz w:val="15"/>
          <w:szCs w:val="15"/>
          <w:color w:val="auto"/>
        </w:rPr>
        <w:t>BAYERISCHE VEREINSBANK AG</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John Carlson</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John Carlson</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33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Sylvia Chang</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Sylvia Chang</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MITSUBISHI BANK,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Paula Mueller</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Paula Mueller</w:t>
      </w:r>
    </w:p>
    <w:p>
      <w:pPr>
        <w:ind w:left="134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MITSUBISHI TRUST AND BANKING</w:t>
      </w:r>
    </w:p>
    <w:p>
      <w:pPr>
        <w:ind w:left="1260"/>
        <w:spacing w:after="0"/>
        <w:rPr>
          <w:sz w:val="20"/>
          <w:szCs w:val="20"/>
          <w:color w:val="auto"/>
        </w:rPr>
      </w:pPr>
      <w:r>
        <w:rPr>
          <w:rFonts w:ascii="Courier New" w:cs="Courier New" w:eastAsia="Courier New" w:hAnsi="Courier New"/>
          <w:sz w:val="15"/>
          <w:szCs w:val="15"/>
          <w:color w:val="auto"/>
        </w:rPr>
        <w:t>CORPORATION</w:t>
      </w:r>
    </w:p>
    <w:p>
      <w:pPr>
        <w:spacing w:after="0" w:line="33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Patricia Loret De Mola</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Name: Patricia Loret De Mola</w:t>
      </w:r>
    </w:p>
    <w:p>
      <w:pPr>
        <w:ind w:left="1340"/>
        <w:spacing w:after="0"/>
        <w:rPr>
          <w:sz w:val="20"/>
          <w:szCs w:val="20"/>
          <w:color w:val="auto"/>
        </w:rPr>
      </w:pPr>
      <w:r>
        <w:rPr>
          <w:rFonts w:ascii="Courier New" w:cs="Courier New" w:eastAsia="Courier New" w:hAnsi="Courier New"/>
          <w:sz w:val="15"/>
          <w:szCs w:val="15"/>
          <w:color w:val="auto"/>
        </w:rPr>
        <w:t>Title: Senior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NATWEST BANK, N.A.</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Michael A. Cerullo</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Michael A. Cerullo</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019"/>
          </w:cols>
          <w:pgMar w:left="1440" w:top="792" w:right="1440" w:bottom="1440" w:gutter="0" w:footer="0" w:header="0"/>
        </w:sectPr>
      </w:pPr>
    </w:p>
    <w:bookmarkStart w:id="261" w:name="page262"/>
    <w:bookmarkEnd w:id="261"/>
    <w:p>
      <w:pPr>
        <w:ind w:left="1080"/>
        <w:spacing w:after="0"/>
        <w:rPr>
          <w:sz w:val="20"/>
          <w:szCs w:val="20"/>
          <w:color w:val="auto"/>
        </w:rPr>
      </w:pPr>
      <w:r>
        <w:rPr>
          <w:rFonts w:ascii="Courier New" w:cs="Courier New" w:eastAsia="Courier New" w:hAnsi="Courier New"/>
          <w:sz w:val="15"/>
          <w:szCs w:val="15"/>
          <w:color w:val="auto"/>
        </w:rPr>
        <w:t>GULF INTERNATIONAL BANK BSC</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Haytham F. Halil</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Haytham F. Halil</w:t>
      </w:r>
    </w:p>
    <w:p>
      <w:pPr>
        <w:ind w:left="1340"/>
        <w:spacing w:after="0" w:line="238" w:lineRule="auto"/>
        <w:rPr>
          <w:sz w:val="20"/>
          <w:szCs w:val="20"/>
          <w:color w:val="auto"/>
        </w:rPr>
      </w:pPr>
      <w:r>
        <w:rPr>
          <w:rFonts w:ascii="Courier New" w:cs="Courier New" w:eastAsia="Courier New" w:hAnsi="Courier New"/>
          <w:sz w:val="15"/>
          <w:szCs w:val="15"/>
          <w:color w:val="auto"/>
        </w:rPr>
        <w:t>Title: Assistant Vice President</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Abdel-Fattah Tahoun</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Haytham F. Halil</w:t>
      </w:r>
    </w:p>
    <w:p>
      <w:pPr>
        <w:ind w:left="134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PNC BANK, NATIONAL ASSOCIATION</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Karen M. Wolters</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Karen M. Wolters</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SUMITOMO BANK,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S. Higashi</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rPr>
          <w:sz w:val="20"/>
          <w:szCs w:val="20"/>
          <w:color w:val="auto"/>
        </w:rPr>
      </w:pPr>
      <w:r>
        <w:rPr>
          <w:rFonts w:ascii="Courier New" w:cs="Courier New" w:eastAsia="Courier New" w:hAnsi="Courier New"/>
          <w:sz w:val="15"/>
          <w:szCs w:val="15"/>
          <w:color w:val="auto"/>
        </w:rPr>
        <w:t>Name: S. Higashi</w:t>
      </w:r>
    </w:p>
    <w:p>
      <w:pPr>
        <w:ind w:left="1340"/>
        <w:spacing w:after="0" w:line="238" w:lineRule="auto"/>
        <w:rPr>
          <w:sz w:val="20"/>
          <w:szCs w:val="20"/>
          <w:color w:val="auto"/>
        </w:rPr>
      </w:pPr>
      <w:r>
        <w:rPr>
          <w:rFonts w:ascii="Courier New" w:cs="Courier New" w:eastAsia="Courier New" w:hAnsi="Courier New"/>
          <w:sz w:val="15"/>
          <w:szCs w:val="15"/>
          <w:color w:val="auto"/>
        </w:rPr>
        <w:t>Title: Joint General Manager</w:t>
      </w:r>
    </w:p>
    <w:p>
      <w:pPr>
        <w:spacing w:after="0" w:line="200" w:lineRule="exact"/>
        <w:rPr>
          <w:sz w:val="20"/>
          <w:szCs w:val="20"/>
          <w:color w:val="auto"/>
        </w:rPr>
      </w:pPr>
    </w:p>
    <w:p>
      <w:pPr>
        <w:spacing w:after="0" w:line="314"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THE SUMITOMO TRUST AND BANKING CO., LTD.</w:t>
      </w:r>
    </w:p>
    <w:p>
      <w:pPr>
        <w:spacing w:after="0" w:line="344"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Suraj P. Bhatia</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rPr>
          <w:sz w:val="20"/>
          <w:szCs w:val="20"/>
          <w:color w:val="auto"/>
        </w:rPr>
      </w:pPr>
      <w:r>
        <w:rPr>
          <w:rFonts w:ascii="Courier New" w:cs="Courier New" w:eastAsia="Courier New" w:hAnsi="Courier New"/>
          <w:sz w:val="15"/>
          <w:szCs w:val="15"/>
          <w:color w:val="auto"/>
        </w:rPr>
        <w:t>Name: Suraj P. Bhatia</w:t>
      </w:r>
    </w:p>
    <w:p>
      <w:pPr>
        <w:ind w:left="1340"/>
        <w:spacing w:after="0" w:line="238" w:lineRule="auto"/>
        <w:rPr>
          <w:sz w:val="20"/>
          <w:szCs w:val="20"/>
          <w:color w:val="auto"/>
        </w:rPr>
      </w:pPr>
      <w:r>
        <w:rPr>
          <w:rFonts w:ascii="Courier New" w:cs="Courier New" w:eastAsia="Courier New" w:hAnsi="Courier New"/>
          <w:sz w:val="15"/>
          <w:szCs w:val="15"/>
          <w:color w:val="auto"/>
        </w:rPr>
        <w:t>Title: Senior Vice President</w:t>
      </w:r>
    </w:p>
    <w:p>
      <w:pPr>
        <w:ind w:left="2140"/>
        <w:spacing w:after="0"/>
        <w:rPr>
          <w:sz w:val="20"/>
          <w:szCs w:val="20"/>
          <w:color w:val="auto"/>
        </w:rPr>
      </w:pPr>
      <w:r>
        <w:rPr>
          <w:rFonts w:ascii="Courier New" w:cs="Courier New" w:eastAsia="Courier New" w:hAnsi="Courier New"/>
          <w:sz w:val="15"/>
          <w:szCs w:val="15"/>
          <w:color w:val="auto"/>
        </w:rPr>
        <w:t>Mgr. Corp. Finance Dept.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CORESTATES BANK, N.A.</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Edward L. Kittrell</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Edward L. Kittrell</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019"/>
          </w:cols>
          <w:pgMar w:left="1440" w:top="622" w:right="1440" w:bottom="1440" w:gutter="0" w:footer="0" w:header="0"/>
        </w:sectPr>
      </w:pPr>
    </w:p>
    <w:bookmarkStart w:id="262" w:name="page263"/>
    <w:bookmarkEnd w:id="262"/>
    <w:p>
      <w:pPr>
        <w:ind w:left="1080"/>
        <w:spacing w:after="0"/>
        <w:rPr>
          <w:sz w:val="20"/>
          <w:szCs w:val="20"/>
          <w:color w:val="auto"/>
        </w:rPr>
      </w:pPr>
      <w:r>
        <w:rPr>
          <w:rFonts w:ascii="Courier New" w:cs="Courier New" w:eastAsia="Courier New" w:hAnsi="Courier New"/>
          <w:sz w:val="14"/>
          <w:szCs w:val="14"/>
          <w:color w:val="auto"/>
        </w:rPr>
        <w:t>BANQUE FRANCAISE DU COMMERCE EXTERIEUR</w:t>
      </w:r>
    </w:p>
    <w:p>
      <w:pPr>
        <w:spacing w:after="0" w:line="344"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Peter Karl Harris</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Peter Karl Harris</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William C. Maier</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William C. Maier</w:t>
      </w:r>
    </w:p>
    <w:p>
      <w:pPr>
        <w:ind w:left="1340"/>
        <w:spacing w:after="0" w:line="238" w:lineRule="auto"/>
        <w:rPr>
          <w:sz w:val="20"/>
          <w:szCs w:val="20"/>
          <w:color w:val="auto"/>
        </w:rPr>
      </w:pPr>
      <w:r>
        <w:rPr>
          <w:rFonts w:ascii="Courier New" w:cs="Courier New" w:eastAsia="Courier New" w:hAnsi="Courier New"/>
          <w:sz w:val="15"/>
          <w:szCs w:val="15"/>
          <w:color w:val="auto"/>
        </w:rPr>
        <w:t>Title: VP-Group Manager</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SAKURA BANK,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Hiroshi Shimazaki</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Hiroshi Shimazaki</w:t>
      </w:r>
    </w:p>
    <w:p>
      <w:pPr>
        <w:ind w:left="1340"/>
        <w:spacing w:after="0" w:line="238" w:lineRule="auto"/>
        <w:rPr>
          <w:sz w:val="20"/>
          <w:szCs w:val="20"/>
          <w:color w:val="auto"/>
        </w:rPr>
      </w:pPr>
      <w:r>
        <w:rPr>
          <w:rFonts w:ascii="Courier New" w:cs="Courier New" w:eastAsia="Courier New" w:hAnsi="Courier New"/>
          <w:sz w:val="15"/>
          <w:szCs w:val="15"/>
          <w:color w:val="auto"/>
        </w:rPr>
        <w:t>Title: Senior Vice President</w:t>
      </w:r>
    </w:p>
    <w:p>
      <w:pPr>
        <w:ind w:left="2060"/>
        <w:spacing w:after="0"/>
        <w:rPr>
          <w:sz w:val="20"/>
          <w:szCs w:val="20"/>
          <w:color w:val="auto"/>
        </w:rPr>
      </w:pPr>
      <w:r>
        <w:rPr>
          <w:rFonts w:ascii="Courier New" w:cs="Courier New" w:eastAsia="Courier New" w:hAnsi="Courier New"/>
          <w:sz w:val="15"/>
          <w:szCs w:val="15"/>
          <w:color w:val="auto"/>
        </w:rPr>
        <w:t>&amp; Manager</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DEN DANSKE BANK</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Mogens Sondergaard</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Mogens Sondergaard</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Bent V. Christensen</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Bent V. Christensen</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INDUSTRIAL BANK OF JAPAN,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Jeffrey Cole</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Jeffrey Cole</w:t>
      </w:r>
    </w:p>
    <w:p>
      <w:pPr>
        <w:ind w:left="134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33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019"/>
          </w:cols>
          <w:pgMar w:left="1440" w:top="797" w:right="1440" w:bottom="1440" w:gutter="0" w:footer="0" w:header="0"/>
        </w:sectPr>
      </w:pPr>
    </w:p>
    <w:bookmarkStart w:id="263" w:name="page264"/>
    <w:bookmarkEnd w:id="263"/>
    <w:p>
      <w:pPr>
        <w:ind w:left="1080"/>
        <w:spacing w:after="0"/>
        <w:rPr>
          <w:sz w:val="20"/>
          <w:szCs w:val="20"/>
          <w:color w:val="auto"/>
        </w:rPr>
      </w:pPr>
      <w:r>
        <w:rPr>
          <w:rFonts w:ascii="Courier New" w:cs="Courier New" w:eastAsia="Courier New" w:hAnsi="Courier New"/>
          <w:sz w:val="15"/>
          <w:szCs w:val="15"/>
          <w:color w:val="auto"/>
        </w:rPr>
        <w:t>ROYAL BANK OF CANADA</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Cynthia K. Wong</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Cynthia K. Wong</w:t>
      </w:r>
    </w:p>
    <w:p>
      <w:pPr>
        <w:ind w:left="1340"/>
        <w:spacing w:after="0" w:line="238" w:lineRule="auto"/>
        <w:rPr>
          <w:sz w:val="20"/>
          <w:szCs w:val="20"/>
          <w:color w:val="auto"/>
        </w:rPr>
      </w:pPr>
      <w:r>
        <w:rPr>
          <w:rFonts w:ascii="Courier New" w:cs="Courier New" w:eastAsia="Courier New" w:hAnsi="Courier New"/>
          <w:sz w:val="15"/>
          <w:szCs w:val="15"/>
          <w:color w:val="auto"/>
        </w:rPr>
        <w:t>Title: Manager</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SANWA BANK,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 /s/ Dominic J. Sorresso</w:t>
      </w:r>
    </w:p>
    <w:p>
      <w:pPr>
        <w:ind w:left="1340"/>
        <w:spacing w:after="0"/>
        <w:rPr>
          <w:sz w:val="20"/>
          <w:szCs w:val="20"/>
          <w:color w:val="auto"/>
        </w:rPr>
      </w:pPr>
      <w:r>
        <w:rPr>
          <w:rFonts w:ascii="Courier New" w:cs="Courier New" w:eastAsia="Courier New" w:hAnsi="Courier New"/>
          <w:sz w:val="15"/>
          <w:szCs w:val="15"/>
          <w:color w:val="auto"/>
        </w:rPr>
        <w:t>--------------------------------</w:t>
      </w:r>
    </w:p>
    <w:p>
      <w:pPr>
        <w:ind w:left="1440"/>
        <w:spacing w:after="0"/>
        <w:tabs>
          <w:tab w:leader="none" w:pos="20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Dominic J. Sorresso</w:t>
      </w:r>
    </w:p>
    <w:p>
      <w:pPr>
        <w:ind w:left="14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TOKAI BANK,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Stuart Schulman</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Stuart Schulman</w:t>
      </w:r>
    </w:p>
    <w:p>
      <w:pPr>
        <w:ind w:left="134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CHEMICAL BANK</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John J. Huber III</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rPr>
          <w:sz w:val="20"/>
          <w:szCs w:val="20"/>
          <w:color w:val="auto"/>
        </w:rPr>
      </w:pPr>
      <w:r>
        <w:rPr>
          <w:rFonts w:ascii="Courier New" w:cs="Courier New" w:eastAsia="Courier New" w:hAnsi="Courier New"/>
          <w:sz w:val="15"/>
          <w:szCs w:val="15"/>
          <w:color w:val="auto"/>
        </w:rPr>
        <w:t>Name: John J. Huber III</w:t>
      </w:r>
    </w:p>
    <w:p>
      <w:pPr>
        <w:ind w:left="1260"/>
        <w:spacing w:after="0" w:line="238" w:lineRule="auto"/>
        <w:rPr>
          <w:sz w:val="20"/>
          <w:szCs w:val="20"/>
          <w:color w:val="auto"/>
        </w:rPr>
      </w:pPr>
      <w:r>
        <w:rPr>
          <w:rFonts w:ascii="Courier New" w:cs="Courier New" w:eastAsia="Courier New" w:hAnsi="Courier New"/>
          <w:sz w:val="15"/>
          <w:szCs w:val="15"/>
          <w:color w:val="auto"/>
        </w:rPr>
        <w:t>Title: Managing Director</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DAI-CHI KANGYO BANK,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Ronald Wolinsky</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Ronald Wolinsky</w:t>
      </w:r>
    </w:p>
    <w:p>
      <w:pPr>
        <w:spacing w:after="0" w:line="4"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Title: Vice President &amp; Group Leader</w:t>
      </w:r>
    </w:p>
    <w:p>
      <w:pPr>
        <w:spacing w:after="0" w:line="34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019"/>
          </w:cols>
          <w:pgMar w:left="1440" w:top="791" w:right="1440" w:bottom="1440" w:gutter="0" w:footer="0" w:header="0"/>
        </w:sectPr>
      </w:pPr>
    </w:p>
    <w:bookmarkStart w:id="264" w:name="page265"/>
    <w:bookmarkEnd w:id="264"/>
    <w:p>
      <w:pPr>
        <w:ind w:left="1080"/>
        <w:spacing w:after="0"/>
        <w:rPr>
          <w:sz w:val="20"/>
          <w:szCs w:val="20"/>
          <w:color w:val="auto"/>
        </w:rPr>
      </w:pPr>
      <w:r>
        <w:rPr>
          <w:rFonts w:ascii="Courier New" w:cs="Courier New" w:eastAsia="Courier New" w:hAnsi="Courier New"/>
          <w:sz w:val="15"/>
          <w:szCs w:val="15"/>
          <w:color w:val="auto"/>
        </w:rPr>
        <w:t>FIRST HAWAIIAN BANK</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William B. Schink</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William B. Schink</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MORGAN GUARANTY TRUST COMPANY OF</w:t>
      </w:r>
    </w:p>
    <w:p>
      <w:pPr>
        <w:ind w:left="1260"/>
        <w:spacing w:after="0"/>
        <w:rPr>
          <w:sz w:val="20"/>
          <w:szCs w:val="20"/>
          <w:color w:val="auto"/>
        </w:rPr>
      </w:pPr>
      <w:r>
        <w:rPr>
          <w:rFonts w:ascii="Courier New" w:cs="Courier New" w:eastAsia="Courier New" w:hAnsi="Courier New"/>
          <w:sz w:val="15"/>
          <w:szCs w:val="15"/>
          <w:color w:val="auto"/>
        </w:rPr>
        <w:t>NEW YORK</w:t>
      </w:r>
    </w:p>
    <w:p>
      <w:pPr>
        <w:spacing w:after="0" w:line="33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R. BLake Witherington</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R. BLake Witherington</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CITIBANK, N.A.</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Margaret C. Ullrich</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Margaret C. Ullrich</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NIPPON CREDIT BANK,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Bernardo E. Correa-Henschke</w:t>
      </w:r>
    </w:p>
    <w:p>
      <w:pPr>
        <w:ind w:left="13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Name: Bernardo E. Correa-Henschke</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Title: Vice President &amp; Manager</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RIGGS NATIONAL BANK</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David H. Olson</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David H. Olson</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019"/>
          </w:cols>
          <w:pgMar w:left="1440" w:top="792" w:right="1440" w:bottom="1440" w:gutter="0" w:footer="0" w:header="0"/>
        </w:sectPr>
      </w:pPr>
    </w:p>
    <w:bookmarkStart w:id="265" w:name="page266"/>
    <w:bookmarkEnd w:id="265"/>
    <w:p>
      <w:pPr>
        <w:ind w:left="1080"/>
        <w:spacing w:after="0"/>
        <w:rPr>
          <w:sz w:val="20"/>
          <w:szCs w:val="20"/>
          <w:color w:val="auto"/>
        </w:rPr>
      </w:pPr>
      <w:r>
        <w:rPr>
          <w:rFonts w:ascii="Courier New" w:cs="Courier New" w:eastAsia="Courier New" w:hAnsi="Courier New"/>
          <w:sz w:val="15"/>
          <w:szCs w:val="15"/>
          <w:color w:val="auto"/>
        </w:rPr>
        <w:t>FIRST UNION NATIONAL BANK OF</w:t>
      </w:r>
    </w:p>
    <w:p>
      <w:pPr>
        <w:ind w:left="1260"/>
        <w:spacing w:after="0"/>
        <w:rPr>
          <w:sz w:val="20"/>
          <w:szCs w:val="20"/>
          <w:color w:val="auto"/>
        </w:rPr>
      </w:pPr>
      <w:r>
        <w:rPr>
          <w:rFonts w:ascii="Courier New" w:cs="Courier New" w:eastAsia="Courier New" w:hAnsi="Courier New"/>
          <w:sz w:val="15"/>
          <w:szCs w:val="15"/>
          <w:color w:val="auto"/>
        </w:rPr>
        <w:t>NORTH CAROLINA</w:t>
      </w:r>
    </w:p>
    <w:p>
      <w:pPr>
        <w:spacing w:after="0" w:line="33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Jim F. Redman</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Jim F. Redman</w:t>
      </w:r>
    </w:p>
    <w:p>
      <w:pPr>
        <w:ind w:left="134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MELLON BANK, N.A.</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 /s/ G. Luis Ashley</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G. Luis Ashley</w:t>
      </w:r>
    </w:p>
    <w:p>
      <w:pPr>
        <w:ind w:left="1340"/>
        <w:spacing w:after="0" w:line="238" w:lineRule="auto"/>
        <w:rPr>
          <w:sz w:val="20"/>
          <w:szCs w:val="20"/>
          <w:color w:val="auto"/>
        </w:rPr>
      </w:pPr>
      <w:r>
        <w:rPr>
          <w:rFonts w:ascii="Courier New" w:cs="Courier New" w:eastAsia="Courier New" w:hAnsi="Courier New"/>
          <w:sz w:val="15"/>
          <w:szCs w:val="15"/>
          <w:color w:val="auto"/>
        </w:rPr>
        <w:t>Title: First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COMPAGNIE FINANCIERE DE CIC ET DE</w:t>
      </w:r>
    </w:p>
    <w:p>
      <w:pPr>
        <w:ind w:left="1340"/>
        <w:spacing w:after="0"/>
        <w:rPr>
          <w:sz w:val="20"/>
          <w:szCs w:val="20"/>
          <w:color w:val="auto"/>
        </w:rPr>
      </w:pPr>
      <w:r>
        <w:rPr>
          <w:rFonts w:ascii="Courier New" w:cs="Courier New" w:eastAsia="Courier New" w:hAnsi="Courier New"/>
          <w:sz w:val="15"/>
          <w:szCs w:val="15"/>
          <w:color w:val="auto"/>
        </w:rPr>
        <w:t>L'UNION EUROPENNE</w:t>
      </w:r>
    </w:p>
    <w:p>
      <w:pPr>
        <w:spacing w:after="0" w:line="33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Brian O'Leary</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Brian O'Leary</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Marcus Edward</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Marcus Edward</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14"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VAN KAMPEN AMERICAN CAPITAL PRIME RATE INCOME</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TRUST</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Jeffrey W. Maillet</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Jeffrey W. Maillet</w:t>
      </w:r>
    </w:p>
    <w:p>
      <w:pPr>
        <w:ind w:left="1340"/>
        <w:spacing w:after="0" w:line="238" w:lineRule="auto"/>
        <w:rPr>
          <w:sz w:val="20"/>
          <w:szCs w:val="20"/>
          <w:color w:val="auto"/>
        </w:rPr>
      </w:pPr>
      <w:r>
        <w:rPr>
          <w:rFonts w:ascii="Courier New" w:cs="Courier New" w:eastAsia="Courier New" w:hAnsi="Courier New"/>
          <w:sz w:val="15"/>
          <w:szCs w:val="15"/>
          <w:color w:val="auto"/>
        </w:rPr>
        <w:t>Title: Sr. Vice Pres. &amp;</w:t>
      </w:r>
    </w:p>
    <w:p>
      <w:pPr>
        <w:ind w:left="1620"/>
        <w:spacing w:after="0"/>
        <w:rPr>
          <w:sz w:val="20"/>
          <w:szCs w:val="20"/>
          <w:color w:val="auto"/>
        </w:rPr>
      </w:pPr>
      <w:r>
        <w:rPr>
          <w:rFonts w:ascii="Courier New" w:cs="Courier New" w:eastAsia="Courier New" w:hAnsi="Courier New"/>
          <w:sz w:val="15"/>
          <w:szCs w:val="15"/>
          <w:color w:val="auto"/>
        </w:rPr>
        <w:t>Portfolio Manager</w:t>
      </w:r>
    </w:p>
    <w:p>
      <w:pPr>
        <w:spacing w:after="0" w:line="33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019"/>
          </w:cols>
          <w:pgMar w:left="1440" w:top="791" w:right="1440" w:bottom="1440" w:gutter="0" w:footer="0" w:header="0"/>
        </w:sectPr>
      </w:pPr>
    </w:p>
    <w:bookmarkStart w:id="266" w:name="page267"/>
    <w:bookmarkEnd w:id="266"/>
    <w:p>
      <w:pPr>
        <w:ind w:left="1080"/>
        <w:spacing w:after="0"/>
        <w:rPr>
          <w:sz w:val="20"/>
          <w:szCs w:val="20"/>
          <w:color w:val="auto"/>
        </w:rPr>
      </w:pPr>
      <w:r>
        <w:rPr>
          <w:rFonts w:ascii="Courier New" w:cs="Courier New" w:eastAsia="Courier New" w:hAnsi="Courier New"/>
          <w:sz w:val="15"/>
          <w:szCs w:val="15"/>
          <w:color w:val="auto"/>
        </w:rPr>
        <w:t>CIBC, INC.</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John Tyler</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John Tyler</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CHASE MANHATTAN BANK</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Bruce Langenkamp</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Bruce Langenkamp</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BANK OF NOVA SCOTIA</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Vincent Fitzgerald, Jr.</w:t>
      </w:r>
    </w:p>
    <w:p>
      <w:pPr>
        <w:ind w:left="1340"/>
        <w:spacing w:after="0"/>
        <w:rPr>
          <w:sz w:val="20"/>
          <w:szCs w:val="20"/>
          <w:color w:val="auto"/>
        </w:rPr>
      </w:pPr>
      <w:r>
        <w:rPr>
          <w:rFonts w:ascii="Courier New" w:cs="Courier New" w:eastAsia="Courier New" w:hAnsi="Courier New"/>
          <w:sz w:val="15"/>
          <w:szCs w:val="15"/>
          <w:color w:val="auto"/>
        </w:rPr>
        <w:t>--------------------------------</w:t>
      </w:r>
    </w:p>
    <w:p>
      <w:pPr>
        <w:ind w:left="1080"/>
        <w:spacing w:after="0"/>
        <w:rPr>
          <w:sz w:val="20"/>
          <w:szCs w:val="20"/>
          <w:color w:val="auto"/>
        </w:rPr>
      </w:pPr>
      <w:r>
        <w:rPr>
          <w:rFonts w:ascii="Courier New" w:cs="Courier New" w:eastAsia="Courier New" w:hAnsi="Courier New"/>
          <w:sz w:val="15"/>
          <w:szCs w:val="15"/>
          <w:color w:val="auto"/>
        </w:rPr>
        <w:t>Name: Vincent Fitzgerald, Jr.</w:t>
      </w:r>
    </w:p>
    <w:p>
      <w:pPr>
        <w:ind w:left="1340"/>
        <w:spacing w:after="0" w:line="238" w:lineRule="auto"/>
        <w:rPr>
          <w:sz w:val="20"/>
          <w:szCs w:val="20"/>
          <w:color w:val="auto"/>
        </w:rPr>
      </w:pPr>
      <w:r>
        <w:rPr>
          <w:rFonts w:ascii="Courier New" w:cs="Courier New" w:eastAsia="Courier New" w:hAnsi="Courier New"/>
          <w:sz w:val="15"/>
          <w:szCs w:val="15"/>
          <w:color w:val="auto"/>
        </w:rPr>
        <w:t>Title: Authorized Signatory</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FUJI BANK,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Katsunori Nozawa</w:t>
      </w:r>
    </w:p>
    <w:p>
      <w:pPr>
        <w:ind w:left="1340"/>
        <w:spacing w:after="0"/>
        <w:rPr>
          <w:sz w:val="20"/>
          <w:szCs w:val="20"/>
          <w:color w:val="auto"/>
        </w:rPr>
      </w:pPr>
      <w:r>
        <w:rPr>
          <w:rFonts w:ascii="Courier New" w:cs="Courier New" w:eastAsia="Courier New" w:hAnsi="Courier New"/>
          <w:sz w:val="15"/>
          <w:szCs w:val="15"/>
          <w:color w:val="auto"/>
        </w:rPr>
        <w:t>--------------------------------</w:t>
      </w:r>
    </w:p>
    <w:p>
      <w:pPr>
        <w:jc w:val="center"/>
        <w:ind w:right="3959"/>
        <w:spacing w:after="0"/>
        <w:tabs>
          <w:tab w:leader="none" w:pos="160" w:val="left"/>
        </w:tabs>
        <w:rPr>
          <w:sz w:val="20"/>
          <w:szCs w:val="20"/>
          <w:color w:val="auto"/>
        </w:rPr>
      </w:pPr>
      <w:r>
        <w:rPr>
          <w:rFonts w:ascii="Courier New" w:cs="Courier New" w:eastAsia="Courier New" w:hAnsi="Courier New"/>
          <w:sz w:val="15"/>
          <w:szCs w:val="15"/>
          <w:color w:val="auto"/>
        </w:rPr>
        <w:t>Name:</w:t>
        <w:tab/>
        <w:t>Katsunori Nozawa</w:t>
      </w:r>
    </w:p>
    <w:p>
      <w:pPr>
        <w:spacing w:after="0" w:line="4"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4"/>
          <w:szCs w:val="14"/>
          <w:color w:val="auto"/>
        </w:rPr>
        <w:t>Title: Vice President &amp; Manager</w:t>
      </w:r>
    </w:p>
    <w:p>
      <w:pPr>
        <w:spacing w:after="0" w:line="200" w:lineRule="exact"/>
        <w:rPr>
          <w:sz w:val="20"/>
          <w:szCs w:val="20"/>
          <w:color w:val="auto"/>
        </w:rPr>
      </w:pPr>
    </w:p>
    <w:p>
      <w:pPr>
        <w:spacing w:after="0" w:line="319"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THE LONG-TERM CREDIT BANK OF JAPAN, LTD.</w:t>
      </w:r>
    </w:p>
    <w:p>
      <w:pPr>
        <w:spacing w:after="0" w:line="344"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John A. Krob</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John A. Krob</w:t>
      </w:r>
    </w:p>
    <w:p>
      <w:pPr>
        <w:ind w:left="1340"/>
        <w:spacing w:after="0" w:line="238" w:lineRule="auto"/>
        <w:rPr>
          <w:sz w:val="20"/>
          <w:szCs w:val="20"/>
          <w:color w:val="auto"/>
        </w:rPr>
      </w:pPr>
      <w:r>
        <w:rPr>
          <w:rFonts w:ascii="Courier New" w:cs="Courier New" w:eastAsia="Courier New" w:hAnsi="Courier New"/>
          <w:sz w:val="15"/>
          <w:szCs w:val="15"/>
          <w:color w:val="auto"/>
        </w:rPr>
        <w:t>Title: Deputy General Manager</w:t>
      </w:r>
    </w:p>
    <w:p>
      <w:pPr>
        <w:spacing w:after="0" w:line="200" w:lineRule="exact"/>
        <w:rPr>
          <w:sz w:val="20"/>
          <w:szCs w:val="20"/>
          <w:color w:val="auto"/>
        </w:rPr>
      </w:pPr>
    </w:p>
    <w:p>
      <w:pPr>
        <w:spacing w:after="0" w:line="30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019"/>
          </w:cols>
          <w:pgMar w:left="1440" w:top="622" w:right="1440" w:bottom="1440" w:gutter="0" w:footer="0" w:header="0"/>
        </w:sectPr>
      </w:pPr>
    </w:p>
    <w:bookmarkStart w:id="267" w:name="page268"/>
    <w:bookmarkEnd w:id="267"/>
    <w:p>
      <w:pPr>
        <w:ind w:left="1080"/>
        <w:spacing w:after="0"/>
        <w:rPr>
          <w:sz w:val="20"/>
          <w:szCs w:val="20"/>
          <w:color w:val="auto"/>
        </w:rPr>
      </w:pPr>
      <w:r>
        <w:rPr>
          <w:rFonts w:ascii="Courier New" w:cs="Courier New" w:eastAsia="Courier New" w:hAnsi="Courier New"/>
          <w:sz w:val="15"/>
          <w:szCs w:val="15"/>
          <w:color w:val="auto"/>
        </w:rPr>
        <w:t>BANQUE NATIONALE DE PARIS</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John S. Mitchell</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John S. Mitchell</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33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Nancy Stengel</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Nancy Stengel</w:t>
      </w:r>
    </w:p>
    <w:p>
      <w:pPr>
        <w:ind w:left="1340"/>
        <w:spacing w:after="0"/>
        <w:rPr>
          <w:sz w:val="20"/>
          <w:szCs w:val="20"/>
          <w:color w:val="auto"/>
        </w:rPr>
      </w:pPr>
      <w:r>
        <w:rPr>
          <w:rFonts w:ascii="Courier New" w:cs="Courier New" w:eastAsia="Courier New" w:hAnsi="Courier New"/>
          <w:sz w:val="15"/>
          <w:szCs w:val="15"/>
          <w:color w:val="auto"/>
        </w:rPr>
        <w:t>Title: Assistant Treasurer</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BANK OF HAWAII</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 Bryan Scearce</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J. Bryan Scearce</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BANK OF AMERICA</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Amy S. Trapp</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Amy S. Trapp</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NATIONSBANK OF TEXAS, N.A.</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Chad E. Coben</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Chad E. Coben</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019"/>
          </w:cols>
          <w:pgMar w:left="1440" w:top="792" w:right="1440" w:bottom="1440" w:gutter="0" w:footer="0" w:header="0"/>
        </w:sectPr>
      </w:pPr>
    </w:p>
    <w:bookmarkStart w:id="268" w:name="page269"/>
    <w:bookmarkEnd w:id="268"/>
    <w:p>
      <w:pPr>
        <w:ind w:left="1080"/>
        <w:spacing w:after="0"/>
        <w:rPr>
          <w:sz w:val="20"/>
          <w:szCs w:val="20"/>
          <w:color w:val="auto"/>
        </w:rPr>
      </w:pPr>
      <w:r>
        <w:rPr>
          <w:rFonts w:ascii="Courier New" w:cs="Courier New" w:eastAsia="Courier New" w:hAnsi="Courier New"/>
          <w:sz w:val="15"/>
          <w:szCs w:val="15"/>
          <w:color w:val="auto"/>
        </w:rPr>
        <w:t>DEUTSCHE BANK</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Steven M. Godeke</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Steven M. Godele</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Bina R. Dabbah</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Bina R. Dabbah</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UNION BANK</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Gabriel A. Renga</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Gabriel A. Renga</w:t>
      </w:r>
    </w:p>
    <w:p>
      <w:pPr>
        <w:ind w:left="134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TORONTO DOMINION BANK</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Neva Nesbitt</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Neva Nesbitt</w:t>
      </w:r>
    </w:p>
    <w:p>
      <w:pPr>
        <w:spacing w:after="0" w:line="4"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Title: Manager, Credit Administration</w:t>
      </w:r>
    </w:p>
    <w:p>
      <w:pPr>
        <w:spacing w:after="0" w:line="200" w:lineRule="exact"/>
        <w:rPr>
          <w:sz w:val="20"/>
          <w:szCs w:val="20"/>
          <w:color w:val="auto"/>
        </w:rPr>
      </w:pPr>
    </w:p>
    <w:p>
      <w:pPr>
        <w:spacing w:after="0" w:line="314"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FLEET NATIONAL BANK OF CONNECTICUT</w:t>
      </w:r>
    </w:p>
    <w:p>
      <w:pPr>
        <w:spacing w:after="0" w:line="16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Stephen Charles</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Stephen Charles</w:t>
      </w:r>
    </w:p>
    <w:p>
      <w:pPr>
        <w:ind w:left="134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BARCLAYS BANK PLC</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James K. Downy</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James K. Downy</w:t>
      </w:r>
    </w:p>
    <w:p>
      <w:pPr>
        <w:ind w:left="1340"/>
        <w:spacing w:after="0" w:line="238" w:lineRule="auto"/>
        <w:rPr>
          <w:sz w:val="20"/>
          <w:szCs w:val="20"/>
          <w:color w:val="auto"/>
        </w:rPr>
      </w:pPr>
      <w:r>
        <w:rPr>
          <w:rFonts w:ascii="Courier New" w:cs="Courier New" w:eastAsia="Courier New" w:hAnsi="Courier New"/>
          <w:sz w:val="15"/>
          <w:szCs w:val="15"/>
          <w:color w:val="auto"/>
        </w:rPr>
        <w:t>Title: Associate Director</w:t>
      </w:r>
    </w:p>
    <w:p>
      <w:pPr>
        <w:spacing w:after="0" w:line="200" w:lineRule="exact"/>
        <w:rPr>
          <w:sz w:val="20"/>
          <w:szCs w:val="20"/>
          <w:color w:val="auto"/>
        </w:rPr>
      </w:pPr>
    </w:p>
    <w:p>
      <w:pPr>
        <w:spacing w:after="0" w:line="30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019"/>
          </w:cols>
          <w:pgMar w:left="1440" w:top="792" w:right="1440" w:bottom="1440" w:gutter="0" w:footer="0" w:header="0"/>
        </w:sectPr>
      </w:pPr>
    </w:p>
    <w:bookmarkStart w:id="269" w:name="page270"/>
    <w:bookmarkEnd w:id="269"/>
    <w:p>
      <w:pPr>
        <w:ind w:left="1080"/>
        <w:spacing w:after="0"/>
        <w:rPr>
          <w:sz w:val="20"/>
          <w:szCs w:val="20"/>
          <w:color w:val="auto"/>
        </w:rPr>
      </w:pPr>
      <w:r>
        <w:rPr>
          <w:rFonts w:ascii="Courier New" w:cs="Courier New" w:eastAsia="Courier New" w:hAnsi="Courier New"/>
          <w:sz w:val="15"/>
          <w:szCs w:val="15"/>
          <w:color w:val="auto"/>
        </w:rPr>
        <w:t>BANK BRUSSELS LAMBERT, NY BRANCH</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Gerrit Verlodt</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Gerrit Verlodt</w:t>
      </w:r>
    </w:p>
    <w:p>
      <w:pPr>
        <w:ind w:left="134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Dominick H.J. Vangaever</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rPr>
          <w:sz w:val="20"/>
          <w:szCs w:val="20"/>
          <w:color w:val="auto"/>
        </w:rPr>
      </w:pPr>
      <w:r>
        <w:rPr>
          <w:rFonts w:ascii="Courier New" w:cs="Courier New" w:eastAsia="Courier New" w:hAnsi="Courier New"/>
          <w:sz w:val="15"/>
          <w:szCs w:val="15"/>
          <w:color w:val="auto"/>
        </w:rPr>
        <w:t>Name: Dominick H.J. Vangaever</w:t>
      </w:r>
    </w:p>
    <w:p>
      <w:pPr>
        <w:spacing w:after="0" w:line="4"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Title: Vice President, Credit Dept.</w:t>
      </w:r>
    </w:p>
    <w:p>
      <w:pPr>
        <w:spacing w:after="0" w:line="200" w:lineRule="exact"/>
        <w:rPr>
          <w:sz w:val="20"/>
          <w:szCs w:val="20"/>
          <w:color w:val="auto"/>
        </w:rPr>
      </w:pPr>
    </w:p>
    <w:p>
      <w:pPr>
        <w:spacing w:after="0" w:line="314"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BANK OF MONTREAL</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Yvonne Bos</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Yvonne Bos</w:t>
      </w:r>
    </w:p>
    <w:p>
      <w:pPr>
        <w:ind w:left="1340"/>
        <w:spacing w:after="0" w:line="238" w:lineRule="auto"/>
        <w:rPr>
          <w:sz w:val="20"/>
          <w:szCs w:val="20"/>
          <w:color w:val="auto"/>
        </w:rPr>
      </w:pPr>
      <w:r>
        <w:rPr>
          <w:rFonts w:ascii="Courier New" w:cs="Courier New" w:eastAsia="Courier New" w:hAnsi="Courier New"/>
          <w:sz w:val="15"/>
          <w:szCs w:val="15"/>
          <w:color w:val="auto"/>
        </w:rPr>
        <w:t>Title: Managing Director</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CREDIT LYONNAIS</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James E. Morris</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James E. Morris</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9019"/>
          </w:cols>
          <w:pgMar w:left="1440" w:top="622" w:right="1440" w:bottom="1440" w:gutter="0" w:footer="0" w:header="0"/>
        </w:sectPr>
      </w:pPr>
    </w:p>
    <w:bookmarkStart w:id="270" w:name="page271"/>
    <w:bookmarkEnd w:id="270"/>
    <w:p>
      <w:pPr>
        <w:ind w:left="3080"/>
        <w:spacing w:after="0"/>
        <w:rPr>
          <w:sz w:val="20"/>
          <w:szCs w:val="20"/>
          <w:color w:val="auto"/>
        </w:rPr>
      </w:pPr>
      <w:r>
        <w:rPr>
          <w:rFonts w:ascii="Courier New" w:cs="Courier New" w:eastAsia="Courier New" w:hAnsi="Courier New"/>
          <w:sz w:val="15"/>
          <w:szCs w:val="15"/>
          <w:color w:val="auto"/>
        </w:rPr>
        <w:t>Schedule I</w:t>
      </w:r>
    </w:p>
    <w:p>
      <w:pPr>
        <w:spacing w:after="0" w:line="169" w:lineRule="exact"/>
        <w:rPr>
          <w:sz w:val="20"/>
          <w:szCs w:val="20"/>
          <w:color w:val="auto"/>
        </w:rPr>
      </w:pPr>
    </w:p>
    <w:p>
      <w:pPr>
        <w:ind w:left="1220" w:hanging="260"/>
        <w:spacing w:after="0"/>
        <w:tabs>
          <w:tab w:leader="none" w:pos="122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Parents Agreement, dated as of July 24, 1995, among Viacom, TCI</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and TCI Sub.</w:t>
      </w:r>
    </w:p>
    <w:p>
      <w:pPr>
        <w:spacing w:after="0" w:line="174" w:lineRule="exact"/>
        <w:rPr>
          <w:rFonts w:ascii="Courier New" w:cs="Courier New" w:eastAsia="Courier New" w:hAnsi="Courier New"/>
          <w:sz w:val="15"/>
          <w:szCs w:val="15"/>
          <w:color w:val="auto"/>
        </w:rPr>
      </w:pPr>
    </w:p>
    <w:p>
      <w:pPr>
        <w:ind w:right="3359" w:firstLine="960"/>
        <w:spacing w:after="0" w:line="235" w:lineRule="auto"/>
        <w:tabs>
          <w:tab w:leader="none" w:pos="1234"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Implementation Agreement, dated as of July 24, 1995, between VII and VII Services.</w:t>
      </w:r>
    </w:p>
    <w:p>
      <w:pPr>
        <w:spacing w:after="0" w:line="175" w:lineRule="exact"/>
        <w:rPr>
          <w:rFonts w:ascii="Courier New" w:cs="Courier New" w:eastAsia="Courier New" w:hAnsi="Courier New"/>
          <w:sz w:val="15"/>
          <w:szCs w:val="15"/>
          <w:color w:val="auto"/>
        </w:rPr>
      </w:pPr>
    </w:p>
    <w:p>
      <w:pPr>
        <w:ind w:left="1220" w:hanging="260"/>
        <w:spacing w:after="0"/>
        <w:tabs>
          <w:tab w:leader="none" w:pos="122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Subscription Agreement, dated as of July 24, 1995, among VII, TCI</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and TCI Sub.</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22" w:right="1440" w:bottom="1440" w:gutter="0" w:footer="0" w:header="0"/>
        </w:sectPr>
      </w:pPr>
    </w:p>
    <w:bookmarkStart w:id="271" w:name="page272"/>
    <w:bookmarkEnd w:id="271"/>
    <w:p>
      <w:pPr>
        <w:jc w:val="center"/>
        <w:ind w:right="3099"/>
        <w:spacing w:after="0"/>
        <w:rPr>
          <w:sz w:val="20"/>
          <w:szCs w:val="20"/>
          <w:color w:val="auto"/>
        </w:rPr>
      </w:pPr>
      <w:r>
        <w:rPr>
          <w:rFonts w:ascii="Courier New" w:cs="Courier New" w:eastAsia="Courier New" w:hAnsi="Courier New"/>
          <w:sz w:val="15"/>
          <w:szCs w:val="15"/>
          <w:color w:val="auto"/>
        </w:rPr>
        <w:t>PRICING</w:t>
      </w:r>
    </w:p>
    <w:p>
      <w:pPr>
        <w:jc w:val="center"/>
        <w:ind w:right="3099"/>
        <w:spacing w:after="0"/>
        <w:rPr>
          <w:sz w:val="20"/>
          <w:szCs w:val="20"/>
          <w:color w:val="auto"/>
        </w:rPr>
      </w:pPr>
      <w:r>
        <w:rPr>
          <w:rFonts w:ascii="Courier New" w:cs="Courier New" w:eastAsia="Courier New" w:hAnsi="Courier New"/>
          <w:sz w:val="15"/>
          <w:szCs w:val="15"/>
          <w:color w:val="auto"/>
        </w:rPr>
        <w:t>AMENDMENT</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This Amendment ("Amendment"), dated as of November 17, 1995, shall</w:t>
      </w:r>
    </w:p>
    <w:p>
      <w:pPr>
        <w:spacing w:after="0"/>
        <w:rPr>
          <w:sz w:val="20"/>
          <w:szCs w:val="20"/>
          <w:color w:val="auto"/>
        </w:rPr>
      </w:pPr>
      <w:r>
        <w:rPr>
          <w:rFonts w:ascii="Courier New" w:cs="Courier New" w:eastAsia="Courier New" w:hAnsi="Courier New"/>
          <w:sz w:val="15"/>
          <w:szCs w:val="15"/>
          <w:color w:val="auto"/>
        </w:rPr>
        <w:t>be:</w:t>
      </w:r>
    </w:p>
    <w:p>
      <w:pPr>
        <w:spacing w:after="0" w:line="174" w:lineRule="exact"/>
        <w:rPr>
          <w:sz w:val="20"/>
          <w:szCs w:val="20"/>
          <w:color w:val="auto"/>
        </w:rPr>
      </w:pPr>
    </w:p>
    <w:p>
      <w:pPr>
        <w:ind w:right="3179" w:firstLine="970"/>
        <w:spacing w:after="0" w:line="238" w:lineRule="auto"/>
        <w:rPr>
          <w:sz w:val="20"/>
          <w:szCs w:val="20"/>
          <w:color w:val="auto"/>
        </w:rPr>
      </w:pPr>
      <w:r>
        <w:rPr>
          <w:rFonts w:ascii="Courier New" w:cs="Courier New" w:eastAsia="Courier New" w:hAnsi="Courier New"/>
          <w:sz w:val="15"/>
          <w:szCs w:val="15"/>
          <w:color w:val="auto"/>
        </w:rPr>
        <w:t>AMENDMENT NO. 5 to the $6.489 BILLION CREDIT AGREEMENT, dated as of July 1, 1994, as amended, ("Parent Facility") among VIACOM INC., a Delaware corporation ("Viacom"), each of the several Banks, THE BANK OF NEW YORK, as a Managing Agent and as the Documentation Agent, CITIBANK, N.A., as a Managing Agent and as the Administrative Agent, MORGAN GUARANTY TRUST COMPANY OF NEW YORK, as a Managing Agent, JP MORGAN SECURITIES INC., as the Syndication Agent, BANK OF AMERICA NT&amp;SA, as a Managing Agent, the Banks identified as Agents on the signature pages thereof, as Agents, and the Banks identified as Co-Agents on the signature pages thereof, as Co-Agents.</w:t>
      </w:r>
    </w:p>
    <w:p>
      <w:pPr>
        <w:spacing w:after="0" w:line="179" w:lineRule="exact"/>
        <w:rPr>
          <w:sz w:val="20"/>
          <w:szCs w:val="20"/>
          <w:color w:val="auto"/>
        </w:rPr>
      </w:pPr>
    </w:p>
    <w:p>
      <w:pPr>
        <w:ind w:right="3179" w:firstLine="970"/>
        <w:spacing w:after="0" w:line="238" w:lineRule="auto"/>
        <w:rPr>
          <w:sz w:val="20"/>
          <w:szCs w:val="20"/>
          <w:color w:val="auto"/>
        </w:rPr>
      </w:pPr>
      <w:r>
        <w:rPr>
          <w:rFonts w:ascii="Courier New" w:cs="Courier New" w:eastAsia="Courier New" w:hAnsi="Courier New"/>
          <w:sz w:val="15"/>
          <w:szCs w:val="15"/>
          <w:color w:val="auto"/>
        </w:rPr>
        <w:t>AMENDMENT NO. 4 to the $311 MILLION CREDIT AGREEMENT, dated as of July 1, 1994, as amended, (the "Subsidiary Facility") among VIACOM CABLEVISION OF DAYTON INC., WNYT INC., WMZQ INC., WVIT INC., AND VIACOM INTERNATIONAL INC., each a Delaware corporation (collectively "Subsidiary Borrowers"), each of the several Banks, THE BANK OF NEW YORK, as a Managing Agent and as the Documentation Agent, CITIBANK, N.A., as a Managing Agent and as the Administrative Agent, MORGAN GUARANTY TRUST COMPANY OF NEW YORK, as a Managing Agent, JP MORGAN SECURITIES INC., as the Syndication Agent, BANK OF AMERICA NT&amp;SA, as a Managing Agent, the Banks identified as Agents of the signature pages thereof, as Agents, and the Banks identified as Co-Agents on the signature pages thereof, as Co-Agents.</w:t>
      </w:r>
    </w:p>
    <w:p>
      <w:pPr>
        <w:spacing w:after="0" w:line="17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WITNESSETH:</w:t>
      </w:r>
    </w:p>
    <w:p>
      <w:pPr>
        <w:spacing w:after="0" w:line="175" w:lineRule="exact"/>
        <w:rPr>
          <w:sz w:val="20"/>
          <w:szCs w:val="20"/>
          <w:color w:val="auto"/>
        </w:rPr>
      </w:pPr>
    </w:p>
    <w:p>
      <w:pPr>
        <w:ind w:right="3179" w:firstLine="970"/>
        <w:spacing w:after="0" w:line="237" w:lineRule="auto"/>
        <w:rPr>
          <w:sz w:val="20"/>
          <w:szCs w:val="20"/>
          <w:color w:val="auto"/>
        </w:rPr>
      </w:pPr>
      <w:r>
        <w:rPr>
          <w:rFonts w:ascii="Courier New" w:cs="Courier New" w:eastAsia="Courier New" w:hAnsi="Courier New"/>
          <w:sz w:val="15"/>
          <w:szCs w:val="15"/>
          <w:color w:val="auto"/>
        </w:rPr>
        <w:t>WHEREAS, the parties who have heretofore entered into the Parent Facility and the Subsidiary Facility now desire to amend certain provisions of such agreements to provide for a change in the Applicable Eurodollar Rate Margin and Commitment Fees payable thereunder,</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NOW THEREFORE, the parties hereto agree as follows:</w:t>
      </w:r>
    </w:p>
    <w:p>
      <w:pPr>
        <w:spacing w:after="0" w:line="169" w:lineRule="exact"/>
        <w:rPr>
          <w:sz w:val="20"/>
          <w:szCs w:val="20"/>
          <w:color w:val="auto"/>
        </w:rPr>
      </w:pPr>
    </w:p>
    <w:p>
      <w:pPr>
        <w:ind w:left="960"/>
        <w:spacing w:after="0"/>
        <w:tabs>
          <w:tab w:leader="none" w:pos="200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4"/>
          <w:szCs w:val="14"/>
          <w:color w:val="auto"/>
        </w:rPr>
        <w:t>Amendments.</w:t>
      </w:r>
    </w:p>
    <w:p>
      <w:pPr>
        <w:spacing w:after="0" w:line="175" w:lineRule="exact"/>
        <w:rPr>
          <w:sz w:val="20"/>
          <w:szCs w:val="20"/>
          <w:color w:val="auto"/>
        </w:rPr>
      </w:pPr>
    </w:p>
    <w:p>
      <w:pPr>
        <w:ind w:right="3439" w:firstLine="1401"/>
        <w:spacing w:after="0" w:line="265" w:lineRule="auto"/>
        <w:tabs>
          <w:tab w:leader="none" w:pos="1763"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definition of Applicable Eurodollar Rate Margin in Section 1.1 of the Parent Facility and Section 1.1 of the Subsidiary Facility</w:t>
      </w:r>
    </w:p>
    <w:p>
      <w:pPr>
        <w:sectPr>
          <w:pgSz w:w="11900" w:h="16838" w:orient="portrait"/>
          <w:cols w:equalWidth="0" w:num="1">
            <w:col w:w="10219"/>
          </w:cols>
          <w:pgMar w:left="240" w:top="622" w:right="1440" w:bottom="1440" w:gutter="0" w:footer="0" w:header="0"/>
        </w:sectPr>
      </w:pPr>
    </w:p>
    <w:bookmarkStart w:id="272" w:name="page273"/>
    <w:bookmarkEnd w:id="272"/>
    <w:p>
      <w:pPr>
        <w:ind w:right="3359"/>
        <w:spacing w:after="0" w:line="235" w:lineRule="auto"/>
        <w:rPr>
          <w:sz w:val="20"/>
          <w:szCs w:val="20"/>
          <w:color w:val="auto"/>
        </w:rPr>
      </w:pPr>
      <w:r>
        <w:rPr>
          <w:rFonts w:ascii="Courier New" w:cs="Courier New" w:eastAsia="Courier New" w:hAnsi="Courier New"/>
          <w:sz w:val="15"/>
          <w:szCs w:val="15"/>
          <w:color w:val="auto"/>
        </w:rPr>
        <w:t>are hereby amended by deleting the tables appearing therein and replacing them in each case with the following table:</w:t>
      </w:r>
    </w:p>
    <w:p>
      <w:pPr>
        <w:spacing w:after="0" w:line="340" w:lineRule="exact"/>
        <w:rPr>
          <w:sz w:val="20"/>
          <w:szCs w:val="20"/>
          <w:color w:val="auto"/>
        </w:rPr>
      </w:pPr>
    </w:p>
    <w:tbl>
      <w:tblPr>
        <w:tblLayout w:type="fixed"/>
        <w:tblInd w:w="1400" w:type="dxa"/>
        <w:tblCellMar>
          <w:top w:w="0" w:type="dxa"/>
          <w:left w:w="0" w:type="dxa"/>
          <w:bottom w:w="0" w:type="dxa"/>
          <w:right w:w="0" w:type="dxa"/>
        </w:tblCellMar>
      </w:tblP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CREDIT RATING</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w w:val="96"/>
              </w:rPr>
              <w:t>MARGIN</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1580" w:type="dxa"/>
            <w:vAlign w:val="bottom"/>
          </w:tcPr>
          <w:p>
            <w:pPr>
              <w:spacing w:after="0"/>
              <w:rPr>
                <w:sz w:val="20"/>
                <w:szCs w:val="20"/>
                <w:color w:val="auto"/>
              </w:rPr>
            </w:pPr>
            <w:r>
              <w:rPr>
                <w:rFonts w:ascii="Courier New" w:cs="Courier New" w:eastAsia="Courier New" w:hAnsi="Courier New"/>
                <w:sz w:val="15"/>
                <w:szCs w:val="15"/>
                <w:color w:val="auto"/>
              </w:rPr>
              <w:t>A-/A3 or better</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w w:val="96"/>
              </w:rPr>
              <w:t>0.300%</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BBB+/Baa1</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w w:val="96"/>
              </w:rPr>
              <w:t>0.375%</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BBB/Baa2</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w w:val="96"/>
              </w:rPr>
              <w:t>0.450%</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BBB-/Baa3</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w w:val="96"/>
              </w:rPr>
              <w:t>0.500%</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BB+/Ba1</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w w:val="96"/>
              </w:rPr>
              <w:t>0.750%</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BB/Ba2</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w w:val="96"/>
              </w:rPr>
              <w:t>0.875%</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BB-/Ba3 or lower</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w w:val="96"/>
              </w:rPr>
              <w:t>1.250%</w:t>
            </w:r>
          </w:p>
        </w:tc>
      </w:tr>
    </w:tbl>
    <w:p>
      <w:pPr>
        <w:spacing w:after="0" w:line="344" w:lineRule="exact"/>
        <w:rPr>
          <w:sz w:val="20"/>
          <w:szCs w:val="20"/>
          <w:color w:val="auto"/>
        </w:rPr>
      </w:pPr>
    </w:p>
    <w:p>
      <w:pPr>
        <w:ind w:right="3179" w:firstLine="1401"/>
        <w:spacing w:after="0" w:line="237" w:lineRule="auto"/>
        <w:tabs>
          <w:tab w:leader="none" w:pos="1763"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5.4 (a) of the Parent Facility and Section 3.4(a) of the Subsidiary Facility are hereby amended by deleting the tables appearing therein and replacing them in each case with the following table:</w:t>
      </w:r>
    </w:p>
    <w:p>
      <w:pPr>
        <w:spacing w:after="0" w:line="169" w:lineRule="exact"/>
        <w:rPr>
          <w:sz w:val="20"/>
          <w:szCs w:val="20"/>
          <w:color w:val="auto"/>
        </w:rPr>
      </w:pPr>
    </w:p>
    <w:tbl>
      <w:tblPr>
        <w:tblLayout w:type="fixed"/>
        <w:tblInd w:w="1400" w:type="dxa"/>
        <w:tblCellMar>
          <w:top w:w="0" w:type="dxa"/>
          <w:left w:w="0" w:type="dxa"/>
          <w:bottom w:w="0" w:type="dxa"/>
          <w:right w:w="0" w:type="dxa"/>
        </w:tblCellMar>
      </w:tblP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CREDIT RATING</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w w:val="96"/>
              </w:rPr>
              <w:t>COMMITMENT FEE</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1580" w:type="dxa"/>
            <w:vAlign w:val="bottom"/>
          </w:tcPr>
          <w:p>
            <w:pPr>
              <w:spacing w:after="0"/>
              <w:rPr>
                <w:sz w:val="20"/>
                <w:szCs w:val="20"/>
                <w:color w:val="auto"/>
              </w:rPr>
            </w:pPr>
            <w:r>
              <w:rPr>
                <w:rFonts w:ascii="Courier New" w:cs="Courier New" w:eastAsia="Courier New" w:hAnsi="Courier New"/>
                <w:sz w:val="15"/>
                <w:szCs w:val="15"/>
                <w:color w:val="auto"/>
              </w:rPr>
              <w:t>A-/A3 or better</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0.1250%</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BBB+/Baa1</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0.1500%</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BBB/Baa2</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0.1875%</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BBB-/Baa3</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0.2000%</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BB+/Ba1</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0.3125%</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BB/Ba2</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0.3500%</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BB-/Ba3 or lower</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0.4000%</w:t>
            </w:r>
          </w:p>
        </w:tc>
      </w:tr>
    </w:tbl>
    <w:p>
      <w:pPr>
        <w:spacing w:after="0" w:line="344" w:lineRule="exact"/>
        <w:rPr>
          <w:sz w:val="20"/>
          <w:szCs w:val="20"/>
          <w:color w:val="auto"/>
        </w:rPr>
      </w:pPr>
    </w:p>
    <w:p>
      <w:pPr>
        <w:ind w:right="3359" w:firstLine="970"/>
        <w:spacing w:after="0" w:line="237" w:lineRule="auto"/>
        <w:rPr>
          <w:sz w:val="20"/>
          <w:szCs w:val="20"/>
          <w:color w:val="auto"/>
        </w:rPr>
      </w:pPr>
      <w:r>
        <w:rPr>
          <w:rFonts w:ascii="Courier New" w:cs="Courier New" w:eastAsia="Courier New" w:hAnsi="Courier New"/>
          <w:sz w:val="15"/>
          <w:szCs w:val="15"/>
          <w:color w:val="auto"/>
        </w:rPr>
        <w:t>SECTION 2. Effectiveness. This Amendment will be effective upon the execution hereof by each of Viacom, each Subsidiary Borrower, VII and VII Services and each of the Banks.</w:t>
      </w:r>
    </w:p>
    <w:p>
      <w:pPr>
        <w:spacing w:after="0" w:line="175" w:lineRule="exact"/>
        <w:rPr>
          <w:sz w:val="20"/>
          <w:szCs w:val="20"/>
          <w:color w:val="auto"/>
        </w:rPr>
      </w:pPr>
    </w:p>
    <w:p>
      <w:pPr>
        <w:ind w:right="3179" w:firstLine="970"/>
        <w:spacing w:after="0" w:line="237" w:lineRule="auto"/>
        <w:rPr>
          <w:sz w:val="20"/>
          <w:szCs w:val="20"/>
          <w:color w:val="auto"/>
        </w:rPr>
      </w:pPr>
      <w:r>
        <w:rPr>
          <w:rFonts w:ascii="Courier New" w:cs="Courier New" w:eastAsia="Courier New" w:hAnsi="Courier New"/>
          <w:sz w:val="15"/>
          <w:szCs w:val="15"/>
          <w:color w:val="auto"/>
        </w:rPr>
        <w:t>SECTION 3. Representations and Warranties. Each of Viacom, the Subsidiary Borrowers and the Guarantor Subsidiary hereby represents and warrants that as of the date hereof, both before and after giving effect to this Amendment no Default or Event of Default shall exist or be continuing under the Parent Facility or the Subsidiary Facility.</w:t>
      </w:r>
    </w:p>
    <w:p>
      <w:pPr>
        <w:spacing w:after="0" w:line="173" w:lineRule="exact"/>
        <w:rPr>
          <w:sz w:val="20"/>
          <w:szCs w:val="20"/>
          <w:color w:val="auto"/>
        </w:rPr>
      </w:pPr>
    </w:p>
    <w:p>
      <w:pPr>
        <w:jc w:val="right"/>
        <w:ind w:right="3179"/>
        <w:spacing w:after="0"/>
        <w:tabs>
          <w:tab w:leader="none" w:pos="3680" w:val="left"/>
          <w:tab w:leader="none" w:pos="3240" w:val="left"/>
        </w:tabs>
        <w:rPr>
          <w:sz w:val="20"/>
          <w:szCs w:val="20"/>
          <w:color w:val="auto"/>
        </w:rPr>
      </w:pPr>
      <w:r>
        <w:rPr>
          <w:rFonts w:ascii="Courier New" w:cs="Courier New" w:eastAsia="Courier New" w:hAnsi="Courier New"/>
          <w:sz w:val="15"/>
          <w:szCs w:val="15"/>
          <w:color w:val="auto"/>
        </w:rPr>
        <w:t>SECTION 4. Miscellaneous.</w:t>
        <w:tab/>
        <w:t>(a)</w:t>
      </w:r>
      <w:r>
        <w:rPr>
          <w:sz w:val="20"/>
          <w:szCs w:val="20"/>
          <w:color w:val="auto"/>
        </w:rPr>
        <w:tab/>
      </w:r>
      <w:r>
        <w:rPr>
          <w:rFonts w:ascii="Courier New" w:cs="Courier New" w:eastAsia="Courier New" w:hAnsi="Courier New"/>
          <w:sz w:val="14"/>
          <w:szCs w:val="14"/>
          <w:color w:val="auto"/>
        </w:rPr>
        <w:t>Capitalized terms used herein and not</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7" w:right="1440" w:bottom="1440" w:gutter="0" w:footer="0" w:header="0"/>
        </w:sectPr>
      </w:pPr>
    </w:p>
    <w:bookmarkStart w:id="273" w:name="page274"/>
    <w:bookmarkEnd w:id="273"/>
    <w:p>
      <w:pPr>
        <w:ind w:right="3179"/>
        <w:spacing w:after="0" w:line="235" w:lineRule="auto"/>
        <w:rPr>
          <w:sz w:val="20"/>
          <w:szCs w:val="20"/>
          <w:color w:val="auto"/>
        </w:rPr>
      </w:pPr>
      <w:r>
        <w:rPr>
          <w:rFonts w:ascii="Courier New" w:cs="Courier New" w:eastAsia="Courier New" w:hAnsi="Courier New"/>
          <w:sz w:val="15"/>
          <w:szCs w:val="15"/>
          <w:color w:val="auto"/>
        </w:rPr>
        <w:t>otherwise defined herein shall have the meanings ascribed to them in each of the Parent Facility and the Subsidiary Facility.</w:t>
      </w:r>
    </w:p>
    <w:p>
      <w:pPr>
        <w:spacing w:after="0" w:line="176" w:lineRule="exact"/>
        <w:rPr>
          <w:sz w:val="20"/>
          <w:szCs w:val="20"/>
          <w:color w:val="auto"/>
        </w:rPr>
      </w:pPr>
    </w:p>
    <w:p>
      <w:pPr>
        <w:jc w:val="both"/>
        <w:ind w:right="3439" w:firstLine="1401"/>
        <w:spacing w:after="0" w:line="237" w:lineRule="auto"/>
        <w:tabs>
          <w:tab w:leader="none" w:pos="1763"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amended hereby, all of the terms of each of the Parent Facility and the Subsidiary Facility shall remain and continue in full force and effect and are hereby confirmed in all respects.</w:t>
      </w:r>
    </w:p>
    <w:p>
      <w:pPr>
        <w:spacing w:after="0" w:line="174" w:lineRule="exact"/>
        <w:rPr>
          <w:rFonts w:ascii="Courier New" w:cs="Courier New" w:eastAsia="Courier New" w:hAnsi="Courier New"/>
          <w:sz w:val="15"/>
          <w:szCs w:val="15"/>
          <w:color w:val="auto"/>
        </w:rPr>
      </w:pPr>
    </w:p>
    <w:p>
      <w:pPr>
        <w:ind w:right="3259" w:firstLine="1401"/>
        <w:spacing w:after="0" w:line="235" w:lineRule="auto"/>
        <w:tabs>
          <w:tab w:leader="none" w:pos="1763"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shall be a Loan Document for the purposes of the Parent Facility and the Subsidiary Facility.</w:t>
      </w:r>
    </w:p>
    <w:p>
      <w:pPr>
        <w:spacing w:after="0" w:line="175" w:lineRule="exact"/>
        <w:rPr>
          <w:rFonts w:ascii="Courier New" w:cs="Courier New" w:eastAsia="Courier New" w:hAnsi="Courier New"/>
          <w:sz w:val="15"/>
          <w:szCs w:val="15"/>
          <w:color w:val="auto"/>
        </w:rPr>
      </w:pPr>
    </w:p>
    <w:p>
      <w:pPr>
        <w:ind w:right="3179" w:firstLine="1401"/>
        <w:spacing w:after="0" w:line="237" w:lineRule="auto"/>
        <w:tabs>
          <w:tab w:leader="none" w:pos="1763"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may be signed in any number of counterparts, each of which shall be an original, with the same effect as if the signatures thereto were upon the same instrument. Delivery of an executed counterpart of a signature page of this Amendment by telecopier shall be effective as delivery of a manually executed counterpart of this Amendment.</w:t>
      </w:r>
    </w:p>
    <w:p>
      <w:pPr>
        <w:spacing w:after="0" w:line="178" w:lineRule="exact"/>
        <w:rPr>
          <w:rFonts w:ascii="Courier New" w:cs="Courier New" w:eastAsia="Courier New" w:hAnsi="Courier New"/>
          <w:sz w:val="15"/>
          <w:szCs w:val="15"/>
          <w:color w:val="auto"/>
        </w:rPr>
      </w:pPr>
    </w:p>
    <w:p>
      <w:pPr>
        <w:ind w:right="3179" w:firstLine="1401"/>
        <w:spacing w:after="0" w:line="237" w:lineRule="auto"/>
        <w:tabs>
          <w:tab w:leader="none" w:pos="1763"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AND THE RIGHTS AND OBLIGATIONS OF THE PARTIES HERETO SHALL BE GOVERNED BY, AND CONSTRUED IN ACCORDANCE WITH, THE LAWS OF THE STATE OF NEW YORK.</w:t>
      </w:r>
    </w:p>
    <w:p>
      <w:pPr>
        <w:spacing w:after="0" w:line="175" w:lineRule="exact"/>
        <w:rPr>
          <w:sz w:val="20"/>
          <w:szCs w:val="20"/>
          <w:color w:val="auto"/>
        </w:rPr>
      </w:pPr>
    </w:p>
    <w:p>
      <w:pPr>
        <w:jc w:val="both"/>
        <w:ind w:right="3359" w:firstLine="970"/>
        <w:spacing w:after="0" w:line="260" w:lineRule="auto"/>
        <w:rPr>
          <w:sz w:val="20"/>
          <w:szCs w:val="20"/>
          <w:color w:val="auto"/>
        </w:rPr>
      </w:pPr>
      <w:r>
        <w:rPr>
          <w:rFonts w:ascii="Courier New" w:cs="Courier New" w:eastAsia="Courier New" w:hAnsi="Courier New"/>
          <w:sz w:val="14"/>
          <w:szCs w:val="14"/>
          <w:color w:val="auto"/>
        </w:rPr>
        <w:t>SECTION 5. Guarantor Subsidiary Confirmation. By signing below, the Guarantor Subsidiary hereby agrees to the terms of the foregoing Amendment and confirms that the VII Guarantee remains in full force and effect.</w:t>
      </w:r>
    </w:p>
    <w:p>
      <w:pPr>
        <w:spacing w:after="0" w:line="163" w:lineRule="exact"/>
        <w:rPr>
          <w:sz w:val="20"/>
          <w:szCs w:val="20"/>
          <w:color w:val="auto"/>
        </w:rPr>
      </w:pPr>
    </w:p>
    <w:p>
      <w:pPr>
        <w:ind w:right="3359" w:firstLine="970"/>
        <w:spacing w:after="0" w:line="237" w:lineRule="auto"/>
        <w:rPr>
          <w:sz w:val="20"/>
          <w:szCs w:val="20"/>
          <w:color w:val="auto"/>
        </w:rPr>
      </w:pPr>
      <w:r>
        <w:rPr>
          <w:rFonts w:ascii="Courier New" w:cs="Courier New" w:eastAsia="Courier New" w:hAnsi="Courier New"/>
          <w:sz w:val="15"/>
          <w:szCs w:val="15"/>
          <w:color w:val="auto"/>
        </w:rPr>
        <w:t>SECTION 6. Viacom Inc. Confirmation. By signing below, Viacom Inc., as guarantor under the Parent Guaranty ("Parent Guarantor"), hereby agrees to the terms of the foregoing Amendment and confirms that the Parent Guaranty remains in full force and effect.</w:t>
      </w:r>
    </w:p>
    <w:p>
      <w:pPr>
        <w:spacing w:after="0" w:line="176" w:lineRule="exact"/>
        <w:rPr>
          <w:sz w:val="20"/>
          <w:szCs w:val="20"/>
          <w:color w:val="auto"/>
        </w:rPr>
      </w:pPr>
    </w:p>
    <w:p>
      <w:pPr>
        <w:ind w:right="3259" w:firstLine="970"/>
        <w:spacing w:after="0" w:line="235" w:lineRule="auto"/>
        <w:rPr>
          <w:sz w:val="20"/>
          <w:szCs w:val="20"/>
          <w:color w:val="auto"/>
        </w:rPr>
      </w:pPr>
      <w:r>
        <w:rPr>
          <w:rFonts w:ascii="Courier New" w:cs="Courier New" w:eastAsia="Courier New" w:hAnsi="Courier New"/>
          <w:sz w:val="15"/>
          <w:szCs w:val="15"/>
          <w:color w:val="auto"/>
        </w:rPr>
        <w:t>IN WITNESS WHEREOF, the parties hereto have caused this Amendment to be duly executed as of the date first above written.</w:t>
      </w:r>
    </w:p>
    <w:p>
      <w:pPr>
        <w:spacing w:after="0" w:line="170"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VIACOM INC., as Borrower and Parent Guarantor</w:t>
      </w:r>
    </w:p>
    <w:p>
      <w:pPr>
        <w:spacing w:after="0" w:line="33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 /s/ Vaughn A. Clarke</w:t>
      </w:r>
    </w:p>
    <w:p>
      <w:pPr>
        <w:ind w:left="2540"/>
        <w:spacing w:after="0"/>
        <w:rPr>
          <w:sz w:val="20"/>
          <w:szCs w:val="20"/>
          <w:color w:val="auto"/>
        </w:rPr>
      </w:pPr>
      <w:r>
        <w:rPr>
          <w:rFonts w:ascii="Courier New" w:cs="Courier New" w:eastAsia="Courier New" w:hAnsi="Courier New"/>
          <w:sz w:val="15"/>
          <w:szCs w:val="15"/>
          <w:color w:val="auto"/>
        </w:rPr>
        <w:t>--------------------------------</w:t>
      </w:r>
    </w:p>
    <w:p>
      <w:pPr>
        <w:ind w:left="2540"/>
        <w:spacing w:after="0"/>
        <w:rPr>
          <w:sz w:val="20"/>
          <w:szCs w:val="20"/>
          <w:color w:val="auto"/>
        </w:rPr>
      </w:pPr>
      <w:r>
        <w:rPr>
          <w:rFonts w:ascii="Courier New" w:cs="Courier New" w:eastAsia="Courier New" w:hAnsi="Courier New"/>
          <w:sz w:val="15"/>
          <w:szCs w:val="15"/>
          <w:color w:val="auto"/>
        </w:rPr>
        <w:t>Name: Vaughn A. Clarke</w:t>
      </w:r>
    </w:p>
    <w:p>
      <w:pPr>
        <w:ind w:left="254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8" w:right="1440" w:bottom="1440" w:gutter="0" w:footer="0" w:header="0"/>
        </w:sectPr>
      </w:pPr>
    </w:p>
    <w:bookmarkStart w:id="274" w:name="page275"/>
    <w:bookmarkEnd w:id="274"/>
    <w:p>
      <w:pPr>
        <w:ind w:left="1080"/>
        <w:spacing w:after="0"/>
        <w:rPr>
          <w:sz w:val="20"/>
          <w:szCs w:val="20"/>
          <w:color w:val="auto"/>
        </w:rPr>
      </w:pPr>
      <w:r>
        <w:rPr>
          <w:rFonts w:ascii="Courier New" w:cs="Courier New" w:eastAsia="Courier New" w:hAnsi="Courier New"/>
          <w:sz w:val="15"/>
          <w:szCs w:val="15"/>
          <w:color w:val="auto"/>
        </w:rPr>
        <w:t>VIACOM INTERNATIONAL INC., as a Subsidiary</w:t>
      </w:r>
    </w:p>
    <w:p>
      <w:pPr>
        <w:ind w:left="1080"/>
        <w:spacing w:after="0"/>
        <w:rPr>
          <w:sz w:val="20"/>
          <w:szCs w:val="20"/>
          <w:color w:val="auto"/>
        </w:rPr>
      </w:pPr>
      <w:r>
        <w:rPr>
          <w:rFonts w:ascii="Courier New" w:cs="Courier New" w:eastAsia="Courier New" w:hAnsi="Courier New"/>
          <w:sz w:val="15"/>
          <w:szCs w:val="15"/>
          <w:color w:val="auto"/>
        </w:rPr>
        <w:t>Borrower and as a Guarantor Subsidiary</w:t>
      </w:r>
    </w:p>
    <w:p>
      <w:pPr>
        <w:spacing w:after="0" w:line="33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 /s/ Vaughn A. Clarke</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rPr>
          <w:sz w:val="20"/>
          <w:szCs w:val="20"/>
          <w:color w:val="auto"/>
        </w:rPr>
      </w:pPr>
      <w:r>
        <w:rPr>
          <w:rFonts w:ascii="Courier New" w:cs="Courier New" w:eastAsia="Courier New" w:hAnsi="Courier New"/>
          <w:sz w:val="15"/>
          <w:szCs w:val="15"/>
          <w:color w:val="auto"/>
        </w:rPr>
        <w:t>Name: Vaughn A. Clarke</w:t>
      </w:r>
    </w:p>
    <w:p>
      <w:pPr>
        <w:ind w:left="134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175"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On behalf of the following Subsidiary Borrowers:</w:t>
      </w:r>
    </w:p>
    <w:p>
      <w:pPr>
        <w:spacing w:after="0" w:line="17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VIACOM CABLEVISION OF DAYTON INC.,</w:t>
      </w:r>
    </w:p>
    <w:p>
      <w:pPr>
        <w:spacing w:after="0" w:line="16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WNYT INC.,</w:t>
      </w:r>
    </w:p>
    <w:p>
      <w:pPr>
        <w:spacing w:after="0" w:line="16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WMZQ INC. and</w:t>
      </w:r>
    </w:p>
    <w:p>
      <w:pPr>
        <w:spacing w:after="0" w:line="16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WVIT INC.,</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Vaughn A. Clarke</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Vaughn A. Clarke</w:t>
      </w:r>
    </w:p>
    <w:p>
      <w:pPr>
        <w:ind w:left="134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16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VIACOM INTERNATIONAL SERVICES INC.</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Vaughn A. Clarke</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Vaughn A. Clarke</w:t>
      </w:r>
    </w:p>
    <w:p>
      <w:pPr>
        <w:ind w:left="134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CREDIT SUISSE</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 Hamilton Crawford</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rPr>
          <w:sz w:val="20"/>
          <w:szCs w:val="20"/>
          <w:color w:val="auto"/>
        </w:rPr>
      </w:pPr>
      <w:r>
        <w:rPr>
          <w:rFonts w:ascii="Courier New" w:cs="Courier New" w:eastAsia="Courier New" w:hAnsi="Courier New"/>
          <w:sz w:val="15"/>
          <w:szCs w:val="15"/>
          <w:color w:val="auto"/>
        </w:rPr>
        <w:t>Name: J. Hamilton Crawford</w:t>
      </w:r>
    </w:p>
    <w:p>
      <w:pPr>
        <w:ind w:left="1340"/>
        <w:spacing w:after="0" w:line="238" w:lineRule="auto"/>
        <w:rPr>
          <w:sz w:val="20"/>
          <w:szCs w:val="20"/>
          <w:color w:val="auto"/>
        </w:rPr>
      </w:pPr>
      <w:r>
        <w:rPr>
          <w:rFonts w:ascii="Courier New" w:cs="Courier New" w:eastAsia="Courier New" w:hAnsi="Courier New"/>
          <w:sz w:val="15"/>
          <w:szCs w:val="15"/>
          <w:color w:val="auto"/>
        </w:rPr>
        <w:t>Title: Associate</w:t>
      </w:r>
    </w:p>
    <w:p>
      <w:pPr>
        <w:spacing w:after="0" w:line="33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019"/>
          </w:cols>
          <w:pgMar w:left="1440" w:top="622" w:right="1440" w:bottom="1440" w:gutter="0" w:footer="0" w:header="0"/>
        </w:sectPr>
      </w:pPr>
    </w:p>
    <w:bookmarkStart w:id="275" w:name="page276"/>
    <w:bookmarkEnd w:id="275"/>
    <w:p>
      <w:pPr>
        <w:ind w:left="1080"/>
        <w:spacing w:after="0"/>
        <w:rPr>
          <w:sz w:val="20"/>
          <w:szCs w:val="20"/>
          <w:color w:val="auto"/>
        </w:rPr>
      </w:pPr>
      <w:r>
        <w:rPr>
          <w:rFonts w:ascii="Courier New" w:cs="Courier New" w:eastAsia="Courier New" w:hAnsi="Courier New"/>
          <w:sz w:val="15"/>
          <w:szCs w:val="15"/>
          <w:color w:val="auto"/>
        </w:rPr>
        <w:t>SOCIETE GENERALE</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Elaine I. Khalil</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Elaine I. Khalil</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BANK OF NEW YORK</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Geoffrey C. Brooks</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Name: Geoffrey C. Brooks</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THE BANK OF TOKYO TRUST COMPANY</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John P. Judge</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John P. Judge</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13"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FIRST INTERSTATE BANK OF WASHINGTON</w:t>
      </w:r>
    </w:p>
    <w:p>
      <w:pPr>
        <w:spacing w:after="0" w:line="344"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Susan Hendrixson</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Susan Hendrixson</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019"/>
          </w:cols>
          <w:pgMar w:left="1440" w:top="792" w:right="1440" w:bottom="1440" w:gutter="0" w:footer="0" w:header="0"/>
        </w:sectPr>
      </w:pPr>
    </w:p>
    <w:bookmarkStart w:id="276" w:name="page277"/>
    <w:bookmarkEnd w:id="276"/>
    <w:p>
      <w:pPr>
        <w:ind w:left="1080"/>
        <w:spacing w:after="0"/>
        <w:rPr>
          <w:sz w:val="20"/>
          <w:szCs w:val="20"/>
          <w:color w:val="auto"/>
        </w:rPr>
      </w:pPr>
      <w:r>
        <w:rPr>
          <w:rFonts w:ascii="Courier New" w:cs="Courier New" w:eastAsia="Courier New" w:hAnsi="Courier New"/>
          <w:sz w:val="15"/>
          <w:szCs w:val="15"/>
          <w:color w:val="auto"/>
        </w:rPr>
        <w:t>UNION BANK OF SWITZERLAND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Stephen A. Cayer</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Stephen A. Cayer</w:t>
      </w:r>
    </w:p>
    <w:p>
      <w:pPr>
        <w:ind w:left="1340"/>
        <w:spacing w:after="0"/>
        <w:rPr>
          <w:sz w:val="20"/>
          <w:szCs w:val="20"/>
          <w:color w:val="auto"/>
        </w:rPr>
      </w:pPr>
      <w:r>
        <w:rPr>
          <w:rFonts w:ascii="Courier New" w:cs="Courier New" w:eastAsia="Courier New" w:hAnsi="Courier New"/>
          <w:sz w:val="15"/>
          <w:szCs w:val="15"/>
          <w:color w:val="auto"/>
        </w:rPr>
        <w:t>Title: Assistant Treasurer</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Peter B. Yearly</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Peter B. Yearly</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13"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THE YASUDA TRUST &amp; BANKING CO., LTD</w:t>
      </w:r>
    </w:p>
    <w:p>
      <w:pPr>
        <w:spacing w:after="0" w:line="344"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Gerald Gill</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Gerald Gill</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33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BAYERISCHE VEREINSBANK AG</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John Carlson</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John Carlson</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33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Name:</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LLOYDS BANK, PLC</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Paul D. Brianente</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Name: Paul D. Brianente</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33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Theodore R. Walser</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Name: Theodore R. Walser</w:t>
      </w:r>
    </w:p>
    <w:p>
      <w:pPr>
        <w:ind w:left="1260"/>
        <w:spacing w:after="0"/>
        <w:rPr>
          <w:sz w:val="20"/>
          <w:szCs w:val="20"/>
          <w:color w:val="auto"/>
        </w:rPr>
      </w:pPr>
      <w:r>
        <w:rPr>
          <w:rFonts w:ascii="Courier New" w:cs="Courier New" w:eastAsia="Courier New" w:hAnsi="Courier New"/>
          <w:sz w:val="15"/>
          <w:szCs w:val="15"/>
          <w:color w:val="auto"/>
        </w:rPr>
        <w:t>Title: Senior Vice President</w:t>
      </w:r>
    </w:p>
    <w:p>
      <w:pPr>
        <w:spacing w:after="0" w:line="33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019"/>
          </w:cols>
          <w:pgMar w:left="1440" w:top="792" w:right="1440" w:bottom="1440" w:gutter="0" w:footer="0" w:header="0"/>
        </w:sectPr>
      </w:pPr>
    </w:p>
    <w:bookmarkStart w:id="277" w:name="page278"/>
    <w:bookmarkEnd w:id="277"/>
    <w:p>
      <w:pPr>
        <w:ind w:left="1080"/>
        <w:spacing w:after="0"/>
        <w:rPr>
          <w:sz w:val="20"/>
          <w:szCs w:val="20"/>
          <w:color w:val="auto"/>
        </w:rPr>
      </w:pPr>
      <w:r>
        <w:rPr>
          <w:rFonts w:ascii="Courier New" w:cs="Courier New" w:eastAsia="Courier New" w:hAnsi="Courier New"/>
          <w:sz w:val="15"/>
          <w:szCs w:val="15"/>
          <w:color w:val="auto"/>
        </w:rPr>
        <w:t>MITSUBISHI BANK,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Paula Mueller</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Paula Mueller</w:t>
      </w:r>
    </w:p>
    <w:p>
      <w:pPr>
        <w:ind w:left="1340"/>
        <w:spacing w:after="0" w:line="238" w:lineRule="auto"/>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14"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THE MITSUBISHI TRUST AND BANKING CORPORATION</w:t>
      </w:r>
    </w:p>
    <w:p>
      <w:pPr>
        <w:spacing w:after="0" w:line="344"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Patricia Loret De Mola</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rPr>
          <w:sz w:val="20"/>
          <w:szCs w:val="20"/>
          <w:color w:val="auto"/>
        </w:rPr>
      </w:pPr>
      <w:r>
        <w:rPr>
          <w:rFonts w:ascii="Courier New" w:cs="Courier New" w:eastAsia="Courier New" w:hAnsi="Courier New"/>
          <w:sz w:val="15"/>
          <w:szCs w:val="15"/>
          <w:color w:val="auto"/>
        </w:rPr>
        <w:t>Name: Patricia Loret De Mola</w:t>
      </w:r>
    </w:p>
    <w:p>
      <w:pPr>
        <w:ind w:left="134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NATWEST BANK, N.A.</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Michael A. Cerullo</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rPr>
          <w:sz w:val="20"/>
          <w:szCs w:val="20"/>
          <w:color w:val="auto"/>
        </w:rPr>
      </w:pPr>
      <w:r>
        <w:rPr>
          <w:rFonts w:ascii="Courier New" w:cs="Courier New" w:eastAsia="Courier New" w:hAnsi="Courier New"/>
          <w:sz w:val="15"/>
          <w:szCs w:val="15"/>
          <w:color w:val="auto"/>
        </w:rPr>
        <w:t>Name: Michael A. Cerullo</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PNC BANK, NATIONAL ASSOCIATION</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Karen M. Wolters</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Karen M. Wolters</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SUMITOMO TRUST AND BANKING CO.,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Suraj P. Bhatia</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rPr>
          <w:sz w:val="20"/>
          <w:szCs w:val="20"/>
          <w:color w:val="auto"/>
        </w:rPr>
      </w:pPr>
      <w:r>
        <w:rPr>
          <w:rFonts w:ascii="Courier New" w:cs="Courier New" w:eastAsia="Courier New" w:hAnsi="Courier New"/>
          <w:sz w:val="15"/>
          <w:szCs w:val="15"/>
          <w:color w:val="auto"/>
        </w:rPr>
        <w:t>Name: Suraj P. Bhatia</w:t>
      </w:r>
    </w:p>
    <w:p>
      <w:pPr>
        <w:ind w:left="1340"/>
        <w:spacing w:after="0" w:line="238" w:lineRule="auto"/>
        <w:rPr>
          <w:sz w:val="20"/>
          <w:szCs w:val="20"/>
          <w:color w:val="auto"/>
        </w:rPr>
      </w:pPr>
      <w:r>
        <w:rPr>
          <w:rFonts w:ascii="Courier New" w:cs="Courier New" w:eastAsia="Courier New" w:hAnsi="Courier New"/>
          <w:sz w:val="15"/>
          <w:szCs w:val="15"/>
          <w:color w:val="auto"/>
        </w:rPr>
        <w:t>Title: Senior VP, Mgr. Corp.</w:t>
      </w:r>
    </w:p>
    <w:p>
      <w:pPr>
        <w:ind w:left="1960"/>
        <w:spacing w:after="0"/>
        <w:rPr>
          <w:sz w:val="20"/>
          <w:szCs w:val="20"/>
          <w:color w:val="auto"/>
        </w:rPr>
      </w:pPr>
      <w:r>
        <w:rPr>
          <w:rFonts w:ascii="Courier New" w:cs="Courier New" w:eastAsia="Courier New" w:hAnsi="Courier New"/>
          <w:sz w:val="15"/>
          <w:szCs w:val="15"/>
          <w:color w:val="auto"/>
        </w:rPr>
        <w:t>Finance Dept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019"/>
          </w:cols>
          <w:pgMar w:left="1440" w:top="791" w:right="1440" w:bottom="1440" w:gutter="0" w:footer="0" w:header="0"/>
        </w:sectPr>
      </w:pPr>
    </w:p>
    <w:bookmarkStart w:id="278" w:name="page279"/>
    <w:bookmarkEnd w:id="278"/>
    <w:p>
      <w:pPr>
        <w:ind w:left="1080"/>
        <w:spacing w:after="0"/>
        <w:rPr>
          <w:sz w:val="20"/>
          <w:szCs w:val="20"/>
          <w:color w:val="auto"/>
        </w:rPr>
      </w:pPr>
      <w:r>
        <w:rPr>
          <w:rFonts w:ascii="Courier New" w:cs="Courier New" w:eastAsia="Courier New" w:hAnsi="Courier New"/>
          <w:sz w:val="15"/>
          <w:szCs w:val="15"/>
          <w:color w:val="auto"/>
        </w:rPr>
        <w:t>THE SUMITOMO BANK,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S. Higashi</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rPr>
          <w:sz w:val="20"/>
          <w:szCs w:val="20"/>
          <w:color w:val="auto"/>
        </w:rPr>
      </w:pPr>
      <w:r>
        <w:rPr>
          <w:rFonts w:ascii="Courier New" w:cs="Courier New" w:eastAsia="Courier New" w:hAnsi="Courier New"/>
          <w:sz w:val="15"/>
          <w:szCs w:val="15"/>
          <w:color w:val="auto"/>
        </w:rPr>
        <w:t>Name: S. Higashi</w:t>
      </w:r>
    </w:p>
    <w:p>
      <w:pPr>
        <w:ind w:left="1340"/>
        <w:spacing w:after="0" w:line="238" w:lineRule="auto"/>
        <w:rPr>
          <w:sz w:val="20"/>
          <w:szCs w:val="20"/>
          <w:color w:val="auto"/>
        </w:rPr>
      </w:pPr>
      <w:r>
        <w:rPr>
          <w:rFonts w:ascii="Courier New" w:cs="Courier New" w:eastAsia="Courier New" w:hAnsi="Courier New"/>
          <w:sz w:val="15"/>
          <w:szCs w:val="15"/>
          <w:color w:val="auto"/>
        </w:rPr>
        <w:t>Title: Joint General Manager</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CORESTATES BANK, N.A.</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Edward L. Kittrell</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rPr>
          <w:sz w:val="20"/>
          <w:szCs w:val="20"/>
          <w:color w:val="auto"/>
        </w:rPr>
      </w:pPr>
      <w:r>
        <w:rPr>
          <w:rFonts w:ascii="Courier New" w:cs="Courier New" w:eastAsia="Courier New" w:hAnsi="Courier New"/>
          <w:sz w:val="15"/>
          <w:szCs w:val="15"/>
          <w:color w:val="auto"/>
        </w:rPr>
        <w:t>Name: Edward L. Kittrell</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14"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BANQUE FRANCAISE DU COMMERCE EXTERIEUR</w:t>
      </w:r>
    </w:p>
    <w:p>
      <w:pPr>
        <w:spacing w:after="0" w:line="344"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Peter Karl Harris</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rPr>
          <w:sz w:val="20"/>
          <w:szCs w:val="20"/>
          <w:color w:val="auto"/>
        </w:rPr>
      </w:pPr>
      <w:r>
        <w:rPr>
          <w:rFonts w:ascii="Courier New" w:cs="Courier New" w:eastAsia="Courier New" w:hAnsi="Courier New"/>
          <w:sz w:val="15"/>
          <w:szCs w:val="15"/>
          <w:color w:val="auto"/>
        </w:rPr>
        <w:t>Name: Peter Karl Harris</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William C. Maier</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William C. Maier</w:t>
      </w:r>
    </w:p>
    <w:p>
      <w:pPr>
        <w:ind w:left="1340"/>
        <w:spacing w:after="0" w:line="238" w:lineRule="auto"/>
        <w:rPr>
          <w:sz w:val="20"/>
          <w:szCs w:val="20"/>
          <w:color w:val="auto"/>
        </w:rPr>
      </w:pPr>
      <w:r>
        <w:rPr>
          <w:rFonts w:ascii="Courier New" w:cs="Courier New" w:eastAsia="Courier New" w:hAnsi="Courier New"/>
          <w:sz w:val="15"/>
          <w:szCs w:val="15"/>
          <w:color w:val="auto"/>
        </w:rPr>
        <w:t>Title: VP-Group Manager</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NIPPON CREDIT BANK,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Bernardo E. Correa-Henschke</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rPr>
          <w:sz w:val="20"/>
          <w:szCs w:val="20"/>
          <w:color w:val="auto"/>
        </w:rPr>
      </w:pPr>
      <w:r>
        <w:rPr>
          <w:rFonts w:ascii="Courier New" w:cs="Courier New" w:eastAsia="Courier New" w:hAnsi="Courier New"/>
          <w:sz w:val="15"/>
          <w:szCs w:val="15"/>
          <w:color w:val="auto"/>
        </w:rPr>
        <w:t>Name: Bernardo E. Correa-Henschke</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 &amp; Manager</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SAKURA BANK,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Hiroshi Shimazaki</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rPr>
          <w:sz w:val="20"/>
          <w:szCs w:val="20"/>
          <w:color w:val="auto"/>
        </w:rPr>
      </w:pPr>
      <w:r>
        <w:rPr>
          <w:rFonts w:ascii="Courier New" w:cs="Courier New" w:eastAsia="Courier New" w:hAnsi="Courier New"/>
          <w:sz w:val="15"/>
          <w:szCs w:val="15"/>
          <w:color w:val="auto"/>
        </w:rPr>
        <w:t>Name: Hiroshi Shimazaki</w:t>
      </w:r>
    </w:p>
    <w:p>
      <w:pPr>
        <w:ind w:left="134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5" w:lineRule="exact"/>
        <w:rPr>
          <w:sz w:val="20"/>
          <w:szCs w:val="20"/>
          <w:color w:val="auto"/>
        </w:rPr>
      </w:pPr>
    </w:p>
    <w:p>
      <w:pPr>
        <w:ind w:left="2220" w:right="6259" w:hanging="256"/>
        <w:spacing w:after="0" w:line="778" w:lineRule="auto"/>
        <w:tabs>
          <w:tab w:leader="none" w:pos="2132"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Manager 8</w:t>
      </w:r>
    </w:p>
    <w:p>
      <w:pPr>
        <w:sectPr>
          <w:pgSz w:w="11900" w:h="16838" w:orient="portrait"/>
          <w:cols w:equalWidth="0" w:num="1">
            <w:col w:w="9019"/>
          </w:cols>
          <w:pgMar w:left="1440" w:top="792" w:right="1440" w:bottom="1440" w:gutter="0" w:footer="0" w:header="0"/>
        </w:sectPr>
      </w:pPr>
    </w:p>
    <w:bookmarkStart w:id="279" w:name="page280"/>
    <w:bookmarkEnd w:id="279"/>
    <w:p>
      <w:pPr>
        <w:ind w:left="1080"/>
        <w:spacing w:after="0"/>
        <w:rPr>
          <w:sz w:val="20"/>
          <w:szCs w:val="20"/>
          <w:color w:val="auto"/>
        </w:rPr>
      </w:pPr>
      <w:r>
        <w:rPr>
          <w:rFonts w:ascii="Courier New" w:cs="Courier New" w:eastAsia="Courier New" w:hAnsi="Courier New"/>
          <w:sz w:val="15"/>
          <w:szCs w:val="15"/>
          <w:color w:val="auto"/>
        </w:rPr>
        <w:t>DEN DANSKE BANK</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Mogens Sondergaard</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Name: Mogens Sondergaard</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33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Bent V. Christensen</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Name: Bent V. Christensen</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ROYAL BANK OF CANADA</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Cynthia K. Wong</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Cynthia K. Wong</w:t>
      </w:r>
    </w:p>
    <w:p>
      <w:pPr>
        <w:ind w:left="1340"/>
        <w:spacing w:after="0"/>
        <w:rPr>
          <w:sz w:val="20"/>
          <w:szCs w:val="20"/>
          <w:color w:val="auto"/>
        </w:rPr>
      </w:pPr>
      <w:r>
        <w:rPr>
          <w:rFonts w:ascii="Courier New" w:cs="Courier New" w:eastAsia="Courier New" w:hAnsi="Courier New"/>
          <w:sz w:val="15"/>
          <w:szCs w:val="15"/>
          <w:color w:val="auto"/>
        </w:rPr>
        <w:t>Title: Manager</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SANWA BANK,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 /s/ Dominic J. Sorresso</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Name: Dominic J. Sorresso</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TOKAI BANK,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Stuart Schulman</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Stuart Schulman</w:t>
      </w:r>
    </w:p>
    <w:p>
      <w:pPr>
        <w:ind w:left="1340"/>
        <w:spacing w:after="0"/>
        <w:rPr>
          <w:sz w:val="20"/>
          <w:szCs w:val="20"/>
          <w:color w:val="auto"/>
        </w:rPr>
      </w:pPr>
      <w:r>
        <w:rPr>
          <w:rFonts w:ascii="Courier New" w:cs="Courier New" w:eastAsia="Courier New" w:hAnsi="Courier New"/>
          <w:sz w:val="15"/>
          <w:szCs w:val="15"/>
          <w:color w:val="auto"/>
        </w:rPr>
        <w:t>Title: Senior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CHEMICAL BANK</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John J. Huber III</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Name: John J. Huber III</w:t>
      </w:r>
    </w:p>
    <w:p>
      <w:pPr>
        <w:ind w:left="1340"/>
        <w:spacing w:after="0"/>
        <w:rPr>
          <w:sz w:val="20"/>
          <w:szCs w:val="20"/>
          <w:color w:val="auto"/>
        </w:rPr>
      </w:pPr>
      <w:r>
        <w:rPr>
          <w:rFonts w:ascii="Courier New" w:cs="Courier New" w:eastAsia="Courier New" w:hAnsi="Courier New"/>
          <w:sz w:val="15"/>
          <w:szCs w:val="15"/>
          <w:color w:val="auto"/>
        </w:rPr>
        <w:t>Title: Managing Director</w:t>
      </w:r>
    </w:p>
    <w:p>
      <w:pPr>
        <w:spacing w:after="0" w:line="33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019"/>
          </w:cols>
          <w:pgMar w:left="1440" w:top="792" w:right="1440" w:bottom="1440" w:gutter="0" w:footer="0" w:header="0"/>
        </w:sectPr>
      </w:pPr>
    </w:p>
    <w:bookmarkStart w:id="280" w:name="page281"/>
    <w:bookmarkEnd w:id="280"/>
    <w:p>
      <w:pPr>
        <w:ind w:left="1080"/>
        <w:spacing w:after="0"/>
        <w:rPr>
          <w:sz w:val="20"/>
          <w:szCs w:val="20"/>
          <w:color w:val="auto"/>
        </w:rPr>
      </w:pPr>
      <w:r>
        <w:rPr>
          <w:rFonts w:ascii="Courier New" w:cs="Courier New" w:eastAsia="Courier New" w:hAnsi="Courier New"/>
          <w:sz w:val="15"/>
          <w:szCs w:val="15"/>
          <w:color w:val="auto"/>
        </w:rPr>
        <w:t>THE DAI-CHI KANGYO BANK,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Ronald Wolinsky</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Ronald Wolinsky</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 &amp; Group Leader</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FIRST HAWAIIAN BANK</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William B. Schink</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rPr>
          <w:sz w:val="20"/>
          <w:szCs w:val="20"/>
          <w:color w:val="auto"/>
        </w:rPr>
      </w:pPr>
      <w:r>
        <w:rPr>
          <w:rFonts w:ascii="Courier New" w:cs="Courier New" w:eastAsia="Courier New" w:hAnsi="Courier New"/>
          <w:sz w:val="15"/>
          <w:szCs w:val="15"/>
          <w:color w:val="auto"/>
        </w:rPr>
        <w:t>Name: William B. Schink</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14"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MORGAN GUARANTY TRUST COMPANY OF NEW YORK</w:t>
      </w:r>
    </w:p>
    <w:p>
      <w:pPr>
        <w:spacing w:after="0" w:line="344"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R. BLake Witherington</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rPr>
          <w:sz w:val="20"/>
          <w:szCs w:val="20"/>
          <w:color w:val="auto"/>
        </w:rPr>
      </w:pPr>
      <w:r>
        <w:rPr>
          <w:rFonts w:ascii="Courier New" w:cs="Courier New" w:eastAsia="Courier New" w:hAnsi="Courier New"/>
          <w:sz w:val="15"/>
          <w:szCs w:val="15"/>
          <w:color w:val="auto"/>
        </w:rPr>
        <w:t>Name: R. BLake Witherington</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CITIBANK, N.A.</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Margaret C. Ullrich</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rPr>
          <w:sz w:val="20"/>
          <w:szCs w:val="20"/>
          <w:color w:val="auto"/>
        </w:rPr>
      </w:pPr>
      <w:r>
        <w:rPr>
          <w:rFonts w:ascii="Courier New" w:cs="Courier New" w:eastAsia="Courier New" w:hAnsi="Courier New"/>
          <w:sz w:val="15"/>
          <w:szCs w:val="15"/>
          <w:color w:val="auto"/>
        </w:rPr>
        <w:t>Name: Margaret C. Ullrich</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RIGGS NATIONAL BANK</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David H. Olson</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David H. Olson</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019"/>
          </w:cols>
          <w:pgMar w:left="1440" w:top="792" w:right="1440" w:bottom="1440" w:gutter="0" w:footer="0" w:header="0"/>
        </w:sectPr>
      </w:pPr>
    </w:p>
    <w:bookmarkStart w:id="281" w:name="page282"/>
    <w:bookmarkEnd w:id="281"/>
    <w:p>
      <w:pPr>
        <w:ind w:left="1080"/>
        <w:spacing w:after="0"/>
        <w:rPr>
          <w:sz w:val="20"/>
          <w:szCs w:val="20"/>
          <w:color w:val="auto"/>
        </w:rPr>
      </w:pPr>
      <w:r>
        <w:rPr>
          <w:rFonts w:ascii="Courier New" w:cs="Courier New" w:eastAsia="Courier New" w:hAnsi="Courier New"/>
          <w:sz w:val="15"/>
          <w:szCs w:val="15"/>
          <w:color w:val="auto"/>
        </w:rPr>
        <w:t>FIRST UNION NATIONAL BANK OF NORTH CAROLINA</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Jim P. Wedman</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Jim P. Wedman</w:t>
      </w:r>
    </w:p>
    <w:p>
      <w:pPr>
        <w:ind w:left="134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MELLON BANK, N.A.</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 /s/ G. Luis Ashley</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G. Luis Ashley</w:t>
      </w:r>
    </w:p>
    <w:p>
      <w:pPr>
        <w:ind w:left="1340"/>
        <w:spacing w:after="0" w:line="238" w:lineRule="auto"/>
        <w:rPr>
          <w:sz w:val="20"/>
          <w:szCs w:val="20"/>
          <w:color w:val="auto"/>
        </w:rPr>
      </w:pPr>
      <w:r>
        <w:rPr>
          <w:rFonts w:ascii="Courier New" w:cs="Courier New" w:eastAsia="Courier New" w:hAnsi="Courier New"/>
          <w:sz w:val="15"/>
          <w:szCs w:val="15"/>
          <w:color w:val="auto"/>
        </w:rPr>
        <w:t>Title: First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COMPAGNIE FINANCIERE DE CIC ET DE L'UNION</w:t>
      </w:r>
    </w:p>
    <w:p>
      <w:pPr>
        <w:ind w:left="1080"/>
        <w:spacing w:after="0"/>
        <w:rPr>
          <w:sz w:val="20"/>
          <w:szCs w:val="20"/>
          <w:color w:val="auto"/>
        </w:rPr>
      </w:pPr>
      <w:r>
        <w:rPr>
          <w:rFonts w:ascii="Courier New" w:cs="Courier New" w:eastAsia="Courier New" w:hAnsi="Courier New"/>
          <w:sz w:val="15"/>
          <w:szCs w:val="15"/>
          <w:color w:val="auto"/>
        </w:rPr>
        <w:t>EUROPENNE</w:t>
      </w:r>
    </w:p>
    <w:p>
      <w:pPr>
        <w:spacing w:after="0" w:line="33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Brian O'Leary</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Brian O'Leary</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Marcus Edward</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Marcus Edward</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14"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VAN KAMPEN AMERICAN CAPITAL PRIME RATE INCOME</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TRUST</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Jeffrey W. Maillet</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rPr>
          <w:sz w:val="20"/>
          <w:szCs w:val="20"/>
          <w:color w:val="auto"/>
        </w:rPr>
      </w:pPr>
      <w:r>
        <w:rPr>
          <w:rFonts w:ascii="Courier New" w:cs="Courier New" w:eastAsia="Courier New" w:hAnsi="Courier New"/>
          <w:sz w:val="15"/>
          <w:szCs w:val="15"/>
          <w:color w:val="auto"/>
        </w:rPr>
        <w:t>Name: Jeffrey W. Maillet</w:t>
      </w:r>
    </w:p>
    <w:p>
      <w:pPr>
        <w:ind w:left="1340"/>
        <w:spacing w:after="0" w:line="238" w:lineRule="auto"/>
        <w:rPr>
          <w:sz w:val="20"/>
          <w:szCs w:val="20"/>
          <w:color w:val="auto"/>
        </w:rPr>
      </w:pPr>
      <w:r>
        <w:rPr>
          <w:rFonts w:ascii="Courier New" w:cs="Courier New" w:eastAsia="Courier New" w:hAnsi="Courier New"/>
          <w:sz w:val="15"/>
          <w:szCs w:val="15"/>
          <w:color w:val="auto"/>
        </w:rPr>
        <w:t>Title: Sr. Vice Pres.</w:t>
      </w:r>
    </w:p>
    <w:p>
      <w:pPr>
        <w:spacing w:after="0" w:line="5" w:lineRule="exact"/>
        <w:rPr>
          <w:sz w:val="20"/>
          <w:szCs w:val="20"/>
          <w:color w:val="auto"/>
        </w:rPr>
      </w:pPr>
    </w:p>
    <w:p>
      <w:pPr>
        <w:ind w:left="2220" w:right="5639" w:hanging="256"/>
        <w:spacing w:after="0" w:line="710" w:lineRule="auto"/>
        <w:tabs>
          <w:tab w:leader="none" w:pos="2132"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Portfolio Mgr. 11</w:t>
      </w:r>
    </w:p>
    <w:p>
      <w:pPr>
        <w:sectPr>
          <w:pgSz w:w="11900" w:h="16838" w:orient="portrait"/>
          <w:cols w:equalWidth="0" w:num="1">
            <w:col w:w="9019"/>
          </w:cols>
          <w:pgMar w:left="1440" w:top="791" w:right="1440" w:bottom="1440" w:gutter="0" w:footer="0" w:header="0"/>
        </w:sectPr>
      </w:pPr>
    </w:p>
    <w:bookmarkStart w:id="282" w:name="page283"/>
    <w:bookmarkEnd w:id="282"/>
    <w:p>
      <w:pPr>
        <w:ind w:left="1080"/>
        <w:spacing w:after="0"/>
        <w:rPr>
          <w:sz w:val="20"/>
          <w:szCs w:val="20"/>
          <w:color w:val="auto"/>
        </w:rPr>
      </w:pPr>
      <w:r>
        <w:rPr>
          <w:rFonts w:ascii="Courier New" w:cs="Courier New" w:eastAsia="Courier New" w:hAnsi="Courier New"/>
          <w:sz w:val="15"/>
          <w:szCs w:val="15"/>
          <w:color w:val="auto"/>
        </w:rPr>
        <w:t>CIBC, INC.</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John Tyler</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John Tyler</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BANK OF NOVA SCOTIA</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Vincent Fitzgerald, Jr.</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rPr>
          <w:sz w:val="20"/>
          <w:szCs w:val="20"/>
          <w:color w:val="auto"/>
        </w:rPr>
      </w:pPr>
      <w:r>
        <w:rPr>
          <w:rFonts w:ascii="Courier New" w:cs="Courier New" w:eastAsia="Courier New" w:hAnsi="Courier New"/>
          <w:sz w:val="15"/>
          <w:szCs w:val="15"/>
          <w:color w:val="auto"/>
        </w:rPr>
        <w:t>Name: Vincent Fitzgerald, Jr.</w:t>
      </w:r>
    </w:p>
    <w:p>
      <w:pPr>
        <w:ind w:left="1340"/>
        <w:spacing w:after="0" w:line="238" w:lineRule="auto"/>
        <w:rPr>
          <w:sz w:val="20"/>
          <w:szCs w:val="20"/>
          <w:color w:val="auto"/>
        </w:rPr>
      </w:pPr>
      <w:r>
        <w:rPr>
          <w:rFonts w:ascii="Courier New" w:cs="Courier New" w:eastAsia="Courier New" w:hAnsi="Courier New"/>
          <w:sz w:val="15"/>
          <w:szCs w:val="15"/>
          <w:color w:val="auto"/>
        </w:rPr>
        <w:t>Title: Authorized Signatory</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FUJI BANK,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Katsunori Nozawa</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Katsunori Nozawa</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 &amp; Manager</w:t>
      </w:r>
    </w:p>
    <w:p>
      <w:pPr>
        <w:spacing w:after="0" w:line="200" w:lineRule="exact"/>
        <w:rPr>
          <w:sz w:val="20"/>
          <w:szCs w:val="20"/>
          <w:color w:val="auto"/>
        </w:rPr>
      </w:pPr>
    </w:p>
    <w:p>
      <w:pPr>
        <w:spacing w:after="0" w:line="314"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THE LONG-TERM CREDIT BANK OF JAPAN, LTD.</w:t>
      </w:r>
    </w:p>
    <w:p>
      <w:pPr>
        <w:spacing w:after="0" w:line="344"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John A. Krob</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John A. Krob</w:t>
      </w:r>
    </w:p>
    <w:p>
      <w:pPr>
        <w:ind w:left="1340"/>
        <w:spacing w:after="0" w:line="238" w:lineRule="auto"/>
        <w:rPr>
          <w:sz w:val="20"/>
          <w:szCs w:val="20"/>
          <w:color w:val="auto"/>
        </w:rPr>
      </w:pPr>
      <w:r>
        <w:rPr>
          <w:rFonts w:ascii="Courier New" w:cs="Courier New" w:eastAsia="Courier New" w:hAnsi="Courier New"/>
          <w:sz w:val="15"/>
          <w:szCs w:val="15"/>
          <w:color w:val="auto"/>
        </w:rPr>
        <w:t>Title: Deputy General Manager</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BANQUE NATIONALE DE PARIS</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John S. McGill</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John S. McGill</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Nancy L. Stengel</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Nancy L. Stengel</w:t>
      </w:r>
    </w:p>
    <w:p>
      <w:pPr>
        <w:ind w:left="1340"/>
        <w:spacing w:after="0" w:line="238" w:lineRule="auto"/>
        <w:rPr>
          <w:sz w:val="20"/>
          <w:szCs w:val="20"/>
          <w:color w:val="auto"/>
        </w:rPr>
      </w:pPr>
      <w:r>
        <w:rPr>
          <w:rFonts w:ascii="Courier New" w:cs="Courier New" w:eastAsia="Courier New" w:hAnsi="Courier New"/>
          <w:sz w:val="15"/>
          <w:szCs w:val="15"/>
          <w:color w:val="auto"/>
        </w:rPr>
        <w:t>Title: Assistant Treasurer</w:t>
      </w:r>
    </w:p>
    <w:p>
      <w:pPr>
        <w:spacing w:after="0" w:line="33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019"/>
          </w:cols>
          <w:pgMar w:left="1440" w:top="792" w:right="1440" w:bottom="1440" w:gutter="0" w:footer="0" w:header="0"/>
        </w:sectPr>
      </w:pPr>
    </w:p>
    <w:bookmarkStart w:id="283" w:name="page284"/>
    <w:bookmarkEnd w:id="283"/>
    <w:p>
      <w:pPr>
        <w:ind w:left="1080"/>
        <w:spacing w:after="0"/>
        <w:rPr>
          <w:sz w:val="20"/>
          <w:szCs w:val="20"/>
          <w:color w:val="auto"/>
        </w:rPr>
      </w:pPr>
      <w:r>
        <w:rPr>
          <w:rFonts w:ascii="Courier New" w:cs="Courier New" w:eastAsia="Courier New" w:hAnsi="Courier New"/>
          <w:sz w:val="15"/>
          <w:szCs w:val="15"/>
          <w:color w:val="auto"/>
        </w:rPr>
        <w:t>BANK OF HAWAII</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 Bryan Scearce</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J. Bryan Scearce</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BANK OF AMERICA</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Amy S. Trapp</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Amy S. Trapp</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NATIONSBANK OF TEXAS, N.A.</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Chad E. Coben</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Chad E. Coben</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DEUTSCHE BANK</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Steven M. Godeke</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Steven M. Godele</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33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Bina R. Dabbah</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Bina R. Dabbah</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UNION BANK</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Gabriel A. Renga</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Gabriel A. Renga</w:t>
      </w:r>
    </w:p>
    <w:p>
      <w:pPr>
        <w:ind w:left="1340"/>
        <w:spacing w:after="0"/>
        <w:rPr>
          <w:sz w:val="20"/>
          <w:szCs w:val="20"/>
          <w:color w:val="auto"/>
        </w:rPr>
      </w:pPr>
      <w:r>
        <w:rPr>
          <w:rFonts w:ascii="Courier New" w:cs="Courier New" w:eastAsia="Courier New" w:hAnsi="Courier New"/>
          <w:sz w:val="15"/>
          <w:szCs w:val="15"/>
          <w:color w:val="auto"/>
        </w:rPr>
        <w:t>Title: Senior Vice President</w:t>
      </w:r>
    </w:p>
    <w:p>
      <w:pPr>
        <w:spacing w:after="0" w:line="33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019"/>
          </w:cols>
          <w:pgMar w:left="1440" w:top="791" w:right="1440" w:bottom="1440" w:gutter="0" w:footer="0" w:header="0"/>
        </w:sectPr>
      </w:pPr>
    </w:p>
    <w:bookmarkStart w:id="284" w:name="page285"/>
    <w:bookmarkEnd w:id="284"/>
    <w:p>
      <w:pPr>
        <w:ind w:left="1080"/>
        <w:spacing w:after="0"/>
        <w:rPr>
          <w:sz w:val="20"/>
          <w:szCs w:val="20"/>
          <w:color w:val="auto"/>
        </w:rPr>
      </w:pPr>
      <w:r>
        <w:rPr>
          <w:rFonts w:ascii="Courier New" w:cs="Courier New" w:eastAsia="Courier New" w:hAnsi="Courier New"/>
          <w:sz w:val="15"/>
          <w:szCs w:val="15"/>
          <w:color w:val="auto"/>
        </w:rPr>
        <w:t>THE TORONTO DOMINION BANK</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Neva Nesbitt</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Neva Nesbitt</w:t>
      </w:r>
    </w:p>
    <w:p>
      <w:pPr>
        <w:spacing w:after="0" w:line="4"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Title: Manager, Credit Administration</w:t>
      </w:r>
    </w:p>
    <w:p>
      <w:pPr>
        <w:spacing w:after="0" w:line="344"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Cindy D. Hewitt</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Cindy D. Hewitt</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FLEET NATIONAL BANK OF CONNECTICUT</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Stephen Charles</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Stephen Charles</w:t>
      </w:r>
    </w:p>
    <w:p>
      <w:pPr>
        <w:ind w:left="134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BARCLAYS BANK PLC</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James K. Downy</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James K. Downy</w:t>
      </w:r>
    </w:p>
    <w:p>
      <w:pPr>
        <w:ind w:left="1340"/>
        <w:spacing w:after="0" w:line="238" w:lineRule="auto"/>
        <w:rPr>
          <w:sz w:val="20"/>
          <w:szCs w:val="20"/>
          <w:color w:val="auto"/>
        </w:rPr>
      </w:pPr>
      <w:r>
        <w:rPr>
          <w:rFonts w:ascii="Courier New" w:cs="Courier New" w:eastAsia="Courier New" w:hAnsi="Courier New"/>
          <w:sz w:val="15"/>
          <w:szCs w:val="15"/>
          <w:color w:val="auto"/>
        </w:rPr>
        <w:t>Title: Associate Director</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BANK BRUSSELS LAMBERT</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Dominick H. J. Vangaever</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rPr>
          <w:sz w:val="20"/>
          <w:szCs w:val="20"/>
          <w:color w:val="auto"/>
        </w:rPr>
      </w:pPr>
      <w:r>
        <w:rPr>
          <w:rFonts w:ascii="Courier New" w:cs="Courier New" w:eastAsia="Courier New" w:hAnsi="Courier New"/>
          <w:sz w:val="15"/>
          <w:szCs w:val="15"/>
          <w:color w:val="auto"/>
        </w:rPr>
        <w:t>Name: Dominick H. J. Vangaever</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BANK OF MONTREAL</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Yvonne Bos</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Yvonne Bos</w:t>
      </w:r>
    </w:p>
    <w:p>
      <w:pPr>
        <w:ind w:left="1340"/>
        <w:spacing w:after="0" w:line="238" w:lineRule="auto"/>
        <w:rPr>
          <w:sz w:val="20"/>
          <w:szCs w:val="20"/>
          <w:color w:val="auto"/>
        </w:rPr>
      </w:pPr>
      <w:r>
        <w:rPr>
          <w:rFonts w:ascii="Courier New" w:cs="Courier New" w:eastAsia="Courier New" w:hAnsi="Courier New"/>
          <w:sz w:val="15"/>
          <w:szCs w:val="15"/>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019"/>
          </w:cols>
          <w:pgMar w:left="1440" w:top="791" w:right="1440" w:bottom="1440" w:gutter="0" w:footer="0" w:header="0"/>
        </w:sectPr>
      </w:pPr>
    </w:p>
    <w:bookmarkStart w:id="285" w:name="page286"/>
    <w:bookmarkEnd w:id="285"/>
    <w:p>
      <w:pPr>
        <w:ind w:left="1080"/>
        <w:spacing w:after="0"/>
        <w:rPr>
          <w:sz w:val="20"/>
          <w:szCs w:val="20"/>
          <w:color w:val="auto"/>
        </w:rPr>
      </w:pPr>
      <w:r>
        <w:rPr>
          <w:rFonts w:ascii="Courier New" w:cs="Courier New" w:eastAsia="Courier New" w:hAnsi="Courier New"/>
          <w:sz w:val="15"/>
          <w:szCs w:val="15"/>
          <w:color w:val="auto"/>
        </w:rPr>
        <w:t>CREDIT LYONNAIS</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James E. Morris</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James E. Morris</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019"/>
          </w:cols>
          <w:pgMar w:left="1440" w:top="622" w:right="1440" w:bottom="1440" w:gutter="0" w:footer="0" w:header="0"/>
        </w:sectPr>
      </w:pPr>
    </w:p>
    <w:bookmarkStart w:id="286" w:name="page287"/>
    <w:bookmarkEnd w:id="286"/>
    <w:p>
      <w:pPr>
        <w:ind w:left="2900"/>
        <w:spacing w:after="0"/>
        <w:rPr>
          <w:sz w:val="20"/>
          <w:szCs w:val="20"/>
          <w:color w:val="auto"/>
        </w:rPr>
      </w:pPr>
      <w:r>
        <w:rPr>
          <w:rFonts w:ascii="Courier New" w:cs="Courier New" w:eastAsia="Courier New" w:hAnsi="Courier New"/>
          <w:sz w:val="15"/>
          <w:szCs w:val="15"/>
          <w:color w:val="auto"/>
        </w:rPr>
        <w:t>AMENDMENT NO. 1</w:t>
      </w:r>
    </w:p>
    <w:p>
      <w:pPr>
        <w:spacing w:after="0" w:line="175" w:lineRule="exact"/>
        <w:rPr>
          <w:sz w:val="20"/>
          <w:szCs w:val="20"/>
          <w:color w:val="auto"/>
        </w:rPr>
      </w:pPr>
    </w:p>
    <w:p>
      <w:pPr>
        <w:ind w:right="3179" w:firstLine="970"/>
        <w:spacing w:after="0" w:line="238" w:lineRule="auto"/>
        <w:rPr>
          <w:sz w:val="20"/>
          <w:szCs w:val="20"/>
          <w:color w:val="auto"/>
        </w:rPr>
      </w:pPr>
      <w:r>
        <w:rPr>
          <w:rFonts w:ascii="Courier New" w:cs="Courier New" w:eastAsia="Courier New" w:hAnsi="Courier New"/>
          <w:sz w:val="15"/>
          <w:szCs w:val="15"/>
          <w:color w:val="auto"/>
        </w:rPr>
        <w:t>AMENDMENT NO. 1, dated as of May 15, 1995 ("Amendment No. 1"), to the $1.8 BILLION CREDIT AGREEMENT, dated as of September 29, 1994 (the "Credit Agreement"), among VIACOM INC., a Delaware corporation ("Viacom"), each of the several Banks, THE BANK OF NEW YORK, as a Managing Agent and as the Documentation Agent, CITIBANK, N.A., as a Managing Agent and as the Administrative Agent, MORGAN GUARANTY TRUST COMPANY OF NEW YORK, as a Managing Agent, JP MORGAN SECURITIES INC., as the Syndication Agent, BANK OF AMERICA NT&amp;SA, as a Managing Agent, and the Banks identified as Agents on the signature pages thereof, as Agents.</w:t>
      </w:r>
    </w:p>
    <w:p>
      <w:pPr>
        <w:spacing w:after="0" w:line="17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 I T N E S S E T H:</w:t>
      </w:r>
    </w:p>
    <w:p>
      <w:pPr>
        <w:spacing w:after="0" w:line="175" w:lineRule="exact"/>
        <w:rPr>
          <w:sz w:val="20"/>
          <w:szCs w:val="20"/>
          <w:color w:val="auto"/>
        </w:rPr>
      </w:pPr>
    </w:p>
    <w:p>
      <w:pPr>
        <w:ind w:right="3799" w:firstLine="970"/>
        <w:spacing w:after="0" w:line="235" w:lineRule="auto"/>
        <w:rPr>
          <w:sz w:val="20"/>
          <w:szCs w:val="20"/>
          <w:color w:val="auto"/>
        </w:rPr>
      </w:pPr>
      <w:r>
        <w:rPr>
          <w:rFonts w:ascii="Courier New" w:cs="Courier New" w:eastAsia="Courier New" w:hAnsi="Courier New"/>
          <w:sz w:val="15"/>
          <w:szCs w:val="15"/>
          <w:color w:val="auto"/>
        </w:rPr>
        <w:t>WHEREAS, Viacom has requested certain amendments to be made to certain provisions of the Credit Agreement; and</w:t>
      </w:r>
    </w:p>
    <w:p>
      <w:pPr>
        <w:spacing w:after="0" w:line="176" w:lineRule="exact"/>
        <w:rPr>
          <w:sz w:val="20"/>
          <w:szCs w:val="20"/>
          <w:color w:val="auto"/>
        </w:rPr>
      </w:pPr>
    </w:p>
    <w:p>
      <w:pPr>
        <w:ind w:right="3619" w:firstLine="970"/>
        <w:spacing w:after="0" w:line="235" w:lineRule="auto"/>
        <w:rPr>
          <w:sz w:val="20"/>
          <w:szCs w:val="20"/>
          <w:color w:val="auto"/>
        </w:rPr>
      </w:pPr>
      <w:r>
        <w:rPr>
          <w:rFonts w:ascii="Courier New" w:cs="Courier New" w:eastAsia="Courier New" w:hAnsi="Courier New"/>
          <w:sz w:val="15"/>
          <w:szCs w:val="15"/>
          <w:color w:val="auto"/>
        </w:rPr>
        <w:t>WHEREAS, the parties who have heretofore entered into the Credit Agreement now desire to amend such provisions of such agreement.</w:t>
      </w:r>
    </w:p>
    <w:p>
      <w:pPr>
        <w:spacing w:after="0" w:line="170"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NOW, THEREFORE, the parties hereto agree as follows:</w:t>
      </w:r>
    </w:p>
    <w:p>
      <w:pPr>
        <w:spacing w:after="0" w:line="344" w:lineRule="exact"/>
        <w:rPr>
          <w:sz w:val="20"/>
          <w:szCs w:val="20"/>
          <w:color w:val="auto"/>
        </w:rPr>
      </w:pPr>
    </w:p>
    <w:p>
      <w:pPr>
        <w:ind w:right="3259" w:firstLine="970"/>
        <w:spacing w:after="0" w:line="235" w:lineRule="auto"/>
        <w:rPr>
          <w:sz w:val="20"/>
          <w:szCs w:val="20"/>
          <w:color w:val="auto"/>
        </w:rPr>
      </w:pPr>
      <w:r>
        <w:rPr>
          <w:rFonts w:ascii="Courier New" w:cs="Courier New" w:eastAsia="Courier New" w:hAnsi="Courier New"/>
          <w:sz w:val="15"/>
          <w:szCs w:val="15"/>
          <w:color w:val="auto"/>
        </w:rPr>
        <w:t>SECTION 1. Amendments. (a) The definition of EBIDT in Section 1.1 of the Credit Agreement is hereby amended by:</w:t>
      </w:r>
    </w:p>
    <w:p>
      <w:pPr>
        <w:spacing w:after="0" w:line="17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(i) deleting clause (a)(ii) in its entirety and replacing it with the</w:t>
      </w:r>
    </w:p>
    <w:p>
      <w:pPr>
        <w:spacing w:after="0"/>
        <w:rPr>
          <w:sz w:val="20"/>
          <w:szCs w:val="20"/>
          <w:color w:val="auto"/>
        </w:rPr>
      </w:pPr>
      <w:r>
        <w:rPr>
          <w:rFonts w:ascii="Courier New" w:cs="Courier New" w:eastAsia="Courier New" w:hAnsi="Courier New"/>
          <w:sz w:val="15"/>
          <w:szCs w:val="15"/>
          <w:color w:val="auto"/>
        </w:rPr>
        <w:t>following:</w:t>
      </w:r>
    </w:p>
    <w:p>
      <w:pPr>
        <w:spacing w:after="0" w:line="174" w:lineRule="exact"/>
        <w:rPr>
          <w:sz w:val="20"/>
          <w:szCs w:val="20"/>
          <w:color w:val="auto"/>
        </w:rPr>
      </w:pPr>
    </w:p>
    <w:p>
      <w:pPr>
        <w:ind w:left="960" w:right="3259" w:firstLine="441"/>
        <w:spacing w:after="0" w:line="237" w:lineRule="auto"/>
        <w:rPr>
          <w:sz w:val="20"/>
          <w:szCs w:val="20"/>
          <w:color w:val="auto"/>
        </w:rPr>
      </w:pPr>
      <w:r>
        <w:rPr>
          <w:rFonts w:ascii="Courier New" w:cs="Courier New" w:eastAsia="Courier New" w:hAnsi="Courier New"/>
          <w:sz w:val="15"/>
          <w:szCs w:val="15"/>
          <w:color w:val="auto"/>
        </w:rPr>
        <w:t>"(ii) amortization expense (including all amortization expenses recognized in accordance with APB 16 and 17 but excluding (A) all other amortization of programming, production and pre-publication costs and (B) amortization of videocassettes)";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w:t>
      </w:r>
    </w:p>
    <w:p>
      <w:pPr>
        <w:spacing w:after="0" w:line="175" w:lineRule="exact"/>
        <w:rPr>
          <w:sz w:val="20"/>
          <w:szCs w:val="20"/>
          <w:color w:val="auto"/>
        </w:rPr>
      </w:pPr>
    </w:p>
    <w:p>
      <w:pPr>
        <w:ind w:right="3259" w:firstLine="960"/>
        <w:spacing w:after="0" w:line="235" w:lineRule="auto"/>
        <w:tabs>
          <w:tab w:leader="none" w:pos="141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deleting the phrase ", less (c) Net Video Tape Purchases" after the word "definition" at the end of clause (b).</w:t>
      </w:r>
    </w:p>
    <w:p>
      <w:pPr>
        <w:spacing w:after="0" w:line="176" w:lineRule="exact"/>
        <w:rPr>
          <w:sz w:val="20"/>
          <w:szCs w:val="20"/>
          <w:color w:val="auto"/>
        </w:rPr>
      </w:pPr>
    </w:p>
    <w:p>
      <w:pPr>
        <w:ind w:right="3359" w:firstLine="960"/>
        <w:spacing w:after="0" w:line="235" w:lineRule="auto"/>
        <w:tabs>
          <w:tab w:leader="none" w:pos="1322"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1.1 of the Credit Agreement is hereby amended to delete the definition of Net Video Tape Purchases.</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61" w:lineRule="exact"/>
        <w:rPr>
          <w:rFonts w:ascii="Courier New" w:cs="Courier New" w:eastAsia="Courier New" w:hAnsi="Courier New"/>
          <w:sz w:val="15"/>
          <w:szCs w:val="15"/>
          <w:color w:val="auto"/>
        </w:rPr>
      </w:pPr>
    </w:p>
    <w:p>
      <w:pPr>
        <w:ind w:right="3259" w:firstLine="960"/>
        <w:spacing w:after="0" w:line="237" w:lineRule="auto"/>
        <w:tabs>
          <w:tab w:leader="none" w:pos="1322"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definition of "Applicable Eurodollar Rate Margin" in Section 1.1 of the Credit Agreement is hereby amended by deleting the proviso in its entirety and replacing it with the following:</w:t>
      </w:r>
    </w:p>
    <w:p>
      <w:pPr>
        <w:spacing w:after="0" w:line="175" w:lineRule="exact"/>
        <w:rPr>
          <w:sz w:val="20"/>
          <w:szCs w:val="20"/>
          <w:color w:val="auto"/>
        </w:rPr>
      </w:pPr>
    </w:p>
    <w:p>
      <w:pPr>
        <w:ind w:left="960" w:right="3259" w:firstLine="441"/>
        <w:spacing w:after="0" w:line="237" w:lineRule="auto"/>
        <w:rPr>
          <w:sz w:val="20"/>
          <w:szCs w:val="20"/>
          <w:color w:val="auto"/>
        </w:rPr>
      </w:pPr>
      <w:r>
        <w:rPr>
          <w:rFonts w:ascii="Courier New" w:cs="Courier New" w:eastAsia="Courier New" w:hAnsi="Courier New"/>
          <w:sz w:val="15"/>
          <w:szCs w:val="15"/>
          <w:color w:val="auto"/>
        </w:rPr>
        <w:t>"provided, however, that if the ratings assigned by S&amp;P and Moody's shall differ, the Credit Rating shall be the rating which is the higher rating".</w:t>
      </w:r>
    </w:p>
    <w:p>
      <w:pPr>
        <w:spacing w:after="0" w:line="175" w:lineRule="exact"/>
        <w:rPr>
          <w:sz w:val="20"/>
          <w:szCs w:val="20"/>
          <w:color w:val="auto"/>
        </w:rPr>
      </w:pPr>
    </w:p>
    <w:p>
      <w:pPr>
        <w:ind w:right="3619" w:firstLine="960"/>
        <w:spacing w:after="0" w:line="265" w:lineRule="auto"/>
        <w:tabs>
          <w:tab w:leader="none" w:pos="1322"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3.4 (a) of the Credit Agreement is hereby amended by deleting the proviso in its entirety and replacing it with the following:</w:t>
      </w:r>
    </w:p>
    <w:p>
      <w:pPr>
        <w:spacing w:after="0" w:line="158" w:lineRule="exact"/>
        <w:rPr>
          <w:sz w:val="20"/>
          <w:szCs w:val="20"/>
          <w:color w:val="auto"/>
        </w:rPr>
      </w:pPr>
    </w:p>
    <w:p>
      <w:pPr>
        <w:ind w:left="960" w:right="3259" w:firstLine="441"/>
        <w:spacing w:after="0" w:line="237" w:lineRule="auto"/>
        <w:rPr>
          <w:sz w:val="20"/>
          <w:szCs w:val="20"/>
          <w:color w:val="auto"/>
        </w:rPr>
      </w:pPr>
      <w:r>
        <w:rPr>
          <w:rFonts w:ascii="Courier New" w:cs="Courier New" w:eastAsia="Courier New" w:hAnsi="Courier New"/>
          <w:sz w:val="15"/>
          <w:szCs w:val="15"/>
          <w:color w:val="auto"/>
        </w:rPr>
        <w:t>"provided, however, that if the ratings assigned by S&amp;P and Moody's shall differ, the Credit Rating shall be the rating which is the higher rating".</w:t>
      </w:r>
    </w:p>
    <w:p>
      <w:pPr>
        <w:spacing w:after="0" w:line="175" w:lineRule="exact"/>
        <w:rPr>
          <w:sz w:val="20"/>
          <w:szCs w:val="20"/>
          <w:color w:val="auto"/>
        </w:rPr>
      </w:pPr>
    </w:p>
    <w:p>
      <w:pPr>
        <w:ind w:right="3979" w:firstLine="960"/>
        <w:spacing w:after="0" w:line="235" w:lineRule="auto"/>
        <w:tabs>
          <w:tab w:leader="none" w:pos="1322"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8.6 of the Credit Agreement is hereby amended by replacing it in its entirety with the following:</w:t>
      </w:r>
    </w:p>
    <w:p>
      <w:pPr>
        <w:spacing w:after="0" w:line="176" w:lineRule="exact"/>
        <w:rPr>
          <w:sz w:val="20"/>
          <w:szCs w:val="20"/>
          <w:color w:val="auto"/>
        </w:rPr>
      </w:pPr>
    </w:p>
    <w:p>
      <w:pPr>
        <w:ind w:left="960" w:right="3179" w:firstLine="441"/>
        <w:spacing w:after="0" w:line="238" w:lineRule="auto"/>
        <w:rPr>
          <w:sz w:val="20"/>
          <w:szCs w:val="20"/>
          <w:color w:val="auto"/>
        </w:rPr>
      </w:pPr>
      <w:r>
        <w:rPr>
          <w:rFonts w:ascii="Courier New" w:cs="Courier New" w:eastAsia="Courier New" w:hAnsi="Courier New"/>
          <w:sz w:val="15"/>
          <w:szCs w:val="15"/>
          <w:color w:val="auto"/>
        </w:rPr>
        <w:t>"8.6.Subsidiary Indebtedness. The Borrower shall not permit any of its Subsidiaries, other than a Guarantor Subsidiary, to incur Indebtedness for borrowed money other than (a) the Subsidiary Loans (as defined in the July Agreements), (b) under existing facilities identified on Schedule 8.6 or any replacement facilities thereto which in the aggregate do not exceed the amounts of the commitments reflected on such Schedule and (c) Indebtedness for borrowed money in the total amount of $25 million for all Subsidiaries other than a Guarantor Subsidiary."</w:t>
      </w:r>
    </w:p>
    <w:p>
      <w:pPr>
        <w:spacing w:after="0" w:line="179" w:lineRule="exact"/>
        <w:rPr>
          <w:sz w:val="20"/>
          <w:szCs w:val="20"/>
          <w:color w:val="auto"/>
        </w:rPr>
      </w:pPr>
    </w:p>
    <w:p>
      <w:pPr>
        <w:ind w:right="3359" w:firstLine="960"/>
        <w:spacing w:after="0" w:line="265" w:lineRule="auto"/>
        <w:tabs>
          <w:tab w:leader="none" w:pos="1322"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8.7 of the Credit Agreement is hereby amended by inserting the following after the words "Commercial Paper" in the parentheses:</w:t>
      </w:r>
    </w:p>
    <w:p>
      <w:pPr>
        <w:spacing w:after="0" w:line="158" w:lineRule="exact"/>
        <w:rPr>
          <w:sz w:val="20"/>
          <w:szCs w:val="20"/>
          <w:color w:val="auto"/>
        </w:rPr>
      </w:pPr>
    </w:p>
    <w:p>
      <w:pPr>
        <w:ind w:left="960" w:right="3359" w:firstLine="441"/>
        <w:spacing w:after="0" w:line="265" w:lineRule="auto"/>
        <w:rPr>
          <w:sz w:val="20"/>
          <w:szCs w:val="20"/>
          <w:color w:val="auto"/>
        </w:rPr>
      </w:pPr>
      <w:r>
        <w:rPr>
          <w:rFonts w:ascii="Courier New" w:cs="Courier New" w:eastAsia="Courier New" w:hAnsi="Courier New"/>
          <w:sz w:val="14"/>
          <w:szCs w:val="14"/>
          <w:color w:val="auto"/>
        </w:rPr>
        <w:t>"and up to $500 million of Indebtedness with maturities of no less than seven years from the date such Indebtedness is incurred".</w:t>
      </w:r>
    </w:p>
    <w:p>
      <w:pPr>
        <w:spacing w:after="0" w:line="328" w:lineRule="exact"/>
        <w:rPr>
          <w:sz w:val="20"/>
          <w:szCs w:val="20"/>
          <w:color w:val="auto"/>
        </w:rPr>
      </w:pPr>
    </w:p>
    <w:p>
      <w:pPr>
        <w:jc w:val="both"/>
        <w:ind w:right="3179" w:firstLine="970"/>
        <w:spacing w:after="0" w:line="260" w:lineRule="auto"/>
        <w:rPr>
          <w:sz w:val="20"/>
          <w:szCs w:val="20"/>
          <w:color w:val="auto"/>
        </w:rPr>
      </w:pPr>
      <w:r>
        <w:rPr>
          <w:rFonts w:ascii="Courier New" w:cs="Courier New" w:eastAsia="Courier New" w:hAnsi="Courier New"/>
          <w:sz w:val="14"/>
          <w:szCs w:val="14"/>
          <w:color w:val="auto"/>
        </w:rPr>
        <w:t>SECTION 2. Effectiveness. This Amendment No. 1 will be effective upon the execution thereof by each of Viacom, the Guarantor Subsidiary and (i) except in the case of the amendments contained in Sections 1(c) and (d) hereof, the</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305" w:right="1440" w:bottom="1440" w:gutter="0" w:footer="0" w:header="0"/>
        </w:sectPr>
      </w:pPr>
    </w:p>
    <w:bookmarkStart w:id="287" w:name="page288"/>
    <w:bookmarkEnd w:id="287"/>
    <w:p>
      <w:pPr>
        <w:spacing w:after="0"/>
        <w:rPr>
          <w:sz w:val="20"/>
          <w:szCs w:val="20"/>
          <w:color w:val="auto"/>
        </w:rPr>
      </w:pPr>
      <w:r>
        <w:rPr>
          <w:rFonts w:ascii="Courier New" w:cs="Courier New" w:eastAsia="Courier New" w:hAnsi="Courier New"/>
          <w:sz w:val="14"/>
          <w:szCs w:val="14"/>
          <w:color w:val="auto"/>
        </w:rPr>
        <w:t>Majority Banks and (ii) in the case of the amendments contained in Sections 1(c)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(d) hereof, each of the Banks.</w:t>
      </w:r>
    </w:p>
    <w:p>
      <w:pPr>
        <w:spacing w:after="0" w:line="344" w:lineRule="exact"/>
        <w:rPr>
          <w:sz w:val="20"/>
          <w:szCs w:val="20"/>
          <w:color w:val="auto"/>
        </w:rPr>
      </w:pPr>
    </w:p>
    <w:p>
      <w:pPr>
        <w:ind w:right="3259" w:firstLine="970"/>
        <w:spacing w:after="0" w:line="259" w:lineRule="auto"/>
        <w:rPr>
          <w:sz w:val="20"/>
          <w:szCs w:val="20"/>
          <w:color w:val="auto"/>
        </w:rPr>
      </w:pPr>
      <w:r>
        <w:rPr>
          <w:rFonts w:ascii="Courier New" w:cs="Courier New" w:eastAsia="Courier New" w:hAnsi="Courier New"/>
          <w:sz w:val="14"/>
          <w:szCs w:val="14"/>
          <w:color w:val="auto"/>
        </w:rPr>
        <w:t>SECTION 3. Representations and Warranties. Each of the Borrower and the Guarantor Subsidiary hereby represents and warrants that as of the date hereof, both before and after giving effect to this Amendment No. 1, no Default or Event of Default shall exist or be continuing under the Credit Agreement.</w:t>
      </w:r>
    </w:p>
    <w:p>
      <w:pPr>
        <w:spacing w:after="0" w:line="332" w:lineRule="exact"/>
        <w:rPr>
          <w:sz w:val="20"/>
          <w:szCs w:val="20"/>
          <w:color w:val="auto"/>
        </w:rPr>
      </w:pPr>
    </w:p>
    <w:p>
      <w:pPr>
        <w:ind w:right="3179" w:firstLine="970"/>
        <w:spacing w:after="0" w:line="237" w:lineRule="auto"/>
        <w:rPr>
          <w:sz w:val="20"/>
          <w:szCs w:val="20"/>
          <w:color w:val="auto"/>
        </w:rPr>
      </w:pPr>
      <w:r>
        <w:rPr>
          <w:rFonts w:ascii="Courier New" w:cs="Courier New" w:eastAsia="Courier New" w:hAnsi="Courier New"/>
          <w:sz w:val="15"/>
          <w:szCs w:val="15"/>
          <w:color w:val="auto"/>
        </w:rPr>
        <w:t>SECTION 4. Miscellaneous. (a) Capitalized terms used herein and not otherwise defined herein shall have the meanings ascribed to them in the Credit Agreement.</w:t>
      </w:r>
    </w:p>
    <w:p>
      <w:pPr>
        <w:spacing w:after="0" w:line="175" w:lineRule="exact"/>
        <w:rPr>
          <w:sz w:val="20"/>
          <w:szCs w:val="20"/>
          <w:color w:val="auto"/>
        </w:rPr>
      </w:pPr>
    </w:p>
    <w:p>
      <w:pPr>
        <w:ind w:right="3619" w:firstLine="960"/>
        <w:spacing w:after="0" w:line="237" w:lineRule="auto"/>
        <w:tabs>
          <w:tab w:leader="none" w:pos="1322"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amended hereby, all of the terms of the Credit Agreement shall remain and continue in full force and effect and are hereby confirmed in all respects.</w:t>
      </w:r>
    </w:p>
    <w:p>
      <w:pPr>
        <w:spacing w:after="0" w:line="174" w:lineRule="exact"/>
        <w:rPr>
          <w:rFonts w:ascii="Courier New" w:cs="Courier New" w:eastAsia="Courier New" w:hAnsi="Courier New"/>
          <w:sz w:val="15"/>
          <w:szCs w:val="15"/>
          <w:color w:val="auto"/>
        </w:rPr>
      </w:pPr>
    </w:p>
    <w:p>
      <w:pPr>
        <w:ind w:right="3179" w:firstLine="960"/>
        <w:spacing w:after="0" w:line="235" w:lineRule="auto"/>
        <w:tabs>
          <w:tab w:leader="none" w:pos="1322"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No. 1 shall be a Loan Document for the purposes of the Credit Agreement.</w:t>
      </w:r>
    </w:p>
    <w:p>
      <w:pPr>
        <w:spacing w:after="0" w:line="175" w:lineRule="exact"/>
        <w:rPr>
          <w:rFonts w:ascii="Courier New" w:cs="Courier New" w:eastAsia="Courier New" w:hAnsi="Courier New"/>
          <w:sz w:val="15"/>
          <w:szCs w:val="15"/>
          <w:color w:val="auto"/>
        </w:rPr>
      </w:pPr>
    </w:p>
    <w:p>
      <w:pPr>
        <w:ind w:right="3179" w:firstLine="960"/>
        <w:spacing w:after="0" w:line="258" w:lineRule="auto"/>
        <w:tabs>
          <w:tab w:leader="none" w:pos="1322"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No. 1 may be signed in any number of counterparts, each of which shall be an original, with the same effect as if the signatures thereto were upon the same instrument. Delivery of an executed counterpart of a signature page of this Amendment No. 1 by telecopier shall be effective as delivery of a manually executed counterpart of this Amendment No. 1.</w:t>
      </w:r>
    </w:p>
    <w:p>
      <w:pPr>
        <w:spacing w:after="0" w:line="164" w:lineRule="exact"/>
        <w:rPr>
          <w:rFonts w:ascii="Courier New" w:cs="Courier New" w:eastAsia="Courier New" w:hAnsi="Courier New"/>
          <w:sz w:val="14"/>
          <w:szCs w:val="14"/>
          <w:color w:val="auto"/>
        </w:rPr>
      </w:pPr>
    </w:p>
    <w:p>
      <w:pPr>
        <w:ind w:right="3259" w:firstLine="960"/>
        <w:spacing w:after="0" w:line="237" w:lineRule="auto"/>
        <w:tabs>
          <w:tab w:leader="none" w:pos="1322"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NO. 1 AND THE RIGHTS AND OBLIGATIONS OF THE PARTIES HERETO SHALL BE GOVERNED BY, AND CONSTRUED IN ACCORDANCE WITH, THE LAWS OF THE STATE OF NEW YORK.</w:t>
      </w:r>
    </w:p>
    <w:p>
      <w:pPr>
        <w:spacing w:after="0" w:line="175" w:lineRule="exact"/>
        <w:rPr>
          <w:sz w:val="20"/>
          <w:szCs w:val="20"/>
          <w:color w:val="auto"/>
        </w:rPr>
      </w:pPr>
    </w:p>
    <w:p>
      <w:pPr>
        <w:ind w:right="3179" w:firstLine="970"/>
        <w:spacing w:after="0" w:line="237" w:lineRule="auto"/>
        <w:rPr>
          <w:sz w:val="20"/>
          <w:szCs w:val="20"/>
          <w:color w:val="auto"/>
        </w:rPr>
      </w:pPr>
      <w:r>
        <w:rPr>
          <w:rFonts w:ascii="Courier New" w:cs="Courier New" w:eastAsia="Courier New" w:hAnsi="Courier New"/>
          <w:sz w:val="15"/>
          <w:szCs w:val="15"/>
          <w:color w:val="auto"/>
        </w:rPr>
        <w:t>SECTION 5. Guarantor Subsidiary Confirmation. By signing below, the Guarantor Subsidiary hereby agrees to the terms of the foregoing Amendment No. 1 and confirms that the VII Guarantee remains in full force and effect.</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8" w:right="1440" w:bottom="1440" w:gutter="0" w:footer="0" w:header="0"/>
        </w:sectPr>
      </w:pPr>
    </w:p>
    <w:bookmarkStart w:id="288" w:name="page289"/>
    <w:bookmarkEnd w:id="288"/>
    <w:p>
      <w:pPr>
        <w:ind w:right="3259" w:firstLine="970"/>
        <w:spacing w:after="0" w:line="235" w:lineRule="auto"/>
        <w:rPr>
          <w:sz w:val="20"/>
          <w:szCs w:val="20"/>
          <w:color w:val="auto"/>
        </w:rPr>
      </w:pPr>
      <w:r>
        <w:rPr>
          <w:rFonts w:ascii="Courier New" w:cs="Courier New" w:eastAsia="Courier New" w:hAnsi="Courier New"/>
          <w:sz w:val="15"/>
          <w:szCs w:val="15"/>
          <w:color w:val="auto"/>
        </w:rPr>
        <w:t>IN WITNESS WHEREOF, the parties hereto have caused this Amendment to be duly executed as of the date first above written.</w:t>
      </w:r>
    </w:p>
    <w:p>
      <w:pPr>
        <w:spacing w:after="0" w:line="200" w:lineRule="exact"/>
        <w:rPr>
          <w:sz w:val="20"/>
          <w:szCs w:val="20"/>
          <w:color w:val="auto"/>
        </w:rPr>
      </w:pPr>
    </w:p>
    <w:p>
      <w:pPr>
        <w:spacing w:after="0" w:line="30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VIACOM INC., as Borrower</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VIACOM INTERNATIONAL INC., as a Subsidiary</w:t>
      </w:r>
    </w:p>
    <w:p>
      <w:pPr>
        <w:ind w:left="2720"/>
        <w:spacing w:after="0"/>
        <w:rPr>
          <w:sz w:val="20"/>
          <w:szCs w:val="20"/>
          <w:color w:val="auto"/>
        </w:rPr>
      </w:pPr>
      <w:r>
        <w:rPr>
          <w:rFonts w:ascii="Courier New" w:cs="Courier New" w:eastAsia="Courier New" w:hAnsi="Courier New"/>
          <w:sz w:val="15"/>
          <w:szCs w:val="15"/>
          <w:color w:val="auto"/>
        </w:rPr>
        <w:t>Guarantor</w:t>
      </w:r>
    </w:p>
    <w:p>
      <w:pPr>
        <w:spacing w:after="0" w:line="200" w:lineRule="exact"/>
        <w:rPr>
          <w:sz w:val="20"/>
          <w:szCs w:val="20"/>
          <w:color w:val="auto"/>
        </w:rPr>
      </w:pPr>
    </w:p>
    <w:p>
      <w:pPr>
        <w:spacing w:after="0" w:line="308"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Vaughn A. Clark</w:t>
      </w:r>
    </w:p>
    <w:p>
      <w:pPr>
        <w:ind w:left="2980"/>
        <w:spacing w:after="0"/>
        <w:rPr>
          <w:sz w:val="20"/>
          <w:szCs w:val="20"/>
          <w:color w:val="auto"/>
        </w:rPr>
      </w:pPr>
      <w:r>
        <w:rPr>
          <w:rFonts w:ascii="Courier New" w:cs="Courier New" w:eastAsia="Courier New" w:hAnsi="Courier New"/>
          <w:sz w:val="15"/>
          <w:szCs w:val="15"/>
          <w:color w:val="auto"/>
        </w:rPr>
        <w:t>----------------------------</w:t>
      </w:r>
    </w:p>
    <w:p>
      <w:pPr>
        <w:ind w:left="2980"/>
        <w:spacing w:after="0"/>
        <w:rPr>
          <w:sz w:val="20"/>
          <w:szCs w:val="20"/>
          <w:color w:val="auto"/>
        </w:rPr>
      </w:pPr>
      <w:r>
        <w:rPr>
          <w:rFonts w:ascii="Courier New" w:cs="Courier New" w:eastAsia="Courier New" w:hAnsi="Courier New"/>
          <w:sz w:val="15"/>
          <w:szCs w:val="15"/>
          <w:color w:val="auto"/>
        </w:rPr>
        <w:t>Name: Vaughn A. Clark</w:t>
      </w:r>
    </w:p>
    <w:p>
      <w:pPr>
        <w:ind w:left="2980"/>
        <w:spacing w:after="0" w:line="238" w:lineRule="auto"/>
        <w:rPr>
          <w:sz w:val="20"/>
          <w:szCs w:val="20"/>
          <w:color w:val="auto"/>
        </w:rPr>
      </w:pPr>
      <w:r>
        <w:rPr>
          <w:rFonts w:ascii="Courier New" w:cs="Courier New" w:eastAsia="Courier New" w:hAnsi="Courier New"/>
          <w:sz w:val="15"/>
          <w:szCs w:val="15"/>
          <w:color w:val="auto"/>
        </w:rPr>
        <w:t>Title: Senior Vice President,</w:t>
      </w:r>
    </w:p>
    <w:p>
      <w:pPr>
        <w:ind w:left="3600"/>
        <w:spacing w:after="0"/>
        <w:rPr>
          <w:sz w:val="20"/>
          <w:szCs w:val="20"/>
          <w:color w:val="auto"/>
        </w:rPr>
      </w:pPr>
      <w:r>
        <w:rPr>
          <w:rFonts w:ascii="Courier New" w:cs="Courier New" w:eastAsia="Courier New" w:hAnsi="Courier New"/>
          <w:sz w:val="15"/>
          <w:szCs w:val="15"/>
          <w:color w:val="auto"/>
        </w:rPr>
        <w:t>Treasurer</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Managing Agents</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THE BANK OF NEW YORK, as Managing Agent, the</w:t>
      </w:r>
    </w:p>
    <w:p>
      <w:pPr>
        <w:ind w:left="2720"/>
        <w:spacing w:after="0"/>
        <w:rPr>
          <w:sz w:val="20"/>
          <w:szCs w:val="20"/>
          <w:color w:val="auto"/>
        </w:rPr>
      </w:pPr>
      <w:r>
        <w:rPr>
          <w:rFonts w:ascii="Courier New" w:cs="Courier New" w:eastAsia="Courier New" w:hAnsi="Courier New"/>
          <w:sz w:val="15"/>
          <w:szCs w:val="15"/>
          <w:color w:val="auto"/>
        </w:rPr>
        <w:t>Documentation Agent and a Bank</w:t>
      </w:r>
    </w:p>
    <w:p>
      <w:pPr>
        <w:spacing w:after="0" w:line="200" w:lineRule="exact"/>
        <w:rPr>
          <w:sz w:val="20"/>
          <w:szCs w:val="20"/>
          <w:color w:val="auto"/>
        </w:rPr>
      </w:pPr>
    </w:p>
    <w:p>
      <w:pPr>
        <w:spacing w:after="0" w:line="308"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Geoffrey C. Brooks</w:t>
      </w:r>
    </w:p>
    <w:p>
      <w:pPr>
        <w:ind w:left="2980"/>
        <w:spacing w:after="0"/>
        <w:rPr>
          <w:sz w:val="20"/>
          <w:szCs w:val="20"/>
          <w:color w:val="auto"/>
        </w:rPr>
      </w:pPr>
      <w:r>
        <w:rPr>
          <w:rFonts w:ascii="Courier New" w:cs="Courier New" w:eastAsia="Courier New" w:hAnsi="Courier New"/>
          <w:sz w:val="15"/>
          <w:szCs w:val="15"/>
          <w:color w:val="auto"/>
        </w:rPr>
        <w:t>----------------------------</w:t>
      </w:r>
    </w:p>
    <w:p>
      <w:pPr>
        <w:ind w:left="2980"/>
        <w:spacing w:after="0"/>
        <w:rPr>
          <w:sz w:val="20"/>
          <w:szCs w:val="20"/>
          <w:color w:val="auto"/>
        </w:rPr>
      </w:pPr>
      <w:r>
        <w:rPr>
          <w:rFonts w:ascii="Courier New" w:cs="Courier New" w:eastAsia="Courier New" w:hAnsi="Courier New"/>
          <w:sz w:val="15"/>
          <w:szCs w:val="15"/>
          <w:color w:val="auto"/>
        </w:rPr>
        <w:t>Name: Geoffrey C. Brooks</w:t>
      </w:r>
    </w:p>
    <w:p>
      <w:pPr>
        <w:ind w:left="29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CITIBANK, N.A., as Managing Agent, the</w:t>
      </w:r>
    </w:p>
    <w:p>
      <w:pPr>
        <w:ind w:left="2720"/>
        <w:spacing w:after="0"/>
        <w:rPr>
          <w:sz w:val="20"/>
          <w:szCs w:val="20"/>
          <w:color w:val="auto"/>
        </w:rPr>
      </w:pPr>
      <w:r>
        <w:rPr>
          <w:rFonts w:ascii="Courier New" w:cs="Courier New" w:eastAsia="Courier New" w:hAnsi="Courier New"/>
          <w:sz w:val="15"/>
          <w:szCs w:val="15"/>
          <w:color w:val="auto"/>
        </w:rPr>
        <w:t>Administrative Agent and a Bank</w:t>
      </w:r>
    </w:p>
    <w:p>
      <w:pPr>
        <w:spacing w:after="0" w:line="200" w:lineRule="exact"/>
        <w:rPr>
          <w:sz w:val="20"/>
          <w:szCs w:val="20"/>
          <w:color w:val="auto"/>
        </w:rPr>
      </w:pPr>
    </w:p>
    <w:p>
      <w:pPr>
        <w:spacing w:after="0" w:line="308"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Margaret C. Ullrich</w:t>
      </w:r>
    </w:p>
    <w:p>
      <w:pPr>
        <w:ind w:left="2980"/>
        <w:spacing w:after="0"/>
        <w:rPr>
          <w:sz w:val="20"/>
          <w:szCs w:val="20"/>
          <w:color w:val="auto"/>
        </w:rPr>
      </w:pPr>
      <w:r>
        <w:rPr>
          <w:rFonts w:ascii="Courier New" w:cs="Courier New" w:eastAsia="Courier New" w:hAnsi="Courier New"/>
          <w:sz w:val="15"/>
          <w:szCs w:val="15"/>
          <w:color w:val="auto"/>
        </w:rPr>
        <w:t>----------------------------</w:t>
      </w:r>
    </w:p>
    <w:p>
      <w:pPr>
        <w:ind w:left="2980"/>
        <w:spacing w:after="0"/>
        <w:rPr>
          <w:sz w:val="20"/>
          <w:szCs w:val="20"/>
          <w:color w:val="auto"/>
        </w:rPr>
      </w:pPr>
      <w:r>
        <w:rPr>
          <w:rFonts w:ascii="Courier New" w:cs="Courier New" w:eastAsia="Courier New" w:hAnsi="Courier New"/>
          <w:sz w:val="15"/>
          <w:szCs w:val="15"/>
          <w:color w:val="auto"/>
        </w:rPr>
        <w:t>Name: Margaret C. Ullrich</w:t>
      </w:r>
    </w:p>
    <w:p>
      <w:pPr>
        <w:ind w:left="29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8" w:right="1440" w:bottom="1440" w:gutter="0" w:footer="0" w:header="0"/>
        </w:sectPr>
      </w:pPr>
    </w:p>
    <w:bookmarkStart w:id="289" w:name="page290"/>
    <w:bookmarkEnd w:id="289"/>
    <w:p>
      <w:pPr>
        <w:ind w:left="1520"/>
        <w:spacing w:after="0"/>
        <w:rPr>
          <w:sz w:val="20"/>
          <w:szCs w:val="20"/>
          <w:color w:val="auto"/>
        </w:rPr>
      </w:pPr>
      <w:r>
        <w:rPr>
          <w:rFonts w:ascii="Courier New" w:cs="Courier New" w:eastAsia="Courier New" w:hAnsi="Courier New"/>
          <w:sz w:val="15"/>
          <w:szCs w:val="15"/>
          <w:color w:val="auto"/>
        </w:rPr>
        <w:t>MORGAN GUARANTY TRUST COMPANY OF NEW YORK, as</w:t>
      </w:r>
    </w:p>
    <w:p>
      <w:pPr>
        <w:ind w:left="1520"/>
        <w:spacing w:after="0"/>
        <w:rPr>
          <w:sz w:val="20"/>
          <w:szCs w:val="20"/>
          <w:color w:val="auto"/>
        </w:rPr>
      </w:pPr>
      <w:r>
        <w:rPr>
          <w:rFonts w:ascii="Courier New" w:cs="Courier New" w:eastAsia="Courier New" w:hAnsi="Courier New"/>
          <w:sz w:val="15"/>
          <w:szCs w:val="15"/>
          <w:color w:val="auto"/>
        </w:rPr>
        <w:t>Managing Agent and a Bank</w:t>
      </w:r>
    </w:p>
    <w:p>
      <w:pPr>
        <w:spacing w:after="0" w:line="33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Mathias Blumschein</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Mathias Blumschein</w:t>
      </w:r>
    </w:p>
    <w:p>
      <w:pPr>
        <w:ind w:left="1780"/>
        <w:spacing w:after="0" w:line="238" w:lineRule="auto"/>
        <w:rPr>
          <w:sz w:val="20"/>
          <w:szCs w:val="20"/>
          <w:color w:val="auto"/>
        </w:rPr>
      </w:pPr>
      <w:r>
        <w:rPr>
          <w:rFonts w:ascii="Courier New" w:cs="Courier New" w:eastAsia="Courier New" w:hAnsi="Courier New"/>
          <w:sz w:val="15"/>
          <w:szCs w:val="15"/>
          <w:color w:val="auto"/>
        </w:rPr>
        <w:t>Title: Associate</w:t>
      </w:r>
    </w:p>
    <w:p>
      <w:pPr>
        <w:spacing w:after="0" w:line="344"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BANK OF AMERICA NT&amp;SA, as Managing Agent and a</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By:/s/ Amy S. Trapp</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Amy S. Trapp</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Syndication Agent</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JP MORGAN SECURITIES INC., as the Syndication</w:t>
      </w:r>
    </w:p>
    <w:p>
      <w:pPr>
        <w:ind w:left="1520"/>
        <w:spacing w:after="0"/>
        <w:rPr>
          <w:sz w:val="20"/>
          <w:szCs w:val="20"/>
          <w:color w:val="auto"/>
        </w:rPr>
      </w:pPr>
      <w:r>
        <w:rPr>
          <w:rFonts w:ascii="Courier New" w:cs="Courier New" w:eastAsia="Courier New" w:hAnsi="Courier New"/>
          <w:sz w:val="15"/>
          <w:szCs w:val="15"/>
          <w:color w:val="auto"/>
        </w:rPr>
        <w:t>Agent</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Barbara J. Asch</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Barbara J. Asch</w:t>
      </w:r>
    </w:p>
    <w:p>
      <w:pPr>
        <w:ind w:left="1780"/>
        <w:spacing w:after="0" w:line="238" w:lineRule="auto"/>
        <w:rPr>
          <w:sz w:val="20"/>
          <w:szCs w:val="20"/>
          <w:color w:val="auto"/>
        </w:rPr>
      </w:pPr>
      <w:r>
        <w:rPr>
          <w:rFonts w:ascii="Courier New" w:cs="Courier New" w:eastAsia="Courier New" w:hAnsi="Courier New"/>
          <w:sz w:val="15"/>
          <w:szCs w:val="15"/>
          <w:color w:val="auto"/>
        </w:rPr>
        <w:t>Title:Vice President</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Agents</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BANK OF MONTREAL, as Agent and a 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Yvonne Bos</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Yvonne Bos</w:t>
      </w:r>
    </w:p>
    <w:p>
      <w:pPr>
        <w:ind w:left="1780"/>
        <w:spacing w:after="0" w:line="238" w:lineRule="auto"/>
        <w:rPr>
          <w:sz w:val="20"/>
          <w:szCs w:val="20"/>
          <w:color w:val="auto"/>
        </w:rPr>
      </w:pPr>
      <w:r>
        <w:rPr>
          <w:rFonts w:ascii="Courier New" w:cs="Courier New" w:eastAsia="Courier New" w:hAnsi="Courier New"/>
          <w:sz w:val="15"/>
          <w:szCs w:val="15"/>
          <w:color w:val="auto"/>
        </w:rPr>
        <w:t>Title:Managing Director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019"/>
          </w:cols>
          <w:pgMar w:left="1440" w:top="622" w:right="1440" w:bottom="1440" w:gutter="0" w:footer="0" w:header="0"/>
        </w:sectPr>
      </w:pPr>
    </w:p>
    <w:bookmarkStart w:id="290" w:name="page291"/>
    <w:bookmarkEnd w:id="290"/>
    <w:p>
      <w:pPr>
        <w:ind w:left="1520"/>
        <w:spacing w:after="0"/>
        <w:rPr>
          <w:sz w:val="20"/>
          <w:szCs w:val="20"/>
          <w:color w:val="auto"/>
        </w:rPr>
      </w:pPr>
      <w:r>
        <w:rPr>
          <w:rFonts w:ascii="Courier New" w:cs="Courier New" w:eastAsia="Courier New" w:hAnsi="Courier New"/>
          <w:sz w:val="15"/>
          <w:szCs w:val="15"/>
          <w:color w:val="auto"/>
        </w:rPr>
        <w:t>THE BANK OF NOVA SCOTIA, as Agent and a 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Vince J. Fitzgerald</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tabs>
          <w:tab w:leader="none" w:pos="23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Vince J. Fitzgerald</w:t>
      </w:r>
    </w:p>
    <w:p>
      <w:pPr>
        <w:ind w:left="1780"/>
        <w:spacing w:after="0" w:line="238" w:lineRule="auto"/>
        <w:rPr>
          <w:sz w:val="20"/>
          <w:szCs w:val="20"/>
          <w:color w:val="auto"/>
        </w:rPr>
      </w:pPr>
      <w:r>
        <w:rPr>
          <w:rFonts w:ascii="Courier New" w:cs="Courier New" w:eastAsia="Courier New" w:hAnsi="Courier New"/>
          <w:sz w:val="15"/>
          <w:szCs w:val="15"/>
          <w:color w:val="auto"/>
        </w:rPr>
        <w:t>Title: Senior Relationship Mgr.</w:t>
      </w:r>
    </w:p>
    <w:p>
      <w:pPr>
        <w:spacing w:after="0" w:line="344"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BANK OF TOKYO TRUST COMPANY, as Agent and a Bank</w:t>
      </w:r>
    </w:p>
    <w:p>
      <w:pPr>
        <w:spacing w:after="0" w:line="34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Charles Poer</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Charles Poer</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 &amp; Manager</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BANQUE PARIBAS, as Agent and a 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Nicole Cawley</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Nicole Cawley</w:t>
      </w:r>
    </w:p>
    <w:p>
      <w:pPr>
        <w:ind w:left="1780"/>
        <w:spacing w:after="0" w:line="238" w:lineRule="auto"/>
        <w:rPr>
          <w:sz w:val="20"/>
          <w:szCs w:val="20"/>
          <w:color w:val="auto"/>
        </w:rPr>
      </w:pPr>
      <w:r>
        <w:rPr>
          <w:rFonts w:ascii="Courier New" w:cs="Courier New" w:eastAsia="Courier New" w:hAnsi="Courier New"/>
          <w:sz w:val="15"/>
          <w:szCs w:val="15"/>
          <w:color w:val="auto"/>
        </w:rPr>
        <w:t>Title:Vice President</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Cynthia D. Hewitt</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Cynthia D. Hewitt</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BARCLAYS BANK PLC, as Agent and a 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Michael W. Ballard</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Michael W. Ballard</w:t>
      </w:r>
    </w:p>
    <w:p>
      <w:pPr>
        <w:ind w:left="1780"/>
        <w:spacing w:after="0" w:line="238" w:lineRule="auto"/>
        <w:rPr>
          <w:sz w:val="20"/>
          <w:szCs w:val="20"/>
          <w:color w:val="auto"/>
        </w:rPr>
      </w:pPr>
      <w:r>
        <w:rPr>
          <w:rFonts w:ascii="Courier New" w:cs="Courier New" w:eastAsia="Courier New" w:hAnsi="Courier New"/>
          <w:sz w:val="15"/>
          <w:szCs w:val="15"/>
          <w:color w:val="auto"/>
        </w:rPr>
        <w:t>Title:Associate Director</w:t>
      </w:r>
    </w:p>
    <w:p>
      <w:pPr>
        <w:spacing w:after="0" w:line="344"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THE CHASE MANHATTAN BANK (NATIONAL ASSOCIATION),</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as Agent and a 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Bruce Longenkamp</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Bruce Longenkamp</w:t>
      </w:r>
    </w:p>
    <w:p>
      <w:pPr>
        <w:ind w:left="1780"/>
        <w:spacing w:after="0" w:line="238" w:lineRule="auto"/>
        <w:rPr>
          <w:sz w:val="20"/>
          <w:szCs w:val="20"/>
          <w:color w:val="auto"/>
        </w:rPr>
      </w:pPr>
      <w:r>
        <w:rPr>
          <w:rFonts w:ascii="Courier New" w:cs="Courier New" w:eastAsia="Courier New" w:hAnsi="Courier New"/>
          <w:sz w:val="15"/>
          <w:szCs w:val="15"/>
          <w:color w:val="auto"/>
        </w:rPr>
        <w:t>Title:Vice President</w:t>
      </w:r>
    </w:p>
    <w:p>
      <w:pPr>
        <w:spacing w:after="0" w:line="33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019"/>
          </w:cols>
          <w:pgMar w:left="1440" w:top="622" w:right="1440" w:bottom="1440" w:gutter="0" w:footer="0" w:header="0"/>
        </w:sectPr>
      </w:pPr>
    </w:p>
    <w:bookmarkStart w:id="291" w:name="page292"/>
    <w:bookmarkEnd w:id="291"/>
    <w:p>
      <w:pPr>
        <w:ind w:left="1520"/>
        <w:spacing w:after="0"/>
        <w:rPr>
          <w:sz w:val="20"/>
          <w:szCs w:val="20"/>
          <w:color w:val="auto"/>
        </w:rPr>
      </w:pPr>
      <w:r>
        <w:rPr>
          <w:rFonts w:ascii="Courier New" w:cs="Courier New" w:eastAsia="Courier New" w:hAnsi="Courier New"/>
          <w:sz w:val="15"/>
          <w:szCs w:val="15"/>
          <w:color w:val="auto"/>
        </w:rPr>
        <w:t>CHEMICAL BANK, as Agent and a 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Mary E. Cameron</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Mary E. Cameron</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44"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CREDIT LYONNAIS CAYMAN ISLAND BRANCH, as Agent</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and a 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M. Bernadette Collins</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M. Bernadette Collins</w:t>
      </w:r>
    </w:p>
    <w:p>
      <w:pPr>
        <w:ind w:left="1780"/>
        <w:spacing w:after="0" w:line="238" w:lineRule="auto"/>
        <w:rPr>
          <w:sz w:val="20"/>
          <w:szCs w:val="20"/>
          <w:color w:val="auto"/>
        </w:rPr>
      </w:pPr>
      <w:r>
        <w:rPr>
          <w:rFonts w:ascii="Courier New" w:cs="Courier New" w:eastAsia="Courier New" w:hAnsi="Courier New"/>
          <w:sz w:val="15"/>
          <w:szCs w:val="15"/>
          <w:color w:val="auto"/>
        </w:rPr>
        <w:t>Title:Authorized Signature</w:t>
      </w:r>
    </w:p>
    <w:p>
      <w:pPr>
        <w:spacing w:after="0" w:line="344"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THE DAI-ICHI KANGYO BANK LTD., NEW YORK BRANCH,</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as Agent and a 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Shinya Wako</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Shinya Wako</w:t>
      </w:r>
    </w:p>
    <w:p>
      <w:pPr>
        <w:ind w:left="1780"/>
        <w:spacing w:after="0" w:line="238" w:lineRule="auto"/>
        <w:rPr>
          <w:sz w:val="20"/>
          <w:szCs w:val="20"/>
          <w:color w:val="auto"/>
        </w:rPr>
      </w:pPr>
      <w:r>
        <w:rPr>
          <w:rFonts w:ascii="Courier New" w:cs="Courier New" w:eastAsia="Courier New" w:hAnsi="Courier New"/>
          <w:sz w:val="15"/>
          <w:szCs w:val="15"/>
          <w:color w:val="auto"/>
        </w:rPr>
        <w:t>Title:Senior Vice President</w:t>
      </w:r>
    </w:p>
    <w:p>
      <w:pPr>
        <w:ind w:left="2500"/>
        <w:spacing w:after="0"/>
        <w:rPr>
          <w:sz w:val="20"/>
          <w:szCs w:val="20"/>
          <w:color w:val="auto"/>
        </w:rPr>
      </w:pPr>
      <w:r>
        <w:rPr>
          <w:rFonts w:ascii="Courier New" w:cs="Courier New" w:eastAsia="Courier New" w:hAnsi="Courier New"/>
          <w:sz w:val="15"/>
          <w:szCs w:val="15"/>
          <w:color w:val="auto"/>
        </w:rPr>
        <w:t>and Department Head</w:t>
      </w:r>
    </w:p>
    <w:p>
      <w:pPr>
        <w:spacing w:after="0" w:line="33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THE FUJI BANK, LIMITED, as Agent and a 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Kazuaki Kitabatake</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Kazuaki Kitabatake</w:t>
      </w:r>
    </w:p>
    <w:p>
      <w:pPr>
        <w:ind w:left="1780"/>
        <w:spacing w:after="0" w:line="238" w:lineRule="auto"/>
        <w:rPr>
          <w:sz w:val="20"/>
          <w:szCs w:val="20"/>
          <w:color w:val="auto"/>
        </w:rPr>
      </w:pPr>
      <w:r>
        <w:rPr>
          <w:rFonts w:ascii="Courier New" w:cs="Courier New" w:eastAsia="Courier New" w:hAnsi="Courier New"/>
          <w:sz w:val="15"/>
          <w:szCs w:val="15"/>
          <w:color w:val="auto"/>
        </w:rPr>
        <w:t>Title:Joint General Manager</w:t>
      </w:r>
    </w:p>
    <w:p>
      <w:pPr>
        <w:spacing w:after="0" w:line="200" w:lineRule="exact"/>
        <w:rPr>
          <w:sz w:val="20"/>
          <w:szCs w:val="20"/>
          <w:color w:val="auto"/>
        </w:rPr>
      </w:pPr>
    </w:p>
    <w:p>
      <w:pPr>
        <w:spacing w:after="0" w:line="30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019"/>
          </w:cols>
          <w:pgMar w:left="1440" w:top="622" w:right="1440" w:bottom="1440" w:gutter="0" w:footer="0" w:header="0"/>
        </w:sectPr>
      </w:pPr>
    </w:p>
    <w:bookmarkStart w:id="292" w:name="page293"/>
    <w:bookmarkEnd w:id="292"/>
    <w:p>
      <w:pPr>
        <w:ind w:left="1520"/>
        <w:spacing w:after="0"/>
        <w:rPr>
          <w:sz w:val="20"/>
          <w:szCs w:val="20"/>
          <w:color w:val="auto"/>
        </w:rPr>
      </w:pPr>
      <w:r>
        <w:rPr>
          <w:rFonts w:ascii="Courier New" w:cs="Courier New" w:eastAsia="Courier New" w:hAnsi="Courier New"/>
          <w:sz w:val="14"/>
          <w:szCs w:val="14"/>
          <w:color w:val="auto"/>
        </w:rPr>
        <w:t>THE INDUSTRIAL BANK OF JAPAN, LTD., as Agent and</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a 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Jeffrey Cole</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Jeffrey Cole</w:t>
      </w:r>
    </w:p>
    <w:p>
      <w:pPr>
        <w:ind w:left="1780"/>
        <w:spacing w:after="0" w:line="238" w:lineRule="auto"/>
        <w:rPr>
          <w:sz w:val="20"/>
          <w:szCs w:val="20"/>
          <w:color w:val="auto"/>
        </w:rPr>
      </w:pPr>
      <w:r>
        <w:rPr>
          <w:rFonts w:ascii="Courier New" w:cs="Courier New" w:eastAsia="Courier New" w:hAnsi="Courier New"/>
          <w:sz w:val="15"/>
          <w:szCs w:val="15"/>
          <w:color w:val="auto"/>
        </w:rPr>
        <w:t>Title:Senior Vice President</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LTCB TRUST COMPANY, as Agent and a 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John A. Krob</w:t>
      </w:r>
    </w:p>
    <w:p>
      <w:pPr>
        <w:ind w:left="1780"/>
        <w:spacing w:after="0"/>
        <w:rPr>
          <w:sz w:val="20"/>
          <w:szCs w:val="20"/>
          <w:color w:val="auto"/>
        </w:rPr>
      </w:pPr>
      <w:r>
        <w:rPr>
          <w:rFonts w:ascii="Courier New" w:cs="Courier New" w:eastAsia="Courier New" w:hAnsi="Courier New"/>
          <w:sz w:val="15"/>
          <w:szCs w:val="15"/>
          <w:color w:val="auto"/>
        </w:rPr>
        <w:t>----------------------------</w:t>
      </w:r>
    </w:p>
    <w:p>
      <w:pPr>
        <w:ind w:left="1520"/>
        <w:spacing w:after="0"/>
        <w:rPr>
          <w:sz w:val="20"/>
          <w:szCs w:val="20"/>
          <w:color w:val="auto"/>
        </w:rPr>
      </w:pPr>
      <w:r>
        <w:rPr>
          <w:rFonts w:ascii="Courier New" w:cs="Courier New" w:eastAsia="Courier New" w:hAnsi="Courier New"/>
          <w:sz w:val="15"/>
          <w:szCs w:val="15"/>
          <w:color w:val="auto"/>
        </w:rPr>
        <w:t>Name: John A. Krob</w:t>
      </w:r>
    </w:p>
    <w:p>
      <w:pPr>
        <w:ind w:left="178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MELLON BANK, N.A., as Agent and a 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G. Luis Ashley</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G. Luis Ashley</w:t>
      </w:r>
    </w:p>
    <w:p>
      <w:pPr>
        <w:ind w:left="1780"/>
        <w:spacing w:after="0" w:line="238" w:lineRule="auto"/>
        <w:rPr>
          <w:sz w:val="20"/>
          <w:szCs w:val="20"/>
          <w:color w:val="auto"/>
        </w:rPr>
      </w:pPr>
      <w:r>
        <w:rPr>
          <w:rFonts w:ascii="Courier New" w:cs="Courier New" w:eastAsia="Courier New" w:hAnsi="Courier New"/>
          <w:sz w:val="15"/>
          <w:szCs w:val="15"/>
          <w:color w:val="auto"/>
        </w:rPr>
        <w:t>Title: First Vice President</w:t>
      </w:r>
    </w:p>
    <w:p>
      <w:pPr>
        <w:spacing w:after="0" w:line="344"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THE MITSUBISHI BANK, LIMITED, as Agent and a Bank</w:t>
      </w:r>
    </w:p>
    <w:p>
      <w:pPr>
        <w:spacing w:after="0" w:line="200" w:lineRule="exact"/>
        <w:rPr>
          <w:sz w:val="20"/>
          <w:szCs w:val="20"/>
          <w:color w:val="auto"/>
        </w:rPr>
      </w:pPr>
    </w:p>
    <w:p>
      <w:pPr>
        <w:spacing w:after="0" w:line="31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Paula Mueller</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Paula Mueller</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019"/>
          </w:cols>
          <w:pgMar w:left="1440" w:top="627" w:right="1440" w:bottom="1440" w:gutter="0" w:footer="0" w:header="0"/>
        </w:sectPr>
      </w:pPr>
    </w:p>
    <w:bookmarkStart w:id="293" w:name="page294"/>
    <w:bookmarkEnd w:id="293"/>
    <w:p>
      <w:pPr>
        <w:ind w:left="1520"/>
        <w:spacing w:after="0"/>
        <w:rPr>
          <w:sz w:val="20"/>
          <w:szCs w:val="20"/>
          <w:color w:val="auto"/>
        </w:rPr>
      </w:pPr>
      <w:r>
        <w:rPr>
          <w:rFonts w:ascii="Courier New" w:cs="Courier New" w:eastAsia="Courier New" w:hAnsi="Courier New"/>
          <w:sz w:val="15"/>
          <w:szCs w:val="15"/>
          <w:color w:val="auto"/>
        </w:rPr>
        <w:t>THE MITSUBISHI TRUST &amp; BANKING CORPORATION, as</w:t>
      </w:r>
    </w:p>
    <w:p>
      <w:pPr>
        <w:ind w:left="1520"/>
        <w:spacing w:after="0"/>
        <w:rPr>
          <w:sz w:val="20"/>
          <w:szCs w:val="20"/>
          <w:color w:val="auto"/>
        </w:rPr>
      </w:pPr>
      <w:r>
        <w:rPr>
          <w:rFonts w:ascii="Courier New" w:cs="Courier New" w:eastAsia="Courier New" w:hAnsi="Courier New"/>
          <w:sz w:val="15"/>
          <w:szCs w:val="15"/>
          <w:color w:val="auto"/>
        </w:rPr>
        <w:t>Agent and a 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Patricia Loret de Mola</w:t>
      </w:r>
    </w:p>
    <w:p>
      <w:pPr>
        <w:ind w:left="1780"/>
        <w:spacing w:after="0"/>
        <w:rPr>
          <w:sz w:val="20"/>
          <w:szCs w:val="20"/>
          <w:color w:val="auto"/>
        </w:rPr>
      </w:pPr>
      <w:r>
        <w:rPr>
          <w:rFonts w:ascii="Courier New" w:cs="Courier New" w:eastAsia="Courier New" w:hAnsi="Courier New"/>
          <w:sz w:val="15"/>
          <w:szCs w:val="15"/>
          <w:color w:val="auto"/>
        </w:rPr>
        <w:t>Name: Patricia Loret de Mola</w:t>
      </w:r>
    </w:p>
    <w:p>
      <w:pPr>
        <w:ind w:left="1780"/>
        <w:spacing w:after="0"/>
        <w:rPr>
          <w:sz w:val="20"/>
          <w:szCs w:val="20"/>
          <w:color w:val="auto"/>
        </w:rPr>
      </w:pPr>
      <w:r>
        <w:rPr>
          <w:rFonts w:ascii="Courier New" w:cs="Courier New" w:eastAsia="Courier New" w:hAnsi="Courier New"/>
          <w:sz w:val="15"/>
          <w:szCs w:val="15"/>
          <w:color w:val="auto"/>
        </w:rPr>
        <w:t>Title: Senior Vice President</w:t>
      </w:r>
    </w:p>
    <w:p>
      <w:pPr>
        <w:spacing w:after="0" w:line="33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NATIONSBANK OF TEXAS, N.A., as Agent and a 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Chad E. Coben</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Chad E. Coben</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44"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THE NIPPON CREDIT BANK, LTD., LOS ANGELES AGENCY,</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as Agent and a 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Bernardo E. Correa-Henschke</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tabs>
          <w:tab w:leader="none" w:pos="23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Bernardo E. Correa-Henschke</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 and Manager</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ROYAL BANK OF CANADA, as Agent and a 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Eduardo Salazar</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Eduardo Salazar</w:t>
      </w:r>
    </w:p>
    <w:p>
      <w:pPr>
        <w:ind w:left="1780"/>
        <w:spacing w:after="0" w:line="238" w:lineRule="auto"/>
        <w:rPr>
          <w:sz w:val="20"/>
          <w:szCs w:val="20"/>
          <w:color w:val="auto"/>
        </w:rPr>
      </w:pPr>
      <w:r>
        <w:rPr>
          <w:rFonts w:ascii="Courier New" w:cs="Courier New" w:eastAsia="Courier New" w:hAnsi="Courier New"/>
          <w:sz w:val="15"/>
          <w:szCs w:val="15"/>
          <w:color w:val="auto"/>
        </w:rPr>
        <w:t>Title: Senior Manager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019"/>
          </w:cols>
          <w:pgMar w:left="1440" w:top="622" w:right="1440" w:bottom="1440" w:gutter="0" w:footer="0" w:header="0"/>
        </w:sectPr>
      </w:pPr>
    </w:p>
    <w:bookmarkStart w:id="294" w:name="page295"/>
    <w:bookmarkEnd w:id="294"/>
    <w:p>
      <w:pPr>
        <w:ind w:left="1520"/>
        <w:spacing w:after="0"/>
        <w:rPr>
          <w:sz w:val="20"/>
          <w:szCs w:val="20"/>
          <w:color w:val="auto"/>
        </w:rPr>
      </w:pPr>
      <w:r>
        <w:rPr>
          <w:rFonts w:ascii="Courier New" w:cs="Courier New" w:eastAsia="Courier New" w:hAnsi="Courier New"/>
          <w:sz w:val="15"/>
          <w:szCs w:val="15"/>
          <w:color w:val="auto"/>
        </w:rPr>
        <w:t>THE SAKURA BANK, LIMITED, as Agent and a Bank</w:t>
      </w:r>
    </w:p>
    <w:p>
      <w:pPr>
        <w:spacing w:after="0" w:line="200" w:lineRule="exact"/>
        <w:rPr>
          <w:sz w:val="20"/>
          <w:szCs w:val="20"/>
          <w:color w:val="auto"/>
        </w:rPr>
      </w:pPr>
    </w:p>
    <w:p>
      <w:pPr>
        <w:spacing w:after="0" w:line="308" w:lineRule="exact"/>
        <w:rPr>
          <w:sz w:val="20"/>
          <w:szCs w:val="20"/>
          <w:color w:val="auto"/>
        </w:rPr>
      </w:pPr>
    </w:p>
    <w:p>
      <w:pPr>
        <w:ind w:left="1520"/>
        <w:spacing w:after="0"/>
        <w:tabs>
          <w:tab w:leader="none" w:pos="1940" w:val="left"/>
        </w:tabs>
        <w:rPr>
          <w:sz w:val="20"/>
          <w:szCs w:val="20"/>
          <w:color w:val="auto"/>
        </w:rPr>
      </w:pPr>
      <w:r>
        <w:rPr>
          <w:rFonts w:ascii="Courier New" w:cs="Courier New" w:eastAsia="Courier New" w:hAnsi="Courier New"/>
          <w:sz w:val="15"/>
          <w:szCs w:val="15"/>
          <w:color w:val="auto"/>
        </w:rPr>
        <w:t>By:</w:t>
        <w:tab/>
        <w:t>/s/ Hiroshi Shimazaki</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Hiroshi Shimazaki</w:t>
      </w:r>
    </w:p>
    <w:p>
      <w:pPr>
        <w:ind w:left="1780"/>
        <w:spacing w:after="0" w:line="238" w:lineRule="auto"/>
        <w:rPr>
          <w:sz w:val="20"/>
          <w:szCs w:val="20"/>
          <w:color w:val="auto"/>
        </w:rPr>
      </w:pPr>
      <w:r>
        <w:rPr>
          <w:rFonts w:ascii="Courier New" w:cs="Courier New" w:eastAsia="Courier New" w:hAnsi="Courier New"/>
          <w:sz w:val="15"/>
          <w:szCs w:val="15"/>
          <w:color w:val="auto"/>
        </w:rPr>
        <w:t>Title: Senior Vice President and Manager</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THE SANWA BANK, LTD., as Agent and a 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Dominic J. Sorresso</w:t>
      </w:r>
    </w:p>
    <w:p>
      <w:pPr>
        <w:ind w:left="1780"/>
        <w:spacing w:after="0"/>
        <w:rPr>
          <w:sz w:val="20"/>
          <w:szCs w:val="20"/>
          <w:color w:val="auto"/>
        </w:rPr>
      </w:pPr>
      <w:r>
        <w:rPr>
          <w:rFonts w:ascii="Courier New" w:cs="Courier New" w:eastAsia="Courier New" w:hAnsi="Courier New"/>
          <w:sz w:val="15"/>
          <w:szCs w:val="15"/>
          <w:color w:val="auto"/>
        </w:rPr>
        <w:t>Name: Dominic J. Sorresso</w:t>
      </w:r>
    </w:p>
    <w:p>
      <w:pPr>
        <w:ind w:left="1780"/>
        <w:spacing w:after="0"/>
        <w:rPr>
          <w:sz w:val="20"/>
          <w:szCs w:val="20"/>
          <w:color w:val="auto"/>
        </w:rPr>
      </w:pPr>
      <w:r>
        <w:rPr>
          <w:rFonts w:ascii="Courier New" w:cs="Courier New" w:eastAsia="Courier New" w:hAnsi="Courier New"/>
          <w:sz w:val="15"/>
          <w:szCs w:val="15"/>
          <w:color w:val="auto"/>
        </w:rPr>
        <w:t>Title:Vice President</w:t>
      </w:r>
    </w:p>
    <w:p>
      <w:pPr>
        <w:spacing w:after="0" w:line="33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SOCIETE GENERALE, as Agent and a 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Pascale Hainline</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Pascale Hainline</w:t>
      </w:r>
    </w:p>
    <w:p>
      <w:pPr>
        <w:ind w:left="1780"/>
        <w:spacing w:after="0" w:line="238" w:lineRule="auto"/>
        <w:rPr>
          <w:sz w:val="20"/>
          <w:szCs w:val="20"/>
          <w:color w:val="auto"/>
        </w:rPr>
      </w:pPr>
      <w:r>
        <w:rPr>
          <w:rFonts w:ascii="Courier New" w:cs="Courier New" w:eastAsia="Courier New" w:hAnsi="Courier New"/>
          <w:sz w:val="15"/>
          <w:szCs w:val="15"/>
          <w:color w:val="auto"/>
        </w:rPr>
        <w:t>Title:Vice President</w:t>
      </w:r>
    </w:p>
    <w:p>
      <w:pPr>
        <w:spacing w:after="0" w:line="344"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THE SUMITOMO BANK, LIMITED, NEW YORK BRANCH, as</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Agent and a 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By:/s/ S. Higashi</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S. Higashi</w:t>
      </w:r>
    </w:p>
    <w:p>
      <w:pPr>
        <w:ind w:left="1780"/>
        <w:spacing w:after="0" w:line="238" w:lineRule="auto"/>
        <w:rPr>
          <w:sz w:val="20"/>
          <w:szCs w:val="20"/>
          <w:color w:val="auto"/>
        </w:rPr>
      </w:pPr>
      <w:r>
        <w:rPr>
          <w:rFonts w:ascii="Courier New" w:cs="Courier New" w:eastAsia="Courier New" w:hAnsi="Courier New"/>
          <w:sz w:val="15"/>
          <w:szCs w:val="15"/>
          <w:color w:val="auto"/>
        </w:rPr>
        <w:t>Title: Joint General Manager</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THE TOKAI BANK, LIMITED, NEW YORK BRANCH, as</w:t>
      </w:r>
    </w:p>
    <w:p>
      <w:pPr>
        <w:ind w:left="1520"/>
        <w:spacing w:after="0"/>
        <w:rPr>
          <w:sz w:val="20"/>
          <w:szCs w:val="20"/>
          <w:color w:val="auto"/>
        </w:rPr>
      </w:pPr>
      <w:r>
        <w:rPr>
          <w:rFonts w:ascii="Courier New" w:cs="Courier New" w:eastAsia="Courier New" w:hAnsi="Courier New"/>
          <w:sz w:val="15"/>
          <w:szCs w:val="15"/>
          <w:color w:val="auto"/>
        </w:rPr>
        <w:t>Agent and a 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Masaharu Muto</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Masaharu Muto</w:t>
      </w:r>
    </w:p>
    <w:p>
      <w:pPr>
        <w:ind w:left="1780"/>
        <w:spacing w:after="0" w:line="238" w:lineRule="auto"/>
        <w:rPr>
          <w:sz w:val="20"/>
          <w:szCs w:val="20"/>
          <w:color w:val="auto"/>
        </w:rPr>
      </w:pPr>
      <w:r>
        <w:rPr>
          <w:rFonts w:ascii="Courier New" w:cs="Courier New" w:eastAsia="Courier New" w:hAnsi="Courier New"/>
          <w:sz w:val="15"/>
          <w:szCs w:val="15"/>
          <w:color w:val="auto"/>
        </w:rPr>
        <w:t>Title: Deputy General Manager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019"/>
          </w:cols>
          <w:pgMar w:left="1440" w:top="622" w:right="1440" w:bottom="1440" w:gutter="0" w:footer="0" w:header="0"/>
        </w:sectPr>
      </w:pPr>
    </w:p>
    <w:bookmarkStart w:id="295" w:name="page296"/>
    <w:bookmarkEnd w:id="295"/>
    <w:p>
      <w:pPr>
        <w:ind w:left="1520"/>
        <w:spacing w:after="0"/>
        <w:rPr>
          <w:sz w:val="20"/>
          <w:szCs w:val="20"/>
          <w:color w:val="auto"/>
        </w:rPr>
      </w:pPr>
      <w:r>
        <w:rPr>
          <w:rFonts w:ascii="Courier New" w:cs="Courier New" w:eastAsia="Courier New" w:hAnsi="Courier New"/>
          <w:sz w:val="14"/>
          <w:szCs w:val="14"/>
          <w:color w:val="auto"/>
        </w:rPr>
        <w:t>THE TORONTO-DOMINION BANK, as Agent and a Bank</w:t>
      </w:r>
    </w:p>
    <w:p>
      <w:pPr>
        <w:spacing w:after="0" w:line="200" w:lineRule="exact"/>
        <w:rPr>
          <w:sz w:val="20"/>
          <w:szCs w:val="20"/>
          <w:color w:val="auto"/>
        </w:rPr>
      </w:pPr>
    </w:p>
    <w:p>
      <w:pPr>
        <w:spacing w:after="0" w:line="31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Neva Nesbitt</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Neva Nesbitt</w:t>
      </w:r>
    </w:p>
    <w:p>
      <w:pPr>
        <w:ind w:left="1780"/>
        <w:spacing w:after="0" w:line="238" w:lineRule="auto"/>
        <w:rPr>
          <w:sz w:val="20"/>
          <w:szCs w:val="20"/>
          <w:color w:val="auto"/>
        </w:rPr>
      </w:pPr>
      <w:r>
        <w:rPr>
          <w:rFonts w:ascii="Courier New" w:cs="Courier New" w:eastAsia="Courier New" w:hAnsi="Courier New"/>
          <w:sz w:val="15"/>
          <w:szCs w:val="15"/>
          <w:color w:val="auto"/>
        </w:rPr>
        <w:t>Title:Manager Credit Admin.</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UNION BANK, as Agent and a 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J. Kevin Sampson</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J. Kevin Sampson</w:t>
      </w:r>
    </w:p>
    <w:p>
      <w:pPr>
        <w:ind w:left="1780"/>
        <w:spacing w:after="0" w:line="238" w:lineRule="auto"/>
        <w:rPr>
          <w:sz w:val="20"/>
          <w:szCs w:val="20"/>
          <w:color w:val="auto"/>
        </w:rPr>
      </w:pPr>
      <w:r>
        <w:rPr>
          <w:rFonts w:ascii="Courier New" w:cs="Courier New" w:eastAsia="Courier New" w:hAnsi="Courier New"/>
          <w:sz w:val="15"/>
          <w:szCs w:val="15"/>
          <w:color w:val="auto"/>
        </w:rPr>
        <w:t>Title:</w:t>
      </w:r>
    </w:p>
    <w:p>
      <w:pPr>
        <w:spacing w:after="0" w:line="344"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UNION BANK OF SWITZERLAND, as Agent and a Bank</w:t>
      </w:r>
    </w:p>
    <w:p>
      <w:pPr>
        <w:spacing w:after="0" w:line="200" w:lineRule="exact"/>
        <w:rPr>
          <w:sz w:val="20"/>
          <w:szCs w:val="20"/>
          <w:color w:val="auto"/>
        </w:rPr>
      </w:pPr>
    </w:p>
    <w:p>
      <w:pPr>
        <w:spacing w:after="0" w:line="31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James P. Kelleher</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James P. Kelleher</w:t>
      </w:r>
    </w:p>
    <w:p>
      <w:pPr>
        <w:ind w:left="1780"/>
        <w:spacing w:after="0" w:line="238" w:lineRule="auto"/>
        <w:rPr>
          <w:sz w:val="20"/>
          <w:szCs w:val="20"/>
          <w:color w:val="auto"/>
        </w:rPr>
      </w:pPr>
      <w:r>
        <w:rPr>
          <w:rFonts w:ascii="Courier New" w:cs="Courier New" w:eastAsia="Courier New" w:hAnsi="Courier New"/>
          <w:sz w:val="15"/>
          <w:szCs w:val="15"/>
          <w:color w:val="auto"/>
        </w:rPr>
        <w:t>Title: Assistant Vice President</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Peter B. Yearley</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Peter B. Yearley</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CREDIT SUISSE, as Agent and a 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Michael C. Mast</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Michael C. Mast</w:t>
      </w:r>
    </w:p>
    <w:p>
      <w:pPr>
        <w:ind w:left="1780"/>
        <w:spacing w:after="0" w:line="238" w:lineRule="auto"/>
        <w:rPr>
          <w:sz w:val="20"/>
          <w:szCs w:val="20"/>
          <w:color w:val="auto"/>
        </w:rPr>
      </w:pPr>
      <w:r>
        <w:rPr>
          <w:rFonts w:ascii="Courier New" w:cs="Courier New" w:eastAsia="Courier New" w:hAnsi="Courier New"/>
          <w:sz w:val="15"/>
          <w:szCs w:val="15"/>
          <w:color w:val="auto"/>
        </w:rPr>
        <w:t>Title: Member of Senior Management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019"/>
          </w:cols>
          <w:pgMar w:left="1440" w:top="628" w:right="1440" w:bottom="1440" w:gutter="0" w:footer="0" w:header="0"/>
        </w:sectPr>
      </w:pPr>
    </w:p>
    <w:bookmarkStart w:id="296" w:name="page297"/>
    <w:bookmarkEnd w:id="296"/>
    <w:p>
      <w:pPr>
        <w:ind w:left="1520"/>
        <w:spacing w:after="0"/>
        <w:rPr>
          <w:sz w:val="20"/>
          <w:szCs w:val="20"/>
          <w:color w:val="auto"/>
        </w:rPr>
      </w:pPr>
      <w:r>
        <w:rPr>
          <w:rFonts w:ascii="Courier New" w:cs="Courier New" w:eastAsia="Courier New" w:hAnsi="Courier New"/>
          <w:sz w:val="15"/>
          <w:szCs w:val="15"/>
          <w:color w:val="auto"/>
        </w:rPr>
        <w:t>By: /s/ Kristina Catlin</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Kristina Catlin</w:t>
      </w:r>
    </w:p>
    <w:p>
      <w:pPr>
        <w:ind w:left="1780"/>
        <w:spacing w:after="0" w:line="238" w:lineRule="auto"/>
        <w:rPr>
          <w:sz w:val="20"/>
          <w:szCs w:val="20"/>
          <w:color w:val="auto"/>
        </w:rPr>
      </w:pPr>
      <w:r>
        <w:rPr>
          <w:rFonts w:ascii="Courier New" w:cs="Courier New" w:eastAsia="Courier New" w:hAnsi="Courier New"/>
          <w:sz w:val="15"/>
          <w:szCs w:val="15"/>
          <w:color w:val="auto"/>
        </w:rPr>
        <w:t>Title: Associate</w:t>
      </w:r>
    </w:p>
    <w:p>
      <w:pPr>
        <w:spacing w:after="0" w:line="344"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DEUTSCHE BANK AG, through its New York and/or</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Cayman Islands Branch, as Agent and a Bank</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Steven M. Godeke</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Steven M. Godeke</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 /s/ Bina R. Dabbah</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Bina R. Dabbah</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FIRST INTERSTATE BANK OF WASHINGTON, N.A.</w:t>
      </w: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By:/s/ Susan Hendrixson</w:t>
      </w:r>
    </w:p>
    <w:p>
      <w:pPr>
        <w:ind w:left="1780"/>
        <w:spacing w:after="0"/>
        <w:rPr>
          <w:sz w:val="20"/>
          <w:szCs w:val="20"/>
          <w:color w:val="auto"/>
        </w:rPr>
      </w:pP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5"/>
          <w:szCs w:val="15"/>
          <w:color w:val="auto"/>
        </w:rPr>
        <w:t>Name: Susan Hendrixson</w:t>
      </w:r>
    </w:p>
    <w:p>
      <w:pPr>
        <w:ind w:left="178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019"/>
          </w:cols>
          <w:pgMar w:left="1440" w:top="622" w:right="1440" w:bottom="1440" w:gutter="0" w:footer="0" w:header="0"/>
        </w:sectPr>
      </w:pPr>
    </w:p>
    <w:bookmarkStart w:id="297" w:name="page298"/>
    <w:bookmarkEnd w:id="297"/>
    <w:p>
      <w:pPr>
        <w:ind w:left="3160"/>
        <w:spacing w:after="0"/>
        <w:rPr>
          <w:sz w:val="20"/>
          <w:szCs w:val="20"/>
          <w:color w:val="auto"/>
        </w:rPr>
      </w:pPr>
      <w:r>
        <w:rPr>
          <w:rFonts w:ascii="Courier New" w:cs="Courier New" w:eastAsia="Courier New" w:hAnsi="Courier New"/>
          <w:sz w:val="15"/>
          <w:szCs w:val="15"/>
          <w:color w:val="auto"/>
        </w:rPr>
        <w:t>AMENDMENT</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This Amendment ("Amendment"), dated as of November 17, 1995, shall</w:t>
      </w:r>
    </w:p>
    <w:p>
      <w:pPr>
        <w:spacing w:after="0"/>
        <w:rPr>
          <w:sz w:val="20"/>
          <w:szCs w:val="20"/>
          <w:color w:val="auto"/>
        </w:rPr>
      </w:pPr>
      <w:r>
        <w:rPr>
          <w:rFonts w:ascii="Courier New" w:cs="Courier New" w:eastAsia="Courier New" w:hAnsi="Courier New"/>
          <w:sz w:val="15"/>
          <w:szCs w:val="15"/>
          <w:color w:val="auto"/>
        </w:rPr>
        <w:t>be:</w:t>
      </w:r>
    </w:p>
    <w:p>
      <w:pPr>
        <w:spacing w:after="0" w:line="174" w:lineRule="exact"/>
        <w:rPr>
          <w:sz w:val="20"/>
          <w:szCs w:val="20"/>
          <w:color w:val="auto"/>
        </w:rPr>
      </w:pPr>
    </w:p>
    <w:p>
      <w:pPr>
        <w:ind w:right="3179" w:firstLine="970"/>
        <w:spacing w:after="0" w:line="238" w:lineRule="auto"/>
        <w:rPr>
          <w:sz w:val="20"/>
          <w:szCs w:val="20"/>
          <w:color w:val="auto"/>
        </w:rPr>
      </w:pPr>
      <w:r>
        <w:rPr>
          <w:rFonts w:ascii="Courier New" w:cs="Courier New" w:eastAsia="Courier New" w:hAnsi="Courier New"/>
          <w:sz w:val="15"/>
          <w:szCs w:val="15"/>
          <w:color w:val="auto"/>
        </w:rPr>
        <w:t>AMENDMENT NO. 2 to the $1.8 BILLION CREDIT AGREEMENT, dated as of September 29, 1994, as amended, (the "Credit Agreement") among VIACOM Inc., a Delaware corporation ("Viacom"), each of the several Banks, THE BANK OF NEW York, as a Managing Agent and as the Documentation Agent, CITIBANK, N.A., as a Managing Agent and as the Administrative Agent, MORGAN GUARANTY TRUST COMPANY OF NEW YORK, as a Managing Agent, JP MORGAN SECURITIES INC., as the Syndication Agent, BANK OF AMERICA NT&amp;SA, as a Managing Agent, the Banks identified as Agents of the signature pages thereof, as Agents.</w:t>
      </w:r>
    </w:p>
    <w:p>
      <w:pPr>
        <w:spacing w:after="0" w:line="172"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WITNESSETH:</w:t>
      </w:r>
    </w:p>
    <w:p>
      <w:pPr>
        <w:spacing w:after="0" w:line="175" w:lineRule="exact"/>
        <w:rPr>
          <w:sz w:val="20"/>
          <w:szCs w:val="20"/>
          <w:color w:val="auto"/>
        </w:rPr>
      </w:pPr>
    </w:p>
    <w:p>
      <w:pPr>
        <w:ind w:right="3179" w:firstLine="970"/>
        <w:spacing w:after="0" w:line="256" w:lineRule="auto"/>
        <w:rPr>
          <w:sz w:val="20"/>
          <w:szCs w:val="20"/>
          <w:color w:val="auto"/>
        </w:rPr>
      </w:pPr>
      <w:r>
        <w:rPr>
          <w:rFonts w:ascii="Courier New" w:cs="Courier New" w:eastAsia="Courier New" w:hAnsi="Courier New"/>
          <w:sz w:val="14"/>
          <w:szCs w:val="14"/>
          <w:color w:val="auto"/>
        </w:rPr>
        <w:t>WHEREAS, Viacom, Viacom International Inc., a wholly-owned subsidiary of Viacom ("VII"), Viacom International Services Inc., a wholly-owned subsidiary of VII ("VII Services"), Tele-Communications Inc. ("TCI"), and TCI Communications Inc. ("TCI Sub"), a wholly -owned subsidiary of TCI, have entered into a series of agreements ("the Transaction Documents", which are listed on Schedule I attached hereto) pursuant to which (i) VII will convey to VII Services proceeds from the $1.7 billion bank debt described below and all of its assets relating to business operations other than the cable television business (the "Non Cable Businesses"), and VII Services will assume all of VII's liabilities (including its existing public debt and bank debt) other than the $1.7 Billion bank debt described below and liabilities relating to the cable television business (the "Cable Business"), (ii) VII will distribute the stock of VII Services to Viacom (the "First Distribution"), (iii) VII, after giving effect to the First Distribution, will be solely engaged in the Cable Business and VII will be recapitalized with new VII Class A common stock, (iv) the Class A common stock of VII will be split off to the shareholders of Viacom in an exchange offer (the "Exchange Offer") in which shares of Viacom common stock will be exchanged for shares of VII Class A common stock, (v) VII prior to the expiration of the Exchange Offer will borrow $1.7 billion from a syndicate of lenders, the proceeds of which will be deposited in a secured collateral account</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22" w:right="1440" w:bottom="1440" w:gutter="0" w:footer="0" w:header="0"/>
        </w:sectPr>
      </w:pPr>
    </w:p>
    <w:bookmarkStart w:id="298" w:name="page299"/>
    <w:bookmarkEnd w:id="298"/>
    <w:p>
      <w:pPr>
        <w:ind w:right="3179"/>
        <w:spacing w:after="0" w:line="238" w:lineRule="auto"/>
        <w:rPr>
          <w:sz w:val="20"/>
          <w:szCs w:val="20"/>
          <w:color w:val="auto"/>
        </w:rPr>
      </w:pPr>
      <w:r>
        <w:rPr>
          <w:rFonts w:ascii="Courier New" w:cs="Courier New" w:eastAsia="Courier New" w:hAnsi="Courier New"/>
          <w:sz w:val="15"/>
          <w:szCs w:val="15"/>
          <w:color w:val="auto"/>
        </w:rPr>
        <w:t>until the date of consummation of the Exchange Offer when VII will transfer such proceeds to VII Services as described above, and (vi) immediately after the split off, TCI has agreed to purchase Class B common stock of VII and the Class A common stock will be automatically converted upon such purchase into preferred stock, and (vii) VII will no longer be a subsidiary of Viacom and will be renamed TCI Pacific Communications Inc. and VII Services will be renamed Viacom International Inc. (collectively the "Cable Transaction"); and</w:t>
      </w:r>
    </w:p>
    <w:p>
      <w:pPr>
        <w:spacing w:after="0" w:line="177" w:lineRule="exact"/>
        <w:rPr>
          <w:sz w:val="20"/>
          <w:szCs w:val="20"/>
          <w:color w:val="auto"/>
        </w:rPr>
      </w:pPr>
    </w:p>
    <w:p>
      <w:pPr>
        <w:ind w:right="3439" w:firstLine="970"/>
        <w:spacing w:after="0" w:line="237" w:lineRule="auto"/>
        <w:rPr>
          <w:sz w:val="20"/>
          <w:szCs w:val="20"/>
          <w:color w:val="auto"/>
        </w:rPr>
      </w:pPr>
      <w:r>
        <w:rPr>
          <w:rFonts w:ascii="Courier New" w:cs="Courier New" w:eastAsia="Courier New" w:hAnsi="Courier New"/>
          <w:sz w:val="15"/>
          <w:szCs w:val="15"/>
          <w:color w:val="auto"/>
        </w:rPr>
        <w:t>WHEREAS, Viacom has requested certain amendments to be made to and certain consents obtained with respect to certain provisions of the Credit Agreement; and</w:t>
      </w:r>
    </w:p>
    <w:p>
      <w:pPr>
        <w:spacing w:after="0" w:line="175" w:lineRule="exact"/>
        <w:rPr>
          <w:sz w:val="20"/>
          <w:szCs w:val="20"/>
          <w:color w:val="auto"/>
        </w:rPr>
      </w:pPr>
    </w:p>
    <w:p>
      <w:pPr>
        <w:ind w:right="3359" w:firstLine="970"/>
        <w:spacing w:after="0" w:line="237" w:lineRule="auto"/>
        <w:rPr>
          <w:sz w:val="20"/>
          <w:szCs w:val="20"/>
          <w:color w:val="auto"/>
        </w:rPr>
      </w:pPr>
      <w:r>
        <w:rPr>
          <w:rFonts w:ascii="Courier New" w:cs="Courier New" w:eastAsia="Courier New" w:hAnsi="Courier New"/>
          <w:sz w:val="15"/>
          <w:szCs w:val="15"/>
          <w:color w:val="auto"/>
        </w:rPr>
        <w:t>WHEREAS, the parties who have heretofore entered into the Credit Agreement now desire to amend certain provisions of such agreement and for the Majority Banks to consent to the waiver of the application of certain other provisions in connection with the Cable Transaction</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NOW THEREFORE, the parties hereto agree as follows:</w:t>
      </w:r>
    </w:p>
    <w:p>
      <w:pPr>
        <w:spacing w:after="0" w:line="169" w:lineRule="exact"/>
        <w:rPr>
          <w:sz w:val="20"/>
          <w:szCs w:val="20"/>
          <w:color w:val="auto"/>
        </w:rPr>
      </w:pPr>
    </w:p>
    <w:p>
      <w:pPr>
        <w:ind w:left="960"/>
        <w:spacing w:after="0"/>
        <w:tabs>
          <w:tab w:leader="none" w:pos="200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4"/>
          <w:szCs w:val="14"/>
          <w:color w:val="auto"/>
        </w:rPr>
        <w:t>Amendments.</w:t>
      </w:r>
    </w:p>
    <w:p>
      <w:pPr>
        <w:spacing w:after="0" w:line="175" w:lineRule="exact"/>
        <w:rPr>
          <w:sz w:val="20"/>
          <w:szCs w:val="20"/>
          <w:color w:val="auto"/>
        </w:rPr>
      </w:pPr>
    </w:p>
    <w:p>
      <w:pPr>
        <w:ind w:right="3539" w:firstLine="1401"/>
        <w:spacing w:after="0" w:line="235" w:lineRule="auto"/>
        <w:tabs>
          <w:tab w:leader="none" w:pos="1763"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8.6 of the Credit Agreement is hereby amended by replacing it in its entirety with the following:</w:t>
      </w:r>
    </w:p>
    <w:p>
      <w:pPr>
        <w:spacing w:after="0" w:line="176" w:lineRule="exact"/>
        <w:rPr>
          <w:sz w:val="20"/>
          <w:szCs w:val="20"/>
          <w:color w:val="auto"/>
        </w:rPr>
      </w:pPr>
    </w:p>
    <w:p>
      <w:pPr>
        <w:ind w:right="3179" w:firstLine="1851"/>
        <w:spacing w:after="0" w:line="257" w:lineRule="auto"/>
        <w:rPr>
          <w:sz w:val="20"/>
          <w:szCs w:val="20"/>
          <w:color w:val="auto"/>
        </w:rPr>
      </w:pPr>
      <w:r>
        <w:rPr>
          <w:rFonts w:ascii="Courier New" w:cs="Courier New" w:eastAsia="Courier New" w:hAnsi="Courier New"/>
          <w:sz w:val="14"/>
          <w:szCs w:val="14"/>
          <w:color w:val="auto"/>
        </w:rPr>
        <w:t>"8.6. Subsidiary Indebtedness. The Borrower shall not permit any of its Subsidiaries, other than the Guarantor Subsidiary, to incur Indebtedness for borrowed money other than (a) the Subsidiary Loans (as defined in the Subsidiary Facility), (b) under existing facilities identified on Schedule 8.6 to this Amendment No. 2 or any replacement facilities thereto which in the aggregate do not exceed the amounts of the commitments on such Schedule and (c) Indebtedness for borrowed money in an aggregate amount at any time outstanding of not more than $300 million; provided, however, the aggregate amount of Indebtedness for borrowed money scheduled to mature earlier than six months after the Commitment Termination Date at any time permitted to be outstanding under 8.6(c) and 8.7(b) may not exceed $300 million.</w:t>
      </w:r>
    </w:p>
    <w:p>
      <w:pPr>
        <w:spacing w:after="0" w:line="200" w:lineRule="exact"/>
        <w:rPr>
          <w:sz w:val="20"/>
          <w:szCs w:val="20"/>
          <w:color w:val="auto"/>
        </w:rPr>
      </w:pPr>
    </w:p>
    <w:p>
      <w:pPr>
        <w:spacing w:after="0" w:line="29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7" w:right="1440" w:bottom="1440" w:gutter="0" w:footer="0" w:header="0"/>
        </w:sectPr>
      </w:pPr>
    </w:p>
    <w:bookmarkStart w:id="299" w:name="page300"/>
    <w:bookmarkEnd w:id="299"/>
    <w:p>
      <w:pPr>
        <w:ind w:right="3539" w:firstLine="1401"/>
        <w:spacing w:after="0" w:line="235" w:lineRule="auto"/>
        <w:tabs>
          <w:tab w:leader="none" w:pos="1763"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8.7 of the Credit Agreement is hereby amended by replacing it in its entirety with the following:</w:t>
      </w:r>
    </w:p>
    <w:p>
      <w:pPr>
        <w:spacing w:after="0" w:line="176" w:lineRule="exact"/>
        <w:rPr>
          <w:sz w:val="20"/>
          <w:szCs w:val="20"/>
          <w:color w:val="auto"/>
        </w:rPr>
      </w:pPr>
    </w:p>
    <w:p>
      <w:pPr>
        <w:ind w:right="3259" w:firstLine="1851"/>
        <w:spacing w:after="0" w:line="238" w:lineRule="auto"/>
        <w:rPr>
          <w:sz w:val="20"/>
          <w:szCs w:val="20"/>
          <w:color w:val="auto"/>
        </w:rPr>
      </w:pPr>
      <w:r>
        <w:rPr>
          <w:rFonts w:ascii="Courier New" w:cs="Courier New" w:eastAsia="Courier New" w:hAnsi="Courier New"/>
          <w:sz w:val="15"/>
          <w:szCs w:val="15"/>
          <w:color w:val="auto"/>
        </w:rPr>
        <w:t>"8.7. Other Restrictions on Indebtedness. The Borrower shall not, and shall not permit the Guarantor Subsidiary to, incur Indebtedness for borrowed money maturing earlier than six months after the Commitment Termination Date other than (a) Commercial Paper and (b) up to $300 million at any time outstanding (less the aggregate amount outstanding under 8.6(c) scheduled to mature earlier than six months after the Commitment Termination Date) and on terms no more onerous than the terms hereof."</w:t>
      </w:r>
    </w:p>
    <w:p>
      <w:pPr>
        <w:spacing w:after="0" w:line="177" w:lineRule="exact"/>
        <w:rPr>
          <w:sz w:val="20"/>
          <w:szCs w:val="20"/>
          <w:color w:val="auto"/>
        </w:rPr>
      </w:pPr>
    </w:p>
    <w:p>
      <w:pPr>
        <w:ind w:right="3179" w:firstLine="1401"/>
        <w:spacing w:after="0" w:line="237" w:lineRule="auto"/>
        <w:tabs>
          <w:tab w:leader="none" w:pos="1763"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11.1 of the Credit Agreement is hereby amended by deleting the word "or" preceding clause (f) therein, and inserting the following new clause (g): "or (g) amend clause (i) of Section 11.6".</w:t>
      </w:r>
    </w:p>
    <w:p>
      <w:pPr>
        <w:spacing w:after="0" w:line="174" w:lineRule="exact"/>
        <w:rPr>
          <w:rFonts w:ascii="Courier New" w:cs="Courier New" w:eastAsia="Courier New" w:hAnsi="Courier New"/>
          <w:sz w:val="15"/>
          <w:szCs w:val="15"/>
          <w:color w:val="auto"/>
        </w:rPr>
      </w:pPr>
    </w:p>
    <w:p>
      <w:pPr>
        <w:ind w:right="3179" w:firstLine="1401"/>
        <w:spacing w:after="0" w:line="238" w:lineRule="auto"/>
        <w:tabs>
          <w:tab w:leader="none" w:pos="1763"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Clause (i) of Section 11.6 of the Credit Agreement is hereby amended to read in its entirety as follows: "the Borrower shall have no right to assign its rights or obligations hereunder or any interest herein (and any such purported assignment shall be void) without the prior consent of the Banks except in connection with any (x) merger or consolidation permitted under Section 10.2 or the (y) merger, consolidation or sale of assets consented to by the Majority Banks".</w:t>
      </w:r>
    </w:p>
    <w:p>
      <w:pPr>
        <w:spacing w:after="0" w:line="171" w:lineRule="exact"/>
        <w:rPr>
          <w:sz w:val="20"/>
          <w:szCs w:val="20"/>
          <w:color w:val="auto"/>
        </w:rPr>
      </w:pPr>
    </w:p>
    <w:p>
      <w:pPr>
        <w:ind w:left="960"/>
        <w:spacing w:after="0"/>
        <w:tabs>
          <w:tab w:leader="none" w:pos="2000"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4"/>
          <w:szCs w:val="14"/>
          <w:color w:val="auto"/>
        </w:rPr>
        <w:t>Consents. In connection with the Cable Transaction:</w:t>
      </w:r>
    </w:p>
    <w:p>
      <w:pPr>
        <w:spacing w:after="0" w:line="175" w:lineRule="exact"/>
        <w:rPr>
          <w:sz w:val="20"/>
          <w:szCs w:val="20"/>
          <w:color w:val="auto"/>
        </w:rPr>
      </w:pPr>
    </w:p>
    <w:p>
      <w:pPr>
        <w:ind w:right="3259" w:firstLine="1401"/>
        <w:spacing w:after="0" w:line="238" w:lineRule="auto"/>
        <w:tabs>
          <w:tab w:leader="none" w:pos="1763"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Cable Transaction Effective Date, the Guarantor Subsidiary may assign all of its rights and obligations under the VII Guaranty to VII Services (which will change its name to Viacom International Inc.) if in connection therewith VII Services (i) assumes all of the obligations of VII under the VII Guaranty and (ii) receives an assignment of the Non Cable Businesses. VII Services will become the Guarantor Subsidiary and VII will be released from all of its obligations thereunder.</w:t>
      </w:r>
    </w:p>
    <w:p>
      <w:pPr>
        <w:spacing w:after="0" w:line="176" w:lineRule="exact"/>
        <w:rPr>
          <w:rFonts w:ascii="Courier New" w:cs="Courier New" w:eastAsia="Courier New" w:hAnsi="Courier New"/>
          <w:sz w:val="15"/>
          <w:szCs w:val="15"/>
          <w:color w:val="auto"/>
        </w:rPr>
      </w:pPr>
    </w:p>
    <w:p>
      <w:pPr>
        <w:ind w:right="3179" w:firstLine="1401"/>
        <w:spacing w:after="0" w:line="259" w:lineRule="auto"/>
        <w:tabs>
          <w:tab w:leader="none" w:pos="1763"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expiration of the Exchange Offer, VII may borrow $1.7 billion from a syndicate of banks on terms permitted pursuant to the Transaction Documents substantially in the form of those in effect at the date hereof and may grant such banks a Lien on such funds until they are released to</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8" w:right="1440" w:bottom="1440" w:gutter="0" w:footer="0" w:header="0"/>
        </w:sectPr>
      </w:pPr>
    </w:p>
    <w:bookmarkStart w:id="300" w:name="page301"/>
    <w:bookmarkEnd w:id="300"/>
    <w:p>
      <w:pPr>
        <w:ind w:right="3539"/>
        <w:spacing w:after="0" w:line="235" w:lineRule="auto"/>
        <w:rPr>
          <w:sz w:val="20"/>
          <w:szCs w:val="20"/>
          <w:color w:val="auto"/>
        </w:rPr>
      </w:pPr>
      <w:r>
        <w:rPr>
          <w:rFonts w:ascii="Courier New" w:cs="Courier New" w:eastAsia="Courier New" w:hAnsi="Courier New"/>
          <w:sz w:val="15"/>
          <w:szCs w:val="15"/>
          <w:color w:val="auto"/>
        </w:rPr>
        <w:t>VII Services on the date of consummation of the Exchange Offer and a Lien on rights under the Subscription Agreement referred to in Schedule I.</w:t>
      </w:r>
    </w:p>
    <w:p>
      <w:pPr>
        <w:spacing w:after="0" w:line="176" w:lineRule="exact"/>
        <w:rPr>
          <w:sz w:val="20"/>
          <w:szCs w:val="20"/>
          <w:color w:val="auto"/>
        </w:rPr>
      </w:pPr>
    </w:p>
    <w:p>
      <w:pPr>
        <w:ind w:right="3179" w:firstLine="1401"/>
        <w:spacing w:after="0" w:line="237" w:lineRule="auto"/>
        <w:tabs>
          <w:tab w:leader="none" w:pos="1763"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Cable Transaction Effective Date, VII Services may hold certain cable franchises for the benefit of VII until regulatory approvals are obtained and may assign the receivables related to such franchises to the banks lending to VII.</w:t>
      </w:r>
    </w:p>
    <w:p>
      <w:pPr>
        <w:spacing w:after="0" w:line="176" w:lineRule="exact"/>
        <w:rPr>
          <w:rFonts w:ascii="Courier New" w:cs="Courier New" w:eastAsia="Courier New" w:hAnsi="Courier New"/>
          <w:sz w:val="15"/>
          <w:szCs w:val="15"/>
          <w:color w:val="auto"/>
        </w:rPr>
      </w:pPr>
    </w:p>
    <w:p>
      <w:pPr>
        <w:ind w:right="3259" w:firstLine="1401"/>
        <w:spacing w:after="0" w:line="237" w:lineRule="auto"/>
        <w:tabs>
          <w:tab w:leader="none" w:pos="1763"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the Credit Agreement, the $1.7 Billion loan to VII shall not be considered Indebtedness of the Borrower or any of its Subsidiaries.</w:t>
      </w:r>
    </w:p>
    <w:p>
      <w:pPr>
        <w:spacing w:after="0" w:line="175" w:lineRule="exact"/>
        <w:rPr>
          <w:sz w:val="20"/>
          <w:szCs w:val="20"/>
          <w:color w:val="auto"/>
        </w:rPr>
      </w:pPr>
    </w:p>
    <w:p>
      <w:pPr>
        <w:ind w:right="3359" w:firstLine="970"/>
        <w:spacing w:after="0" w:line="238" w:lineRule="auto"/>
        <w:rPr>
          <w:sz w:val="20"/>
          <w:szCs w:val="20"/>
          <w:color w:val="auto"/>
        </w:rPr>
      </w:pPr>
      <w:r>
        <w:rPr>
          <w:rFonts w:ascii="Courier New" w:cs="Courier New" w:eastAsia="Courier New" w:hAnsi="Courier New"/>
          <w:sz w:val="15"/>
          <w:szCs w:val="15"/>
          <w:color w:val="auto"/>
        </w:rPr>
        <w:t>Upon the execution and delivery hereof by the Majority Banks, the Majority Banks shall have consented to each of the foregoing relating to the Cable Transaction and, to the extent any of the matters described in (a) - (e) above are otherwise inconsistent with the terms of the Credit Agreement, as hereby amended, this Amendment shall constitute a waiver of the provisions thereof to the extent necessary to permit the Cable Transaction.</w:t>
      </w:r>
    </w:p>
    <w:p>
      <w:pPr>
        <w:spacing w:after="0" w:line="176" w:lineRule="exact"/>
        <w:rPr>
          <w:sz w:val="20"/>
          <w:szCs w:val="20"/>
          <w:color w:val="auto"/>
        </w:rPr>
      </w:pPr>
    </w:p>
    <w:p>
      <w:pPr>
        <w:ind w:right="3179" w:firstLine="970"/>
        <w:spacing w:after="0" w:line="237" w:lineRule="auto"/>
        <w:rPr>
          <w:sz w:val="20"/>
          <w:szCs w:val="20"/>
          <w:color w:val="auto"/>
        </w:rPr>
      </w:pPr>
      <w:r>
        <w:rPr>
          <w:rFonts w:ascii="Courier New" w:cs="Courier New" w:eastAsia="Courier New" w:hAnsi="Courier New"/>
          <w:sz w:val="15"/>
          <w:szCs w:val="15"/>
          <w:color w:val="auto"/>
        </w:rPr>
        <w:t>SECTION 3. Assumption of Liabilities. As of the Cable Transaction Effective Date, VII Services hereby expressly assumes and agrees to pay, satisfy and perform when due all liabilities of VII under each Loan Document to which VII is a party. For purposes of clarity, VII's obligations under the $1.7 billion bank debt described above will not be assumed by VII Services.</w:t>
      </w:r>
    </w:p>
    <w:p>
      <w:pPr>
        <w:spacing w:after="0" w:line="178" w:lineRule="exact"/>
        <w:rPr>
          <w:sz w:val="20"/>
          <w:szCs w:val="20"/>
          <w:color w:val="auto"/>
        </w:rPr>
      </w:pPr>
    </w:p>
    <w:p>
      <w:pPr>
        <w:ind w:right="3259" w:firstLine="970"/>
        <w:spacing w:after="0" w:line="237" w:lineRule="auto"/>
        <w:rPr>
          <w:sz w:val="20"/>
          <w:szCs w:val="20"/>
          <w:color w:val="auto"/>
        </w:rPr>
      </w:pPr>
      <w:r>
        <w:rPr>
          <w:rFonts w:ascii="Courier New" w:cs="Courier New" w:eastAsia="Courier New" w:hAnsi="Courier New"/>
          <w:sz w:val="15"/>
          <w:szCs w:val="15"/>
          <w:color w:val="auto"/>
        </w:rPr>
        <w:t>SECTION 4. Effectiveness This Amendment will be effective upon the execution hereof by each of Viacom, the Guarantor Subsidiary, VII Services, and the Majority Banks.</w:t>
      </w:r>
    </w:p>
    <w:p>
      <w:pPr>
        <w:spacing w:after="0" w:line="175" w:lineRule="exact"/>
        <w:rPr>
          <w:sz w:val="20"/>
          <w:szCs w:val="20"/>
          <w:color w:val="auto"/>
        </w:rPr>
      </w:pPr>
    </w:p>
    <w:p>
      <w:pPr>
        <w:ind w:right="3259" w:firstLine="970"/>
        <w:spacing w:after="0" w:line="238" w:lineRule="auto"/>
        <w:rPr>
          <w:sz w:val="20"/>
          <w:szCs w:val="20"/>
          <w:color w:val="auto"/>
        </w:rPr>
      </w:pPr>
      <w:r>
        <w:rPr>
          <w:rFonts w:ascii="Courier New" w:cs="Courier New" w:eastAsia="Courier New" w:hAnsi="Courier New"/>
          <w:sz w:val="15"/>
          <w:szCs w:val="15"/>
          <w:color w:val="auto"/>
        </w:rPr>
        <w:t>SECTION 5. Representations and Warranties Each of the Borrower and the Guarantor Subsidiary hereby represents and warrants that (i) as of the date hereof, both before and after giving effect to this Amendment, and (ii) as of the date of, and after giving effect to consummation of, the Cable Transaction, no Default or Event of Default shall exist or be continuing under the Credit Agreement.</w:t>
      </w:r>
    </w:p>
    <w:p>
      <w:pPr>
        <w:spacing w:after="0" w:line="176" w:lineRule="exact"/>
        <w:rPr>
          <w:sz w:val="20"/>
          <w:szCs w:val="20"/>
          <w:color w:val="auto"/>
        </w:rPr>
      </w:pPr>
    </w:p>
    <w:p>
      <w:pPr>
        <w:ind w:right="3179" w:firstLine="970"/>
        <w:spacing w:after="0" w:line="237" w:lineRule="auto"/>
        <w:rPr>
          <w:sz w:val="20"/>
          <w:szCs w:val="20"/>
          <w:color w:val="auto"/>
        </w:rPr>
      </w:pPr>
      <w:r>
        <w:rPr>
          <w:rFonts w:ascii="Courier New" w:cs="Courier New" w:eastAsia="Courier New" w:hAnsi="Courier New"/>
          <w:sz w:val="15"/>
          <w:szCs w:val="15"/>
          <w:color w:val="auto"/>
        </w:rPr>
        <w:t>SECTION 6. Miscellaneous. (a) Capitalized terms used herein and not otherwise defined herein shall have the meanings ascribed to them in the Credit Agreement.</w:t>
      </w:r>
    </w:p>
    <w:p>
      <w:pPr>
        <w:spacing w:after="0" w:line="175" w:lineRule="exact"/>
        <w:rPr>
          <w:sz w:val="20"/>
          <w:szCs w:val="20"/>
          <w:color w:val="auto"/>
        </w:rPr>
      </w:pPr>
    </w:p>
    <w:p>
      <w:pPr>
        <w:ind w:left="3420" w:right="3259" w:hanging="2019"/>
        <w:spacing w:after="0" w:line="710" w:lineRule="auto"/>
        <w:tabs>
          <w:tab w:leader="none" w:pos="1745"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amended or waived hereby, all of the terms of the 4</w:t>
      </w:r>
    </w:p>
    <w:p>
      <w:pPr>
        <w:sectPr>
          <w:pgSz w:w="11900" w:h="16838" w:orient="portrait"/>
          <w:cols w:equalWidth="0" w:num="1">
            <w:col w:w="10219"/>
          </w:cols>
          <w:pgMar w:left="240" w:top="628" w:right="1440" w:bottom="1440" w:gutter="0" w:footer="0" w:header="0"/>
        </w:sectPr>
      </w:pPr>
    </w:p>
    <w:bookmarkStart w:id="301" w:name="page302"/>
    <w:bookmarkEnd w:id="301"/>
    <w:p>
      <w:pPr>
        <w:ind w:right="3619"/>
        <w:spacing w:after="0" w:line="235" w:lineRule="auto"/>
        <w:rPr>
          <w:sz w:val="20"/>
          <w:szCs w:val="20"/>
          <w:color w:val="auto"/>
        </w:rPr>
      </w:pPr>
      <w:r>
        <w:rPr>
          <w:rFonts w:ascii="Courier New" w:cs="Courier New" w:eastAsia="Courier New" w:hAnsi="Courier New"/>
          <w:sz w:val="15"/>
          <w:szCs w:val="15"/>
          <w:color w:val="auto"/>
        </w:rPr>
        <w:t>Credit Agreement shall remain and continue in full force and effect and are hereby confirmed in all respects.</w:t>
      </w:r>
    </w:p>
    <w:p>
      <w:pPr>
        <w:spacing w:after="0" w:line="176" w:lineRule="exact"/>
        <w:rPr>
          <w:sz w:val="20"/>
          <w:szCs w:val="20"/>
          <w:color w:val="auto"/>
        </w:rPr>
      </w:pPr>
    </w:p>
    <w:p>
      <w:pPr>
        <w:ind w:right="3259" w:firstLine="1401"/>
        <w:spacing w:after="0" w:line="235" w:lineRule="auto"/>
        <w:tabs>
          <w:tab w:leader="none" w:pos="1763"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shall be a Loan Document for the purposes of the Credit Agreement.</w:t>
      </w:r>
    </w:p>
    <w:p>
      <w:pPr>
        <w:spacing w:after="0" w:line="175" w:lineRule="exact"/>
        <w:rPr>
          <w:rFonts w:ascii="Courier New" w:cs="Courier New" w:eastAsia="Courier New" w:hAnsi="Courier New"/>
          <w:sz w:val="15"/>
          <w:szCs w:val="15"/>
          <w:color w:val="auto"/>
        </w:rPr>
      </w:pPr>
    </w:p>
    <w:p>
      <w:pPr>
        <w:ind w:right="3179" w:firstLine="1401"/>
        <w:spacing w:after="0" w:line="237" w:lineRule="auto"/>
        <w:tabs>
          <w:tab w:leader="none" w:pos="1763"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may be signed in any number of counterparts, each of which shall be an original, with the same effect as if the signatures thereto were upon the same instrument. Delivery of an executed counterpart of a signature page of this Amendment by telecopier shall be effective as delivery of a manually executed counterpart of this Amendment.</w:t>
      </w:r>
    </w:p>
    <w:p>
      <w:pPr>
        <w:spacing w:after="0" w:line="178" w:lineRule="exact"/>
        <w:rPr>
          <w:rFonts w:ascii="Courier New" w:cs="Courier New" w:eastAsia="Courier New" w:hAnsi="Courier New"/>
          <w:sz w:val="15"/>
          <w:szCs w:val="15"/>
          <w:color w:val="auto"/>
        </w:rPr>
      </w:pPr>
    </w:p>
    <w:p>
      <w:pPr>
        <w:ind w:right="3179" w:firstLine="1401"/>
        <w:spacing w:after="0" w:line="237" w:lineRule="auto"/>
        <w:tabs>
          <w:tab w:leader="none" w:pos="1763"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AND THE RIGHTS AND OBLIGATIONS OF THE PARTIES HERETO SHALL BE GOVERNED BY, AND CONSTRUED IN ACCORDANCE WITH, THE LAWS OF THE STATE OF NEW YORK.</w:t>
      </w:r>
    </w:p>
    <w:p>
      <w:pPr>
        <w:spacing w:after="0" w:line="175" w:lineRule="exact"/>
        <w:rPr>
          <w:sz w:val="20"/>
          <w:szCs w:val="20"/>
          <w:color w:val="auto"/>
        </w:rPr>
      </w:pPr>
    </w:p>
    <w:p>
      <w:pPr>
        <w:ind w:right="3259" w:firstLine="970"/>
        <w:spacing w:after="0" w:line="260" w:lineRule="auto"/>
        <w:rPr>
          <w:sz w:val="20"/>
          <w:szCs w:val="20"/>
          <w:color w:val="auto"/>
        </w:rPr>
      </w:pPr>
      <w:r>
        <w:rPr>
          <w:rFonts w:ascii="Courier New" w:cs="Courier New" w:eastAsia="Courier New" w:hAnsi="Courier New"/>
          <w:sz w:val="14"/>
          <w:szCs w:val="14"/>
          <w:color w:val="auto"/>
        </w:rPr>
        <w:t>SECTION 7. Covenant. Viacom shall within two Business Days following the Cable Transaction Effective Date deliver to the Documentation Agent, dated as of the Cable Transaction Effective Date, as to VII Services only:</w:t>
      </w:r>
    </w:p>
    <w:p>
      <w:pPr>
        <w:spacing w:after="0" w:line="163" w:lineRule="exact"/>
        <w:rPr>
          <w:sz w:val="20"/>
          <w:szCs w:val="20"/>
          <w:color w:val="auto"/>
        </w:rPr>
      </w:pPr>
    </w:p>
    <w:p>
      <w:pPr>
        <w:ind w:right="3179" w:firstLine="1048"/>
        <w:spacing w:after="0" w:line="235" w:lineRule="auto"/>
        <w:tabs>
          <w:tab w:leader="none" w:pos="141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documents referred to in Section 4.1(a), (b) and (c) of the Credit Agreement;</w:t>
      </w:r>
    </w:p>
    <w:p>
      <w:pPr>
        <w:spacing w:after="0" w:line="175" w:lineRule="exact"/>
        <w:rPr>
          <w:rFonts w:ascii="Courier New" w:cs="Courier New" w:eastAsia="Courier New" w:hAnsi="Courier New"/>
          <w:sz w:val="15"/>
          <w:szCs w:val="15"/>
          <w:color w:val="auto"/>
        </w:rPr>
      </w:pPr>
    </w:p>
    <w:p>
      <w:pPr>
        <w:ind w:right="3359" w:firstLine="960"/>
        <w:spacing w:after="0" w:line="237" w:lineRule="auto"/>
        <w:tabs>
          <w:tab w:leader="none" w:pos="141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favorable opinion of Shearman &amp; Sterling, special counsel to the Loan Parties, with respect to this Amendment substantially to the same effect as contemplated by paragraph 1 of Exhibit E-1 to the Credit Agreement; and</w:t>
      </w:r>
    </w:p>
    <w:p>
      <w:pPr>
        <w:spacing w:after="0" w:line="176" w:lineRule="exact"/>
        <w:rPr>
          <w:rFonts w:ascii="Courier New" w:cs="Courier New" w:eastAsia="Courier New" w:hAnsi="Courier New"/>
          <w:sz w:val="15"/>
          <w:szCs w:val="15"/>
          <w:color w:val="auto"/>
        </w:rPr>
      </w:pPr>
    </w:p>
    <w:p>
      <w:pPr>
        <w:ind w:right="3439" w:firstLine="872"/>
        <w:spacing w:after="0" w:line="237" w:lineRule="auto"/>
        <w:tabs>
          <w:tab w:leader="none" w:pos="141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favorable opinion of Philippe P. Dauman, General Counsel to the Loan Parties, with respect to this Amendment substantially to the same effect as contemplated by paragraphs 1 - 6 of Exhibit E-2 to the Credit Agreement.</w:t>
      </w:r>
    </w:p>
    <w:p>
      <w:pPr>
        <w:spacing w:after="0" w:line="176" w:lineRule="exact"/>
        <w:rPr>
          <w:sz w:val="20"/>
          <w:szCs w:val="20"/>
          <w:color w:val="auto"/>
        </w:rPr>
      </w:pPr>
    </w:p>
    <w:p>
      <w:pPr>
        <w:jc w:val="both"/>
        <w:ind w:right="3359" w:firstLine="970"/>
        <w:spacing w:after="0" w:line="260" w:lineRule="auto"/>
        <w:rPr>
          <w:sz w:val="20"/>
          <w:szCs w:val="20"/>
          <w:color w:val="auto"/>
        </w:rPr>
      </w:pPr>
      <w:r>
        <w:rPr>
          <w:rFonts w:ascii="Courier New" w:cs="Courier New" w:eastAsia="Courier New" w:hAnsi="Courier New"/>
          <w:sz w:val="14"/>
          <w:szCs w:val="14"/>
          <w:color w:val="auto"/>
        </w:rPr>
        <w:t>SECTION 8. Guarantor Subsidiary Confirmation. By signing below, the Guarantor Subsidiary hereby agrees to the terms of the foregoing Amendment and confirms that the VII Guarantee remains in full force and effect.</w:t>
      </w:r>
    </w:p>
    <w:p>
      <w:pPr>
        <w:spacing w:after="0" w:line="200" w:lineRule="exact"/>
        <w:rPr>
          <w:sz w:val="20"/>
          <w:szCs w:val="20"/>
          <w:color w:val="auto"/>
        </w:rPr>
      </w:pPr>
    </w:p>
    <w:p>
      <w:pPr>
        <w:spacing w:after="0" w:line="29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8" w:right="1440" w:bottom="1440" w:gutter="0" w:footer="0" w:header="0"/>
        </w:sectPr>
      </w:pPr>
    </w:p>
    <w:bookmarkStart w:id="302" w:name="page303"/>
    <w:bookmarkEnd w:id="302"/>
    <w:p>
      <w:pPr>
        <w:ind w:right="3259" w:firstLine="970"/>
        <w:spacing w:after="0" w:line="235" w:lineRule="auto"/>
        <w:rPr>
          <w:sz w:val="20"/>
          <w:szCs w:val="20"/>
          <w:color w:val="auto"/>
        </w:rPr>
      </w:pPr>
      <w:r>
        <w:rPr>
          <w:rFonts w:ascii="Courier New" w:cs="Courier New" w:eastAsia="Courier New" w:hAnsi="Courier New"/>
          <w:sz w:val="15"/>
          <w:szCs w:val="15"/>
          <w:color w:val="auto"/>
        </w:rPr>
        <w:t>IN WITNESS WHEREOF, the parties hereto have caused this Amendment to be duly executed as of the date first above written.</w:t>
      </w:r>
    </w:p>
    <w:p>
      <w:pPr>
        <w:spacing w:after="0" w:line="170"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VIACOM INC., as Borrower</w:t>
      </w:r>
    </w:p>
    <w:p>
      <w:pPr>
        <w:spacing w:after="0" w:line="33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 /s/ Vaughn A. Clarke</w:t>
      </w:r>
    </w:p>
    <w:p>
      <w:pPr>
        <w:ind w:left="2540"/>
        <w:spacing w:after="0"/>
        <w:rPr>
          <w:sz w:val="20"/>
          <w:szCs w:val="20"/>
          <w:color w:val="auto"/>
        </w:rPr>
      </w:pPr>
      <w:r>
        <w:rPr>
          <w:rFonts w:ascii="Courier New" w:cs="Courier New" w:eastAsia="Courier New" w:hAnsi="Courier New"/>
          <w:sz w:val="15"/>
          <w:szCs w:val="15"/>
          <w:color w:val="auto"/>
        </w:rPr>
        <w:t>--------------------------------</w:t>
      </w:r>
    </w:p>
    <w:p>
      <w:pPr>
        <w:ind w:left="2540"/>
        <w:spacing w:after="0"/>
        <w:rPr>
          <w:sz w:val="20"/>
          <w:szCs w:val="20"/>
          <w:color w:val="auto"/>
        </w:rPr>
      </w:pPr>
      <w:r>
        <w:rPr>
          <w:rFonts w:ascii="Courier New" w:cs="Courier New" w:eastAsia="Courier New" w:hAnsi="Courier New"/>
          <w:sz w:val="15"/>
          <w:szCs w:val="15"/>
          <w:color w:val="auto"/>
        </w:rPr>
        <w:t>Name: Vaughn A. Clarke</w:t>
      </w:r>
    </w:p>
    <w:p>
      <w:pPr>
        <w:ind w:left="254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VIACOM INTERNATIONAL INC., as a Subsidiary</w:t>
      </w:r>
    </w:p>
    <w:p>
      <w:pPr>
        <w:ind w:left="2280"/>
        <w:spacing w:after="0"/>
        <w:rPr>
          <w:sz w:val="20"/>
          <w:szCs w:val="20"/>
          <w:color w:val="auto"/>
        </w:rPr>
      </w:pPr>
      <w:r>
        <w:rPr>
          <w:rFonts w:ascii="Courier New" w:cs="Courier New" w:eastAsia="Courier New" w:hAnsi="Courier New"/>
          <w:sz w:val="15"/>
          <w:szCs w:val="15"/>
          <w:color w:val="auto"/>
        </w:rPr>
        <w:t>Borrower and as a Guarantor Subsidiary</w:t>
      </w:r>
    </w:p>
    <w:p>
      <w:pPr>
        <w:spacing w:after="0" w:line="338"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 /s/ Vaughn A. Clarke</w:t>
      </w:r>
    </w:p>
    <w:p>
      <w:pPr>
        <w:ind w:left="2540"/>
        <w:spacing w:after="0"/>
        <w:rPr>
          <w:sz w:val="20"/>
          <w:szCs w:val="20"/>
          <w:color w:val="auto"/>
        </w:rPr>
      </w:pPr>
      <w:r>
        <w:rPr>
          <w:rFonts w:ascii="Courier New" w:cs="Courier New" w:eastAsia="Courier New" w:hAnsi="Courier New"/>
          <w:sz w:val="15"/>
          <w:szCs w:val="15"/>
          <w:color w:val="auto"/>
        </w:rPr>
        <w:t>--------------------------------</w:t>
      </w:r>
    </w:p>
    <w:p>
      <w:pPr>
        <w:ind w:left="2540"/>
        <w:spacing w:after="0"/>
        <w:rPr>
          <w:sz w:val="20"/>
          <w:szCs w:val="20"/>
          <w:color w:val="auto"/>
        </w:rPr>
      </w:pPr>
      <w:r>
        <w:rPr>
          <w:rFonts w:ascii="Courier New" w:cs="Courier New" w:eastAsia="Courier New" w:hAnsi="Courier New"/>
          <w:sz w:val="15"/>
          <w:szCs w:val="15"/>
          <w:color w:val="auto"/>
        </w:rPr>
        <w:t>Name: Vaughn A. Clarke</w:t>
      </w:r>
    </w:p>
    <w:p>
      <w:pPr>
        <w:ind w:left="254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On behalf of the following Subsidiary Borrowers:</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VIACOM CABLEVISION OF DAYTON INC.,</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WNYT INC.,</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WMZQ INC. and</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WVIT INC.,</w:t>
      </w:r>
    </w:p>
    <w:p>
      <w:pPr>
        <w:spacing w:after="0" w:line="33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By:/s/ Vaughn A. Clarke</w:t>
      </w:r>
    </w:p>
    <w:p>
      <w:pPr>
        <w:ind w:left="2540"/>
        <w:spacing w:after="0"/>
        <w:rPr>
          <w:sz w:val="20"/>
          <w:szCs w:val="20"/>
          <w:color w:val="auto"/>
        </w:rPr>
      </w:pPr>
      <w:r>
        <w:rPr>
          <w:rFonts w:ascii="Courier New" w:cs="Courier New" w:eastAsia="Courier New" w:hAnsi="Courier New"/>
          <w:sz w:val="15"/>
          <w:szCs w:val="15"/>
          <w:color w:val="auto"/>
        </w:rPr>
        <w:t>--------------------------------</w:t>
      </w:r>
    </w:p>
    <w:p>
      <w:pPr>
        <w:ind w:left="2540"/>
        <w:spacing w:after="0"/>
        <w:tabs>
          <w:tab w:leader="none" w:pos="3140" w:val="left"/>
        </w:tabs>
        <w:rPr>
          <w:sz w:val="20"/>
          <w:szCs w:val="20"/>
          <w:color w:val="auto"/>
        </w:rPr>
      </w:pPr>
      <w:r>
        <w:rPr>
          <w:rFonts w:ascii="Courier New" w:cs="Courier New" w:eastAsia="Courier New" w:hAnsi="Courier New"/>
          <w:sz w:val="15"/>
          <w:szCs w:val="15"/>
          <w:color w:val="auto"/>
        </w:rPr>
        <w:t>Name:</w:t>
        <w:tab/>
        <w:t>Vaughn A. Clarke</w:t>
      </w:r>
    </w:p>
    <w:p>
      <w:pPr>
        <w:ind w:left="254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VIACOM INTERNATIONAL SERVICES INC.</w:t>
      </w:r>
    </w:p>
    <w:p>
      <w:pPr>
        <w:spacing w:after="0" w:line="33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By:/s/ Vaughn A. Clarke</w:t>
      </w:r>
    </w:p>
    <w:p>
      <w:pPr>
        <w:ind w:left="2540"/>
        <w:spacing w:after="0"/>
        <w:rPr>
          <w:sz w:val="20"/>
          <w:szCs w:val="20"/>
          <w:color w:val="auto"/>
        </w:rPr>
      </w:pPr>
      <w:r>
        <w:rPr>
          <w:rFonts w:ascii="Courier New" w:cs="Courier New" w:eastAsia="Courier New" w:hAnsi="Courier New"/>
          <w:sz w:val="15"/>
          <w:szCs w:val="15"/>
          <w:color w:val="auto"/>
        </w:rPr>
        <w:t>--------------------------------</w:t>
      </w:r>
    </w:p>
    <w:p>
      <w:pPr>
        <w:ind w:left="2540"/>
        <w:spacing w:after="0"/>
        <w:tabs>
          <w:tab w:leader="none" w:pos="3140" w:val="left"/>
        </w:tabs>
        <w:rPr>
          <w:sz w:val="20"/>
          <w:szCs w:val="20"/>
          <w:color w:val="auto"/>
        </w:rPr>
      </w:pPr>
      <w:r>
        <w:rPr>
          <w:rFonts w:ascii="Courier New" w:cs="Courier New" w:eastAsia="Courier New" w:hAnsi="Courier New"/>
          <w:sz w:val="15"/>
          <w:szCs w:val="15"/>
          <w:color w:val="auto"/>
        </w:rPr>
        <w:t>Name:</w:t>
        <w:tab/>
        <w:t>Vaughn A. Clarke</w:t>
      </w:r>
    </w:p>
    <w:p>
      <w:pPr>
        <w:ind w:left="254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200" w:lineRule="exact"/>
        <w:rPr>
          <w:sz w:val="20"/>
          <w:szCs w:val="20"/>
          <w:color w:val="auto"/>
        </w:rPr>
      </w:pPr>
    </w:p>
    <w:p>
      <w:pPr>
        <w:spacing w:after="0" w:line="308"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CREDIT SUISSE</w:t>
      </w:r>
    </w:p>
    <w:p>
      <w:pPr>
        <w:spacing w:after="0" w:line="33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By:/s/ J. Hamilton Crawford</w:t>
      </w:r>
    </w:p>
    <w:p>
      <w:pPr>
        <w:ind w:left="2540"/>
        <w:spacing w:after="0"/>
        <w:rPr>
          <w:sz w:val="20"/>
          <w:szCs w:val="20"/>
          <w:color w:val="auto"/>
        </w:rPr>
      </w:pPr>
      <w:r>
        <w:rPr>
          <w:rFonts w:ascii="Courier New" w:cs="Courier New" w:eastAsia="Courier New" w:hAnsi="Courier New"/>
          <w:sz w:val="15"/>
          <w:szCs w:val="15"/>
          <w:color w:val="auto"/>
        </w:rPr>
        <w:t>--------------------------------</w:t>
      </w:r>
    </w:p>
    <w:p>
      <w:pPr>
        <w:ind w:left="2540"/>
        <w:spacing w:after="0"/>
        <w:rPr>
          <w:sz w:val="20"/>
          <w:szCs w:val="20"/>
          <w:color w:val="auto"/>
        </w:rPr>
      </w:pPr>
      <w:r>
        <w:rPr>
          <w:rFonts w:ascii="Courier New" w:cs="Courier New" w:eastAsia="Courier New" w:hAnsi="Courier New"/>
          <w:sz w:val="15"/>
          <w:szCs w:val="15"/>
          <w:color w:val="auto"/>
        </w:rPr>
        <w:t>Name: J. Hamilton Crawford</w:t>
      </w:r>
    </w:p>
    <w:p>
      <w:pPr>
        <w:ind w:left="2540"/>
        <w:spacing w:after="0" w:line="238" w:lineRule="auto"/>
        <w:rPr>
          <w:sz w:val="20"/>
          <w:szCs w:val="20"/>
          <w:color w:val="auto"/>
        </w:rPr>
      </w:pPr>
      <w:r>
        <w:rPr>
          <w:rFonts w:ascii="Courier New" w:cs="Courier New" w:eastAsia="Courier New" w:hAnsi="Courier New"/>
          <w:sz w:val="15"/>
          <w:szCs w:val="15"/>
          <w:color w:val="auto"/>
        </w:rPr>
        <w:t>Title: Associate</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8" w:right="1440" w:bottom="1440" w:gutter="0" w:footer="0" w:header="0"/>
        </w:sectPr>
      </w:pPr>
    </w:p>
    <w:bookmarkStart w:id="303" w:name="page304"/>
    <w:bookmarkEnd w:id="303"/>
    <w:p>
      <w:pPr>
        <w:ind w:left="1080"/>
        <w:spacing w:after="0"/>
        <w:rPr>
          <w:sz w:val="20"/>
          <w:szCs w:val="20"/>
          <w:color w:val="auto"/>
        </w:rPr>
      </w:pPr>
      <w:r>
        <w:rPr>
          <w:rFonts w:ascii="Courier New" w:cs="Courier New" w:eastAsia="Courier New" w:hAnsi="Courier New"/>
          <w:sz w:val="15"/>
          <w:szCs w:val="15"/>
          <w:color w:val="auto"/>
        </w:rPr>
        <w:t>SOCIETE GENERALE</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Elaine I. Khalil</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Elaine I. Khalil</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BANK OF NEW YORK</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Geoffrey C. Brooks</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Name: Geoffrey C. Brooks</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BANK OF TOKYO TRUST COMPANY</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John P. Judge</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John P. Judge</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TOYO TRUST &amp; BANKING CO.,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Hiroyuki Fukuro</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Hiroyuki Fukuro</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13"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FIRST INTERSTATE BANK OF WASHINGTON</w:t>
      </w:r>
    </w:p>
    <w:p>
      <w:pPr>
        <w:spacing w:after="0" w:line="344"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Susan Hendrixson</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Susan Hendrixson</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019"/>
          </w:cols>
          <w:pgMar w:left="1440" w:top="622" w:right="1440" w:bottom="1440" w:gutter="0" w:footer="0" w:header="0"/>
        </w:sectPr>
      </w:pPr>
    </w:p>
    <w:bookmarkStart w:id="304" w:name="page305"/>
    <w:bookmarkEnd w:id="304"/>
    <w:p>
      <w:pPr>
        <w:ind w:left="1080"/>
        <w:spacing w:after="0"/>
        <w:rPr>
          <w:sz w:val="20"/>
          <w:szCs w:val="20"/>
          <w:color w:val="auto"/>
        </w:rPr>
      </w:pPr>
      <w:r>
        <w:rPr>
          <w:rFonts w:ascii="Courier New" w:cs="Courier New" w:eastAsia="Courier New" w:hAnsi="Courier New"/>
          <w:sz w:val="15"/>
          <w:szCs w:val="15"/>
          <w:color w:val="auto"/>
        </w:rPr>
        <w:t>UNION BANK OF SWITZERLAND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Stephen A. Cayer</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Stephen A. Cayer</w:t>
      </w:r>
    </w:p>
    <w:p>
      <w:pPr>
        <w:ind w:left="1180"/>
        <w:spacing w:after="0" w:line="238" w:lineRule="auto"/>
        <w:rPr>
          <w:sz w:val="20"/>
          <w:szCs w:val="20"/>
          <w:color w:val="auto"/>
        </w:rPr>
      </w:pPr>
      <w:r>
        <w:rPr>
          <w:rFonts w:ascii="Courier New" w:cs="Courier New" w:eastAsia="Courier New" w:hAnsi="Courier New"/>
          <w:sz w:val="15"/>
          <w:szCs w:val="15"/>
          <w:color w:val="auto"/>
        </w:rPr>
        <w:t>Title: Assistant Treasurer</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Peter B. Yearly</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Peter B. Yearly</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MITSUBISHI BANK,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Paula Mueller</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Paula Mueller</w:t>
      </w:r>
    </w:p>
    <w:p>
      <w:pPr>
        <w:ind w:left="1340"/>
        <w:spacing w:after="0" w:line="238" w:lineRule="auto"/>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14"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THE MITSUBISHI TRUST AND BANKING CORPORATION</w:t>
      </w:r>
    </w:p>
    <w:p>
      <w:pPr>
        <w:spacing w:after="0" w:line="344"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Patricia Loret De Mola</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rPr>
          <w:sz w:val="20"/>
          <w:szCs w:val="20"/>
          <w:color w:val="auto"/>
        </w:rPr>
      </w:pPr>
      <w:r>
        <w:rPr>
          <w:rFonts w:ascii="Courier New" w:cs="Courier New" w:eastAsia="Courier New" w:hAnsi="Courier New"/>
          <w:sz w:val="15"/>
          <w:szCs w:val="15"/>
          <w:color w:val="auto"/>
        </w:rPr>
        <w:t>Name: Patricia Loret De Mola</w:t>
      </w:r>
    </w:p>
    <w:p>
      <w:pPr>
        <w:ind w:left="134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SUMITOMO BANK,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S. Higashi</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rPr>
          <w:sz w:val="20"/>
          <w:szCs w:val="20"/>
          <w:color w:val="auto"/>
        </w:rPr>
      </w:pPr>
      <w:r>
        <w:rPr>
          <w:rFonts w:ascii="Courier New" w:cs="Courier New" w:eastAsia="Courier New" w:hAnsi="Courier New"/>
          <w:sz w:val="15"/>
          <w:szCs w:val="15"/>
          <w:color w:val="auto"/>
        </w:rPr>
        <w:t>Name: S. Higashi</w:t>
      </w:r>
    </w:p>
    <w:p>
      <w:pPr>
        <w:ind w:left="1340"/>
        <w:spacing w:after="0" w:line="238" w:lineRule="auto"/>
        <w:rPr>
          <w:sz w:val="20"/>
          <w:szCs w:val="20"/>
          <w:color w:val="auto"/>
        </w:rPr>
      </w:pPr>
      <w:r>
        <w:rPr>
          <w:rFonts w:ascii="Courier New" w:cs="Courier New" w:eastAsia="Courier New" w:hAnsi="Courier New"/>
          <w:sz w:val="15"/>
          <w:szCs w:val="15"/>
          <w:color w:val="auto"/>
        </w:rPr>
        <w:t>Title: Joint General Manager</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NIPPON CREDIT BANK,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Bernardo E. Correa-Henschke</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rPr>
          <w:sz w:val="20"/>
          <w:szCs w:val="20"/>
          <w:color w:val="auto"/>
        </w:rPr>
      </w:pPr>
      <w:r>
        <w:rPr>
          <w:rFonts w:ascii="Courier New" w:cs="Courier New" w:eastAsia="Courier New" w:hAnsi="Courier New"/>
          <w:sz w:val="15"/>
          <w:szCs w:val="15"/>
          <w:color w:val="auto"/>
        </w:rPr>
        <w:t>Name: Bernardo E. Correa-Henschke</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 &amp; Manager</w:t>
      </w:r>
    </w:p>
    <w:p>
      <w:pPr>
        <w:spacing w:after="0" w:line="200" w:lineRule="exact"/>
        <w:rPr>
          <w:sz w:val="20"/>
          <w:szCs w:val="20"/>
          <w:color w:val="auto"/>
        </w:rPr>
      </w:pPr>
    </w:p>
    <w:p>
      <w:pPr>
        <w:spacing w:after="0" w:line="30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019"/>
          </w:cols>
          <w:pgMar w:left="1440" w:top="622" w:right="1440" w:bottom="1440" w:gutter="0" w:footer="0" w:header="0"/>
        </w:sectPr>
      </w:pPr>
    </w:p>
    <w:bookmarkStart w:id="305" w:name="page306"/>
    <w:bookmarkEnd w:id="305"/>
    <w:p>
      <w:pPr>
        <w:ind w:left="1080"/>
        <w:spacing w:after="0"/>
        <w:rPr>
          <w:sz w:val="20"/>
          <w:szCs w:val="20"/>
          <w:color w:val="auto"/>
        </w:rPr>
      </w:pPr>
      <w:r>
        <w:rPr>
          <w:rFonts w:ascii="Courier New" w:cs="Courier New" w:eastAsia="Courier New" w:hAnsi="Courier New"/>
          <w:sz w:val="15"/>
          <w:szCs w:val="15"/>
          <w:color w:val="auto"/>
        </w:rPr>
        <w:t>THE SAKURA BANK,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Hiroshi Shimazaki</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Name: Hiroshi Shimazaki</w:t>
      </w:r>
    </w:p>
    <w:p>
      <w:pPr>
        <w:ind w:left="1340"/>
        <w:spacing w:after="0"/>
        <w:rPr>
          <w:sz w:val="20"/>
          <w:szCs w:val="20"/>
          <w:color w:val="auto"/>
        </w:rPr>
      </w:pPr>
      <w:r>
        <w:rPr>
          <w:rFonts w:ascii="Courier New" w:cs="Courier New" w:eastAsia="Courier New" w:hAnsi="Courier New"/>
          <w:sz w:val="15"/>
          <w:szCs w:val="15"/>
          <w:color w:val="auto"/>
        </w:rPr>
        <w:t>Title: Senior Vice President</w:t>
      </w:r>
    </w:p>
    <w:p>
      <w:pPr>
        <w:ind w:left="1960"/>
        <w:spacing w:after="0"/>
        <w:rPr>
          <w:sz w:val="20"/>
          <w:szCs w:val="20"/>
          <w:color w:val="auto"/>
        </w:rPr>
      </w:pPr>
      <w:r>
        <w:rPr>
          <w:rFonts w:ascii="Courier New" w:cs="Courier New" w:eastAsia="Courier New" w:hAnsi="Courier New"/>
          <w:sz w:val="15"/>
          <w:szCs w:val="15"/>
          <w:color w:val="auto"/>
        </w:rPr>
        <w:t>&amp; Manager</w:t>
      </w:r>
    </w:p>
    <w:p>
      <w:pPr>
        <w:spacing w:after="0" w:line="200" w:lineRule="exact"/>
        <w:rPr>
          <w:sz w:val="20"/>
          <w:szCs w:val="20"/>
          <w:color w:val="auto"/>
        </w:rPr>
      </w:pPr>
    </w:p>
    <w:p>
      <w:pPr>
        <w:spacing w:after="0" w:line="30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ROYAL BANK OF CANADA</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Cynthia K. Wong</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Cynthia K. Wong</w:t>
      </w:r>
    </w:p>
    <w:p>
      <w:pPr>
        <w:ind w:left="1340"/>
        <w:spacing w:after="0"/>
        <w:rPr>
          <w:sz w:val="20"/>
          <w:szCs w:val="20"/>
          <w:color w:val="auto"/>
        </w:rPr>
      </w:pPr>
      <w:r>
        <w:rPr>
          <w:rFonts w:ascii="Courier New" w:cs="Courier New" w:eastAsia="Courier New" w:hAnsi="Courier New"/>
          <w:sz w:val="15"/>
          <w:szCs w:val="15"/>
          <w:color w:val="auto"/>
        </w:rPr>
        <w:t>Title: Manager</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SANWA BANK,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 /s/ Dominic J. Sorresso</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Name: Dominic J. Sorresso</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TOKAI BANK,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Stuart Schulman</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Stuart Schulman</w:t>
      </w:r>
    </w:p>
    <w:p>
      <w:pPr>
        <w:ind w:left="1340"/>
        <w:spacing w:after="0"/>
        <w:rPr>
          <w:sz w:val="20"/>
          <w:szCs w:val="20"/>
          <w:color w:val="auto"/>
        </w:rPr>
      </w:pPr>
      <w:r>
        <w:rPr>
          <w:rFonts w:ascii="Courier New" w:cs="Courier New" w:eastAsia="Courier New" w:hAnsi="Courier New"/>
          <w:sz w:val="15"/>
          <w:szCs w:val="15"/>
          <w:color w:val="auto"/>
        </w:rPr>
        <w:t>Title: Senior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CHEMICAL BANK</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John J. Huber III</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Name: John J. Huber III</w:t>
      </w:r>
    </w:p>
    <w:p>
      <w:pPr>
        <w:ind w:left="1340"/>
        <w:spacing w:after="0"/>
        <w:rPr>
          <w:sz w:val="20"/>
          <w:szCs w:val="20"/>
          <w:color w:val="auto"/>
        </w:rPr>
      </w:pPr>
      <w:r>
        <w:rPr>
          <w:rFonts w:ascii="Courier New" w:cs="Courier New" w:eastAsia="Courier New" w:hAnsi="Courier New"/>
          <w:sz w:val="15"/>
          <w:szCs w:val="15"/>
          <w:color w:val="auto"/>
        </w:rPr>
        <w:t>Title: Managing Director</w:t>
      </w:r>
    </w:p>
    <w:p>
      <w:pPr>
        <w:spacing w:after="0" w:line="200" w:lineRule="exact"/>
        <w:rPr>
          <w:sz w:val="20"/>
          <w:szCs w:val="20"/>
          <w:color w:val="auto"/>
        </w:rPr>
      </w:pPr>
    </w:p>
    <w:p>
      <w:pPr>
        <w:spacing w:after="0" w:line="30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019"/>
          </w:cols>
          <w:pgMar w:left="1440" w:top="622" w:right="1440" w:bottom="1440" w:gutter="0" w:footer="0" w:header="0"/>
        </w:sectPr>
      </w:pPr>
    </w:p>
    <w:bookmarkStart w:id="306" w:name="page307"/>
    <w:bookmarkEnd w:id="306"/>
    <w:p>
      <w:pPr>
        <w:ind w:left="1080"/>
        <w:spacing w:after="0"/>
        <w:rPr>
          <w:sz w:val="20"/>
          <w:szCs w:val="20"/>
          <w:color w:val="auto"/>
        </w:rPr>
      </w:pPr>
      <w:r>
        <w:rPr>
          <w:rFonts w:ascii="Courier New" w:cs="Courier New" w:eastAsia="Courier New" w:hAnsi="Courier New"/>
          <w:sz w:val="15"/>
          <w:szCs w:val="15"/>
          <w:color w:val="auto"/>
        </w:rPr>
        <w:t>THE DAI-CHI KANGYO BANK,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Ronald Wolinsky</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Ronald Wolinsky</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 &amp; Group Leader</w:t>
      </w:r>
    </w:p>
    <w:p>
      <w:pPr>
        <w:spacing w:after="0" w:line="200" w:lineRule="exact"/>
        <w:rPr>
          <w:sz w:val="20"/>
          <w:szCs w:val="20"/>
          <w:color w:val="auto"/>
        </w:rPr>
      </w:pPr>
    </w:p>
    <w:p>
      <w:pPr>
        <w:spacing w:after="0" w:line="314"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MORGAN GUARANTY TRUST COMPANY OF NEW YORK</w:t>
      </w:r>
    </w:p>
    <w:p>
      <w:pPr>
        <w:spacing w:after="0" w:line="344"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R. BLake Witherington</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rPr>
          <w:sz w:val="20"/>
          <w:szCs w:val="20"/>
          <w:color w:val="auto"/>
        </w:rPr>
      </w:pPr>
      <w:r>
        <w:rPr>
          <w:rFonts w:ascii="Courier New" w:cs="Courier New" w:eastAsia="Courier New" w:hAnsi="Courier New"/>
          <w:sz w:val="15"/>
          <w:szCs w:val="15"/>
          <w:color w:val="auto"/>
        </w:rPr>
        <w:t>Name: R. BLake Witherington</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019"/>
          </w:cols>
          <w:pgMar w:left="1440" w:top="621" w:right="1440" w:bottom="1440" w:gutter="0" w:footer="0" w:header="0"/>
        </w:sectPr>
      </w:pPr>
    </w:p>
    <w:bookmarkStart w:id="307" w:name="page308"/>
    <w:bookmarkEnd w:id="307"/>
    <w:p>
      <w:pPr>
        <w:ind w:left="1080"/>
        <w:spacing w:after="0"/>
        <w:rPr>
          <w:sz w:val="20"/>
          <w:szCs w:val="20"/>
          <w:color w:val="auto"/>
        </w:rPr>
      </w:pPr>
      <w:r>
        <w:rPr>
          <w:rFonts w:ascii="Courier New" w:cs="Courier New" w:eastAsia="Courier New" w:hAnsi="Courier New"/>
          <w:sz w:val="15"/>
          <w:szCs w:val="15"/>
          <w:color w:val="auto"/>
        </w:rPr>
        <w:t>CITIBANK, N.A.</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Margaret C. Ullrich</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rPr>
          <w:sz w:val="20"/>
          <w:szCs w:val="20"/>
          <w:color w:val="auto"/>
        </w:rPr>
      </w:pPr>
      <w:r>
        <w:rPr>
          <w:rFonts w:ascii="Courier New" w:cs="Courier New" w:eastAsia="Courier New" w:hAnsi="Courier New"/>
          <w:sz w:val="15"/>
          <w:szCs w:val="15"/>
          <w:color w:val="auto"/>
        </w:rPr>
        <w:t>Name: Margaret C. Ullrich</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MELLON BANK, N.A.</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 /s/ G. Luis Ashley</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G. Luis Ashley</w:t>
      </w:r>
    </w:p>
    <w:p>
      <w:pPr>
        <w:ind w:left="1340"/>
        <w:spacing w:after="0" w:line="238" w:lineRule="auto"/>
        <w:rPr>
          <w:sz w:val="20"/>
          <w:szCs w:val="20"/>
          <w:color w:val="auto"/>
        </w:rPr>
      </w:pPr>
      <w:r>
        <w:rPr>
          <w:rFonts w:ascii="Courier New" w:cs="Courier New" w:eastAsia="Courier New" w:hAnsi="Courier New"/>
          <w:sz w:val="15"/>
          <w:szCs w:val="15"/>
          <w:color w:val="auto"/>
        </w:rPr>
        <w:t>Title: First Vice President</w:t>
      </w:r>
    </w:p>
    <w:p>
      <w:pPr>
        <w:spacing w:after="0" w:line="200" w:lineRule="exact"/>
        <w:rPr>
          <w:sz w:val="20"/>
          <w:szCs w:val="20"/>
          <w:color w:val="auto"/>
        </w:rPr>
      </w:pPr>
    </w:p>
    <w:p>
      <w:pPr>
        <w:spacing w:after="0" w:line="314"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COMPAGNIE FINANCIERE DE CIC ET DE L'UNION</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EUROPENNE</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Brian O'Leary</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Brian O'Leary</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Marcus Edward</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Marcus Edward</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BANK OF NOVA SCOTIA</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Vincent Fitzgerald, Jr.</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rPr>
          <w:sz w:val="20"/>
          <w:szCs w:val="20"/>
          <w:color w:val="auto"/>
        </w:rPr>
      </w:pPr>
      <w:r>
        <w:rPr>
          <w:rFonts w:ascii="Courier New" w:cs="Courier New" w:eastAsia="Courier New" w:hAnsi="Courier New"/>
          <w:sz w:val="15"/>
          <w:szCs w:val="15"/>
          <w:color w:val="auto"/>
        </w:rPr>
        <w:t>Name: Vincent Fitzgerald, Jr.</w:t>
      </w:r>
    </w:p>
    <w:p>
      <w:pPr>
        <w:ind w:left="1340"/>
        <w:spacing w:after="0" w:line="238" w:lineRule="auto"/>
        <w:rPr>
          <w:sz w:val="20"/>
          <w:szCs w:val="20"/>
          <w:color w:val="auto"/>
        </w:rPr>
      </w:pPr>
      <w:r>
        <w:rPr>
          <w:rFonts w:ascii="Courier New" w:cs="Courier New" w:eastAsia="Courier New" w:hAnsi="Courier New"/>
          <w:sz w:val="15"/>
          <w:szCs w:val="15"/>
          <w:color w:val="auto"/>
        </w:rPr>
        <w:t>Title: Authorized Signatory</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FUJI BANK,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Katsunori Nozawa</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Katsunori Nozawa</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 &amp; Manager</w:t>
      </w:r>
    </w:p>
    <w:p>
      <w:pPr>
        <w:spacing w:after="0" w:line="200" w:lineRule="exact"/>
        <w:rPr>
          <w:sz w:val="20"/>
          <w:szCs w:val="20"/>
          <w:color w:val="auto"/>
        </w:rPr>
      </w:pPr>
    </w:p>
    <w:p>
      <w:pPr>
        <w:spacing w:after="0" w:line="30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019"/>
          </w:cols>
          <w:pgMar w:left="1440" w:top="791" w:right="1440" w:bottom="1440" w:gutter="0" w:footer="0" w:header="0"/>
        </w:sectPr>
      </w:pPr>
    </w:p>
    <w:bookmarkStart w:id="308" w:name="page309"/>
    <w:bookmarkEnd w:id="308"/>
    <w:p>
      <w:pPr>
        <w:ind w:left="1080"/>
        <w:spacing w:after="0"/>
        <w:rPr>
          <w:sz w:val="20"/>
          <w:szCs w:val="20"/>
          <w:color w:val="auto"/>
        </w:rPr>
      </w:pPr>
      <w:r>
        <w:rPr>
          <w:rFonts w:ascii="Courier New" w:cs="Courier New" w:eastAsia="Courier New" w:hAnsi="Courier New"/>
          <w:sz w:val="14"/>
          <w:szCs w:val="14"/>
          <w:color w:val="auto"/>
        </w:rPr>
        <w:t>THE LONG-TERM CREDIT BANK OF JAPAN, LTD.</w:t>
      </w:r>
    </w:p>
    <w:p>
      <w:pPr>
        <w:spacing w:after="0" w:line="344"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John A. Krob</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John A. Krob</w:t>
      </w:r>
    </w:p>
    <w:p>
      <w:pPr>
        <w:ind w:left="1340"/>
        <w:spacing w:after="0" w:line="238" w:lineRule="auto"/>
        <w:rPr>
          <w:sz w:val="20"/>
          <w:szCs w:val="20"/>
          <w:color w:val="auto"/>
        </w:rPr>
      </w:pPr>
      <w:r>
        <w:rPr>
          <w:rFonts w:ascii="Courier New" w:cs="Courier New" w:eastAsia="Courier New" w:hAnsi="Courier New"/>
          <w:sz w:val="15"/>
          <w:szCs w:val="15"/>
          <w:color w:val="auto"/>
        </w:rPr>
        <w:t>Title: Deputy General Manager</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BANK OF AMERICA</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Amy S. Trapp</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Amy S. Trapp</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NATIONSBANK OF TEXAS, N.A.</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Chad E. Coben</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Chad E. Coben</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DEUTSCHE BANK</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Steven M. Godeke</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Steven M. Godele</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Bina R. Dabbah</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Bina R. Dabbah</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019"/>
          </w:cols>
          <w:pgMar w:left="1440" w:top="627" w:right="1440" w:bottom="1440" w:gutter="0" w:footer="0" w:header="0"/>
        </w:sectPr>
      </w:pPr>
    </w:p>
    <w:bookmarkStart w:id="309" w:name="page310"/>
    <w:bookmarkEnd w:id="309"/>
    <w:p>
      <w:pPr>
        <w:ind w:left="1080"/>
        <w:spacing w:after="0"/>
        <w:rPr>
          <w:sz w:val="20"/>
          <w:szCs w:val="20"/>
          <w:color w:val="auto"/>
        </w:rPr>
      </w:pPr>
      <w:r>
        <w:rPr>
          <w:rFonts w:ascii="Courier New" w:cs="Courier New" w:eastAsia="Courier New" w:hAnsi="Courier New"/>
          <w:sz w:val="15"/>
          <w:szCs w:val="15"/>
          <w:color w:val="auto"/>
        </w:rPr>
        <w:t>UNION BANK</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Gabriel A. Renga</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Gabriel A. Renga</w:t>
      </w:r>
    </w:p>
    <w:p>
      <w:pPr>
        <w:ind w:left="1340"/>
        <w:spacing w:after="0"/>
        <w:rPr>
          <w:sz w:val="20"/>
          <w:szCs w:val="20"/>
          <w:color w:val="auto"/>
        </w:rPr>
      </w:pPr>
      <w:r>
        <w:rPr>
          <w:rFonts w:ascii="Courier New" w:cs="Courier New" w:eastAsia="Courier New" w:hAnsi="Courier New"/>
          <w:sz w:val="15"/>
          <w:szCs w:val="15"/>
          <w:color w:val="auto"/>
        </w:rPr>
        <w:t>Title: Senior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TORONTO DOMINION BANK</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Neva Nesbitt</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Neva Nesbitt</w:t>
      </w:r>
    </w:p>
    <w:p>
      <w:pPr>
        <w:ind w:left="1340"/>
        <w:spacing w:after="0"/>
        <w:rPr>
          <w:sz w:val="20"/>
          <w:szCs w:val="20"/>
          <w:color w:val="auto"/>
        </w:rPr>
      </w:pPr>
      <w:r>
        <w:rPr>
          <w:rFonts w:ascii="Courier New" w:cs="Courier New" w:eastAsia="Courier New" w:hAnsi="Courier New"/>
          <w:sz w:val="15"/>
          <w:szCs w:val="15"/>
          <w:color w:val="auto"/>
        </w:rPr>
        <w:t>Title: Manager, Credit Admin.</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BANQUE PARIBAS</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Eileen M. Burke</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Eileen M. Burke</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Cindy D. Hewitt</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Cindy D. Hewitt</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BARCLAYS BANK PLC</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James K. Downy</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James K. Downy</w:t>
      </w:r>
    </w:p>
    <w:p>
      <w:pPr>
        <w:ind w:left="1340"/>
        <w:spacing w:after="0"/>
        <w:rPr>
          <w:sz w:val="20"/>
          <w:szCs w:val="20"/>
          <w:color w:val="auto"/>
        </w:rPr>
      </w:pPr>
      <w:r>
        <w:rPr>
          <w:rFonts w:ascii="Courier New" w:cs="Courier New" w:eastAsia="Courier New" w:hAnsi="Courier New"/>
          <w:sz w:val="15"/>
          <w:szCs w:val="15"/>
          <w:color w:val="auto"/>
        </w:rPr>
        <w:t>Title: Associate Director</w:t>
      </w:r>
    </w:p>
    <w:p>
      <w:pPr>
        <w:spacing w:after="0" w:line="33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BANK OF MONTREAL</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Yvonne Bos</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Yvonne Bos</w:t>
      </w:r>
    </w:p>
    <w:p>
      <w:pPr>
        <w:ind w:left="1340"/>
        <w:spacing w:after="0"/>
        <w:rPr>
          <w:sz w:val="20"/>
          <w:szCs w:val="20"/>
          <w:color w:val="auto"/>
        </w:rPr>
      </w:pPr>
      <w:r>
        <w:rPr>
          <w:rFonts w:ascii="Courier New" w:cs="Courier New" w:eastAsia="Courier New" w:hAnsi="Courier New"/>
          <w:sz w:val="15"/>
          <w:szCs w:val="15"/>
          <w:color w:val="auto"/>
        </w:rPr>
        <w:t>Title: Managing Director</w:t>
      </w:r>
    </w:p>
    <w:p>
      <w:pPr>
        <w:spacing w:after="0" w:line="200" w:lineRule="exact"/>
        <w:rPr>
          <w:sz w:val="20"/>
          <w:szCs w:val="20"/>
          <w:color w:val="auto"/>
        </w:rPr>
      </w:pPr>
    </w:p>
    <w:p>
      <w:pPr>
        <w:spacing w:after="0" w:line="30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019"/>
          </w:cols>
          <w:pgMar w:left="1440" w:top="622" w:right="1440" w:bottom="1440" w:gutter="0" w:footer="0" w:header="0"/>
        </w:sectPr>
      </w:pPr>
    </w:p>
    <w:bookmarkStart w:id="310" w:name="page311"/>
    <w:bookmarkEnd w:id="310"/>
    <w:p>
      <w:pPr>
        <w:ind w:left="1080"/>
        <w:spacing w:after="0"/>
        <w:rPr>
          <w:sz w:val="20"/>
          <w:szCs w:val="20"/>
          <w:color w:val="auto"/>
        </w:rPr>
      </w:pPr>
      <w:r>
        <w:rPr>
          <w:rFonts w:ascii="Courier New" w:cs="Courier New" w:eastAsia="Courier New" w:hAnsi="Courier New"/>
          <w:sz w:val="15"/>
          <w:szCs w:val="15"/>
          <w:color w:val="auto"/>
        </w:rPr>
        <w:t>CREDIT LYONNAIS</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James E. Morris</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James E. Morris</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019"/>
          </w:cols>
          <w:pgMar w:left="1440" w:top="791" w:right="1440" w:bottom="1440" w:gutter="0" w:footer="0" w:header="0"/>
        </w:sectPr>
      </w:pPr>
    </w:p>
    <w:bookmarkStart w:id="311" w:name="page312"/>
    <w:bookmarkEnd w:id="311"/>
    <w:p>
      <w:pPr>
        <w:ind w:left="3080"/>
        <w:spacing w:after="0"/>
        <w:rPr>
          <w:sz w:val="20"/>
          <w:szCs w:val="20"/>
          <w:color w:val="auto"/>
        </w:rPr>
      </w:pPr>
      <w:r>
        <w:rPr>
          <w:rFonts w:ascii="Courier New" w:cs="Courier New" w:eastAsia="Courier New" w:hAnsi="Courier New"/>
          <w:sz w:val="15"/>
          <w:szCs w:val="15"/>
          <w:color w:val="auto"/>
        </w:rPr>
        <w:t>Schedule I</w:t>
      </w:r>
    </w:p>
    <w:p>
      <w:pPr>
        <w:spacing w:after="0" w:line="169" w:lineRule="exact"/>
        <w:rPr>
          <w:sz w:val="20"/>
          <w:szCs w:val="20"/>
          <w:color w:val="auto"/>
        </w:rPr>
      </w:pPr>
    </w:p>
    <w:p>
      <w:pPr>
        <w:ind w:left="1220" w:hanging="260"/>
        <w:spacing w:after="0"/>
        <w:tabs>
          <w:tab w:leader="none" w:pos="122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Parents Agreement, dated as of July 24, 1995, among Viacom, TCI</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and TCI Sub.</w:t>
      </w:r>
    </w:p>
    <w:p>
      <w:pPr>
        <w:spacing w:after="0" w:line="174" w:lineRule="exact"/>
        <w:rPr>
          <w:rFonts w:ascii="Courier New" w:cs="Courier New" w:eastAsia="Courier New" w:hAnsi="Courier New"/>
          <w:sz w:val="15"/>
          <w:szCs w:val="15"/>
          <w:color w:val="auto"/>
        </w:rPr>
      </w:pPr>
    </w:p>
    <w:p>
      <w:pPr>
        <w:ind w:right="3359" w:firstLine="960"/>
        <w:spacing w:after="0" w:line="235" w:lineRule="auto"/>
        <w:tabs>
          <w:tab w:leader="none" w:pos="1234"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Implementation Agreement, dated as of July 24, 1995, between VII and VII Services.</w:t>
      </w:r>
    </w:p>
    <w:p>
      <w:pPr>
        <w:spacing w:after="0" w:line="175" w:lineRule="exact"/>
        <w:rPr>
          <w:rFonts w:ascii="Courier New" w:cs="Courier New" w:eastAsia="Courier New" w:hAnsi="Courier New"/>
          <w:sz w:val="15"/>
          <w:szCs w:val="15"/>
          <w:color w:val="auto"/>
        </w:rPr>
      </w:pPr>
    </w:p>
    <w:p>
      <w:pPr>
        <w:ind w:left="1220" w:hanging="260"/>
        <w:spacing w:after="0"/>
        <w:tabs>
          <w:tab w:leader="none" w:pos="122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Subscription Agreement, dated as of July 24, 1995, among VII, TCI</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and TCI Sub.</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791" w:right="1440" w:bottom="1440" w:gutter="0" w:footer="0" w:header="0"/>
        </w:sectPr>
      </w:pPr>
    </w:p>
    <w:bookmarkStart w:id="312" w:name="page313"/>
    <w:bookmarkEnd w:id="312"/>
    <w:p>
      <w:pPr>
        <w:jc w:val="center"/>
        <w:ind w:right="3099"/>
        <w:spacing w:after="0"/>
        <w:rPr>
          <w:sz w:val="20"/>
          <w:szCs w:val="20"/>
          <w:color w:val="auto"/>
        </w:rPr>
      </w:pPr>
      <w:r>
        <w:rPr>
          <w:rFonts w:ascii="Courier New" w:cs="Courier New" w:eastAsia="Courier New" w:hAnsi="Courier New"/>
          <w:sz w:val="15"/>
          <w:szCs w:val="15"/>
          <w:color w:val="auto"/>
        </w:rPr>
        <w:t>PRICING</w:t>
      </w:r>
    </w:p>
    <w:p>
      <w:pPr>
        <w:jc w:val="center"/>
        <w:ind w:right="3099"/>
        <w:spacing w:after="0"/>
        <w:rPr>
          <w:sz w:val="20"/>
          <w:szCs w:val="20"/>
          <w:color w:val="auto"/>
        </w:rPr>
      </w:pPr>
      <w:r>
        <w:rPr>
          <w:rFonts w:ascii="Courier New" w:cs="Courier New" w:eastAsia="Courier New" w:hAnsi="Courier New"/>
          <w:sz w:val="15"/>
          <w:szCs w:val="15"/>
          <w:color w:val="auto"/>
        </w:rPr>
        <w:t>AMENDMENT</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This Amendment ("Amendment"), dated as of November 17, 1995, shall</w:t>
      </w:r>
    </w:p>
    <w:p>
      <w:pPr>
        <w:spacing w:after="0"/>
        <w:rPr>
          <w:sz w:val="20"/>
          <w:szCs w:val="20"/>
          <w:color w:val="auto"/>
        </w:rPr>
      </w:pPr>
      <w:r>
        <w:rPr>
          <w:rFonts w:ascii="Courier New" w:cs="Courier New" w:eastAsia="Courier New" w:hAnsi="Courier New"/>
          <w:sz w:val="15"/>
          <w:szCs w:val="15"/>
          <w:color w:val="auto"/>
        </w:rPr>
        <w:t>be:</w:t>
      </w:r>
    </w:p>
    <w:p>
      <w:pPr>
        <w:spacing w:after="0" w:line="174" w:lineRule="exact"/>
        <w:rPr>
          <w:sz w:val="20"/>
          <w:szCs w:val="20"/>
          <w:color w:val="auto"/>
        </w:rPr>
      </w:pPr>
    </w:p>
    <w:p>
      <w:pPr>
        <w:ind w:right="3179" w:firstLine="970"/>
        <w:spacing w:after="0" w:line="238" w:lineRule="auto"/>
        <w:rPr>
          <w:sz w:val="20"/>
          <w:szCs w:val="20"/>
          <w:color w:val="auto"/>
        </w:rPr>
      </w:pPr>
      <w:r>
        <w:rPr>
          <w:rFonts w:ascii="Courier New" w:cs="Courier New" w:eastAsia="Courier New" w:hAnsi="Courier New"/>
          <w:sz w:val="15"/>
          <w:szCs w:val="15"/>
          <w:color w:val="auto"/>
        </w:rPr>
        <w:t>AMENDMENT NO. 3 to the $1.8 BILLION CREDIT AGREEMENT, dated as of September 29, 1994, as amended, (the "Credit Agreement") among VIACOM Inc., a Delaware corporation ("Viacom"), each of the several Banks, THE BANK OF NEW York, as a Managing Agent and as the Documentation Agent, CITIBANK, N.A., as a Managing Agent and as the Administrative Agent, MORGAN GUARANTY TRUST COMPANY OF NEW YORK, as a Managing Agent, JP MORGAN SECURITIES INC., as the Syndication Agent, BANK OF AMERICA NT&amp;SA, as a Managing Agent, the Banks identified as Agents of the signature pages thereof, as Agents.</w:t>
      </w:r>
    </w:p>
    <w:p>
      <w:pPr>
        <w:spacing w:after="0" w:line="172"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WITNESSETH:</w:t>
      </w:r>
    </w:p>
    <w:p>
      <w:pPr>
        <w:spacing w:after="0" w:line="175" w:lineRule="exact"/>
        <w:rPr>
          <w:sz w:val="20"/>
          <w:szCs w:val="20"/>
          <w:color w:val="auto"/>
        </w:rPr>
      </w:pPr>
    </w:p>
    <w:p>
      <w:pPr>
        <w:ind w:right="3439" w:firstLine="970"/>
        <w:spacing w:after="0" w:line="237" w:lineRule="auto"/>
        <w:rPr>
          <w:sz w:val="20"/>
          <w:szCs w:val="20"/>
          <w:color w:val="auto"/>
        </w:rPr>
      </w:pPr>
      <w:r>
        <w:rPr>
          <w:rFonts w:ascii="Courier New" w:cs="Courier New" w:eastAsia="Courier New" w:hAnsi="Courier New"/>
          <w:sz w:val="15"/>
          <w:szCs w:val="15"/>
          <w:color w:val="auto"/>
        </w:rPr>
        <w:t>WHEREAS, the parties who have heretofore entered into the Credit Agreement now desire to amend certain provisions of such agreement to provide for a change in the Applicable Eurodollar Rate Margin and Commitment Fees payable thereunder</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NOW THEREFORE, the parties hereto agree as follows:</w:t>
      </w:r>
    </w:p>
    <w:p>
      <w:pPr>
        <w:spacing w:after="0" w:line="169" w:lineRule="exact"/>
        <w:rPr>
          <w:sz w:val="20"/>
          <w:szCs w:val="20"/>
          <w:color w:val="auto"/>
        </w:rPr>
      </w:pPr>
    </w:p>
    <w:p>
      <w:pPr>
        <w:ind w:left="960"/>
        <w:spacing w:after="0"/>
        <w:tabs>
          <w:tab w:leader="none" w:pos="200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4"/>
          <w:szCs w:val="14"/>
          <w:color w:val="auto"/>
        </w:rPr>
        <w:t>Amendments.</w:t>
      </w:r>
    </w:p>
    <w:p>
      <w:pPr>
        <w:spacing w:after="0" w:line="175" w:lineRule="exact"/>
        <w:rPr>
          <w:sz w:val="20"/>
          <w:szCs w:val="20"/>
          <w:color w:val="auto"/>
        </w:rPr>
      </w:pPr>
    </w:p>
    <w:p>
      <w:pPr>
        <w:ind w:right="3619" w:firstLine="1401"/>
        <w:spacing w:after="0" w:line="237" w:lineRule="auto"/>
        <w:tabs>
          <w:tab w:leader="none" w:pos="1763"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definition of Applicable Eurodollar Rate Margin in section 1.1 of the Credit Agreement is hereby amended by deleting the table appearing therein and replacing it with the following table:</w:t>
      </w:r>
    </w:p>
    <w:p>
      <w:pPr>
        <w:spacing w:after="0" w:line="169" w:lineRule="exact"/>
        <w:rPr>
          <w:sz w:val="20"/>
          <w:szCs w:val="20"/>
          <w:color w:val="auto"/>
        </w:rPr>
      </w:pPr>
    </w:p>
    <w:tbl>
      <w:tblPr>
        <w:tblLayout w:type="fixed"/>
        <w:tblInd w:w="1400" w:type="dxa"/>
        <w:tblCellMar>
          <w:top w:w="0" w:type="dxa"/>
          <w:left w:w="0" w:type="dxa"/>
          <w:bottom w:w="0" w:type="dxa"/>
          <w:right w:w="0" w:type="dxa"/>
        </w:tblCellMar>
      </w:tblP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CREDIT RATING</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w w:val="96"/>
              </w:rPr>
              <w:t>MARGIN</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1580" w:type="dxa"/>
            <w:vAlign w:val="bottom"/>
          </w:tcPr>
          <w:p>
            <w:pPr>
              <w:spacing w:after="0"/>
              <w:rPr>
                <w:sz w:val="20"/>
                <w:szCs w:val="20"/>
                <w:color w:val="auto"/>
              </w:rPr>
            </w:pPr>
            <w:r>
              <w:rPr>
                <w:rFonts w:ascii="Courier New" w:cs="Courier New" w:eastAsia="Courier New" w:hAnsi="Courier New"/>
                <w:sz w:val="15"/>
                <w:szCs w:val="15"/>
                <w:color w:val="auto"/>
              </w:rPr>
              <w:t>A-/A3 or better</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w w:val="96"/>
              </w:rPr>
              <w:t>0.300%</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BBB+/Baa1</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w w:val="96"/>
              </w:rPr>
              <w:t>0.375%</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BBB/Baa2</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w w:val="96"/>
              </w:rPr>
              <w:t>0.450%</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BBB-/Baa3</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w w:val="96"/>
              </w:rPr>
              <w:t>0.500%</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BB+/Ba1</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w w:val="96"/>
              </w:rPr>
              <w:t>0.750%</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BB/Ba2</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w w:val="96"/>
              </w:rPr>
              <w:t>0.875%</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BB-/Ba3 or lower</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w w:val="96"/>
              </w:rPr>
              <w:t>1.250%</w:t>
            </w:r>
          </w:p>
        </w:tc>
      </w:tr>
      <w:tr>
        <w:trPr>
          <w:trHeight w:val="509"/>
        </w:trPr>
        <w:tc>
          <w:tcPr>
            <w:tcW w:w="1580" w:type="dxa"/>
            <w:vAlign w:val="bottom"/>
          </w:tcPr>
          <w:p>
            <w:pPr>
              <w:spacing w:after="0"/>
              <w:rPr>
                <w:sz w:val="24"/>
                <w:szCs w:val="24"/>
                <w:color w:val="auto"/>
              </w:rPr>
            </w:pPr>
          </w:p>
        </w:tc>
        <w:tc>
          <w:tcPr>
            <w:tcW w:w="720" w:type="dxa"/>
            <w:vAlign w:val="bottom"/>
          </w:tcPr>
          <w:p>
            <w:pPr>
              <w:ind w:left="440"/>
              <w:spacing w:after="0"/>
              <w:rPr>
                <w:sz w:val="20"/>
                <w:szCs w:val="20"/>
                <w:color w:val="auto"/>
              </w:rPr>
            </w:pPr>
            <w:r>
              <w:rPr>
                <w:rFonts w:ascii="Courier New" w:cs="Courier New" w:eastAsia="Courier New" w:hAnsi="Courier New"/>
                <w:sz w:val="15"/>
                <w:szCs w:val="15"/>
                <w:color w:val="auto"/>
              </w:rPr>
              <w:t>1</w:t>
            </w:r>
          </w:p>
        </w:tc>
      </w:tr>
    </w:tbl>
    <w:p>
      <w:pPr>
        <w:sectPr>
          <w:pgSz w:w="11900" w:h="16838" w:orient="portrait"/>
          <w:cols w:equalWidth="0" w:num="1">
            <w:col w:w="10219"/>
          </w:cols>
          <w:pgMar w:left="240" w:top="622" w:right="1440" w:bottom="1440" w:gutter="0" w:footer="0" w:header="0"/>
        </w:sectPr>
      </w:pPr>
    </w:p>
    <w:bookmarkStart w:id="313" w:name="page314"/>
    <w:bookmarkEnd w:id="313"/>
    <w:p>
      <w:pPr>
        <w:jc w:val="both"/>
        <w:ind w:right="3259" w:firstLine="1401"/>
        <w:spacing w:after="0" w:line="265" w:lineRule="auto"/>
        <w:tabs>
          <w:tab w:leader="none" w:pos="1763"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3.4(a) of the Credit Agreement is hereby amended by deleting the table appearing therein and replacing it with the following table:</w:t>
      </w:r>
    </w:p>
    <w:p>
      <w:pPr>
        <w:spacing w:after="0" w:line="153" w:lineRule="exact"/>
        <w:rPr>
          <w:sz w:val="20"/>
          <w:szCs w:val="20"/>
          <w:color w:val="auto"/>
        </w:rPr>
      </w:pPr>
    </w:p>
    <w:tbl>
      <w:tblPr>
        <w:tblLayout w:type="fixed"/>
        <w:tblInd w:w="1400" w:type="dxa"/>
        <w:tblCellMar>
          <w:top w:w="0" w:type="dxa"/>
          <w:left w:w="0" w:type="dxa"/>
          <w:bottom w:w="0" w:type="dxa"/>
          <w:right w:w="0" w:type="dxa"/>
        </w:tblCellMar>
      </w:tblP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CREDIT RATING</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w w:val="96"/>
              </w:rPr>
              <w:t>COMMITMENT FEE</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1580" w:type="dxa"/>
            <w:vAlign w:val="bottom"/>
          </w:tcPr>
          <w:p>
            <w:pPr>
              <w:spacing w:after="0"/>
              <w:rPr>
                <w:sz w:val="20"/>
                <w:szCs w:val="20"/>
                <w:color w:val="auto"/>
              </w:rPr>
            </w:pPr>
            <w:r>
              <w:rPr>
                <w:rFonts w:ascii="Courier New" w:cs="Courier New" w:eastAsia="Courier New" w:hAnsi="Courier New"/>
                <w:sz w:val="15"/>
                <w:szCs w:val="15"/>
                <w:color w:val="auto"/>
              </w:rPr>
              <w:t>A-/A3 or better</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0.1250%</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BBB+/Baa1</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0.1500%</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BBB/Baa2</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0.1875%</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BBB-/Baa3</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0.2000%</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BB+/Ba1</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0.3125%</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BB/Ba2</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0.3500%</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BB-/Ba3 or lower</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0.4000%</w:t>
            </w:r>
          </w:p>
        </w:tc>
      </w:tr>
    </w:tbl>
    <w:p>
      <w:pPr>
        <w:spacing w:after="0" w:line="344" w:lineRule="exact"/>
        <w:rPr>
          <w:sz w:val="20"/>
          <w:szCs w:val="20"/>
          <w:color w:val="auto"/>
        </w:rPr>
      </w:pPr>
    </w:p>
    <w:p>
      <w:pPr>
        <w:ind w:right="3259" w:firstLine="970"/>
        <w:spacing w:after="0" w:line="237" w:lineRule="auto"/>
        <w:rPr>
          <w:sz w:val="20"/>
          <w:szCs w:val="20"/>
          <w:color w:val="auto"/>
        </w:rPr>
      </w:pPr>
      <w:r>
        <w:rPr>
          <w:rFonts w:ascii="Courier New" w:cs="Courier New" w:eastAsia="Courier New" w:hAnsi="Courier New"/>
          <w:sz w:val="15"/>
          <w:szCs w:val="15"/>
          <w:color w:val="auto"/>
        </w:rPr>
        <w:t>SECTION 2. Effectiveness This Amendment will be effective upon the execution hereof by each of Viacom, the Guarantor Subsidiary, VII Services, and each of the Banks.</w:t>
      </w:r>
    </w:p>
    <w:p>
      <w:pPr>
        <w:spacing w:after="0" w:line="175" w:lineRule="exact"/>
        <w:rPr>
          <w:sz w:val="20"/>
          <w:szCs w:val="20"/>
          <w:color w:val="auto"/>
        </w:rPr>
      </w:pPr>
    </w:p>
    <w:p>
      <w:pPr>
        <w:ind w:right="3439" w:firstLine="970"/>
        <w:spacing w:after="0" w:line="259" w:lineRule="auto"/>
        <w:rPr>
          <w:sz w:val="20"/>
          <w:szCs w:val="20"/>
          <w:color w:val="auto"/>
        </w:rPr>
      </w:pPr>
      <w:r>
        <w:rPr>
          <w:rFonts w:ascii="Courier New" w:cs="Courier New" w:eastAsia="Courier New" w:hAnsi="Courier New"/>
          <w:sz w:val="14"/>
          <w:szCs w:val="14"/>
          <w:color w:val="auto"/>
        </w:rPr>
        <w:t>SECTION 3. Representations and Warranties Each of the Borrower and the Guarantor Subsidiary hereby represents and warrants that as of the date hereof, both before and after giving effect to this Amendment no Default or Event of Default shall exist or be continuing under the Credit Agreement.</w:t>
      </w:r>
    </w:p>
    <w:p>
      <w:pPr>
        <w:spacing w:after="0" w:line="163" w:lineRule="exact"/>
        <w:rPr>
          <w:sz w:val="20"/>
          <w:szCs w:val="20"/>
          <w:color w:val="auto"/>
        </w:rPr>
      </w:pPr>
    </w:p>
    <w:p>
      <w:pPr>
        <w:ind w:right="3179" w:firstLine="970"/>
        <w:spacing w:after="0" w:line="237" w:lineRule="auto"/>
        <w:rPr>
          <w:sz w:val="20"/>
          <w:szCs w:val="20"/>
          <w:color w:val="auto"/>
        </w:rPr>
      </w:pPr>
      <w:r>
        <w:rPr>
          <w:rFonts w:ascii="Courier New" w:cs="Courier New" w:eastAsia="Courier New" w:hAnsi="Courier New"/>
          <w:sz w:val="15"/>
          <w:szCs w:val="15"/>
          <w:color w:val="auto"/>
        </w:rPr>
        <w:t>SECTION 4. Miscellaneous. (a) Capitalized terms used herein and not otherwise defined herein shall have the meanings ascribed to them in the Credit Agreement.</w:t>
      </w:r>
    </w:p>
    <w:p>
      <w:pPr>
        <w:spacing w:after="0" w:line="175" w:lineRule="exact"/>
        <w:rPr>
          <w:sz w:val="20"/>
          <w:szCs w:val="20"/>
          <w:color w:val="auto"/>
        </w:rPr>
      </w:pPr>
    </w:p>
    <w:p>
      <w:pPr>
        <w:ind w:right="3539" w:firstLine="1401"/>
        <w:spacing w:after="0" w:line="237" w:lineRule="auto"/>
        <w:tabs>
          <w:tab w:leader="none" w:pos="1763"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amended hereby, all of the terms of the Credit Agreement shall remain and continue in full force and effect and are hereby confirmed in all respects.</w:t>
      </w:r>
    </w:p>
    <w:p>
      <w:pPr>
        <w:spacing w:after="0" w:line="174" w:lineRule="exact"/>
        <w:rPr>
          <w:rFonts w:ascii="Courier New" w:cs="Courier New" w:eastAsia="Courier New" w:hAnsi="Courier New"/>
          <w:sz w:val="15"/>
          <w:szCs w:val="15"/>
          <w:color w:val="auto"/>
        </w:rPr>
      </w:pPr>
    </w:p>
    <w:p>
      <w:pPr>
        <w:ind w:left="1840" w:hanging="439"/>
        <w:spacing w:after="0"/>
        <w:tabs>
          <w:tab w:leader="none" w:pos="184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shall be a Loan Document for the purposes of</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the Credit Agreement.</w:t>
      </w:r>
    </w:p>
    <w:p>
      <w:pPr>
        <w:spacing w:after="0" w:line="174" w:lineRule="exact"/>
        <w:rPr>
          <w:rFonts w:ascii="Courier New" w:cs="Courier New" w:eastAsia="Courier New" w:hAnsi="Courier New"/>
          <w:sz w:val="14"/>
          <w:szCs w:val="14"/>
          <w:color w:val="auto"/>
        </w:rPr>
      </w:pPr>
    </w:p>
    <w:p>
      <w:pPr>
        <w:ind w:right="3179" w:firstLine="1401"/>
        <w:spacing w:after="0" w:line="237" w:lineRule="auto"/>
        <w:tabs>
          <w:tab w:leader="none" w:pos="1763"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may be signed in any number of counterparts, each of which shall be an original, with the same effect as if the signatures thereto were upon the same instrument. Delivery of an executed counterpart of a signature page of this Amendment by telecopier shall be effective as delivery of a manually executed counterpart of this Amendment.</w:t>
      </w:r>
    </w:p>
    <w:p>
      <w:pPr>
        <w:spacing w:after="0" w:line="200" w:lineRule="exact"/>
        <w:rPr>
          <w:sz w:val="20"/>
          <w:szCs w:val="20"/>
          <w:color w:val="auto"/>
        </w:rPr>
      </w:pPr>
    </w:p>
    <w:p>
      <w:pPr>
        <w:spacing w:after="0" w:line="31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7" w:right="1440" w:bottom="1440" w:gutter="0" w:footer="0" w:header="0"/>
        </w:sectPr>
      </w:pPr>
    </w:p>
    <w:bookmarkStart w:id="314" w:name="page315"/>
    <w:bookmarkEnd w:id="314"/>
    <w:p>
      <w:pPr>
        <w:ind w:right="3179" w:firstLine="1401"/>
        <w:spacing w:after="0" w:line="237" w:lineRule="auto"/>
        <w:tabs>
          <w:tab w:leader="none" w:pos="1763"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AND THE RIGHTS AND OBLIGATIONS OF THE PARTIES HERETO SHALL BE GOVERNED BY, AND CONSTRUED IN ACCORDANCE WITH, THE LAWS OF THE STATE OF NEW YORK.</w:t>
      </w:r>
    </w:p>
    <w:p>
      <w:pPr>
        <w:spacing w:after="0" w:line="175" w:lineRule="exact"/>
        <w:rPr>
          <w:sz w:val="20"/>
          <w:szCs w:val="20"/>
          <w:color w:val="auto"/>
        </w:rPr>
      </w:pPr>
    </w:p>
    <w:p>
      <w:pPr>
        <w:jc w:val="both"/>
        <w:ind w:right="3359" w:firstLine="970"/>
        <w:spacing w:after="0" w:line="260" w:lineRule="auto"/>
        <w:rPr>
          <w:sz w:val="20"/>
          <w:szCs w:val="20"/>
          <w:color w:val="auto"/>
        </w:rPr>
      </w:pPr>
      <w:r>
        <w:rPr>
          <w:rFonts w:ascii="Courier New" w:cs="Courier New" w:eastAsia="Courier New" w:hAnsi="Courier New"/>
          <w:sz w:val="14"/>
          <w:szCs w:val="14"/>
          <w:color w:val="auto"/>
        </w:rPr>
        <w:t>SECTION 5. Guarantor Subsidiary Confirmation. By signing below, the Guarantor Subsidiary hereby agrees to the terms of the foregoing Amendment and confirms that the VII Guarantee remains in full force and effect.</w:t>
      </w:r>
    </w:p>
    <w:p>
      <w:pPr>
        <w:spacing w:after="0" w:line="163" w:lineRule="exact"/>
        <w:rPr>
          <w:sz w:val="20"/>
          <w:szCs w:val="20"/>
          <w:color w:val="auto"/>
        </w:rPr>
      </w:pPr>
    </w:p>
    <w:p>
      <w:pPr>
        <w:ind w:right="3259" w:firstLine="970"/>
        <w:spacing w:after="0" w:line="235" w:lineRule="auto"/>
        <w:rPr>
          <w:sz w:val="20"/>
          <w:szCs w:val="20"/>
          <w:color w:val="auto"/>
        </w:rPr>
      </w:pPr>
      <w:r>
        <w:rPr>
          <w:rFonts w:ascii="Courier New" w:cs="Courier New" w:eastAsia="Courier New" w:hAnsi="Courier New"/>
          <w:sz w:val="15"/>
          <w:szCs w:val="15"/>
          <w:color w:val="auto"/>
        </w:rPr>
        <w:t>IN WITNESS WHEREOF, the parties hereto have caused this Amendment to be duly executed as of the date first above written.</w:t>
      </w:r>
    </w:p>
    <w:p>
      <w:pPr>
        <w:spacing w:after="0" w:line="170"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VIACOM INC., as Borrower</w:t>
      </w:r>
    </w:p>
    <w:p>
      <w:pPr>
        <w:spacing w:after="0" w:line="33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By:/s/ Vaughn A. Clarke</w:t>
      </w:r>
    </w:p>
    <w:p>
      <w:pPr>
        <w:ind w:left="2540"/>
        <w:spacing w:after="0"/>
        <w:rPr>
          <w:sz w:val="20"/>
          <w:szCs w:val="20"/>
          <w:color w:val="auto"/>
        </w:rPr>
      </w:pPr>
      <w:r>
        <w:rPr>
          <w:rFonts w:ascii="Courier New" w:cs="Courier New" w:eastAsia="Courier New" w:hAnsi="Courier New"/>
          <w:sz w:val="15"/>
          <w:szCs w:val="15"/>
          <w:color w:val="auto"/>
        </w:rPr>
        <w:t>--------------------------------</w:t>
      </w:r>
    </w:p>
    <w:p>
      <w:pPr>
        <w:ind w:left="2540"/>
        <w:spacing w:after="0"/>
        <w:rPr>
          <w:sz w:val="20"/>
          <w:szCs w:val="20"/>
          <w:color w:val="auto"/>
        </w:rPr>
      </w:pPr>
      <w:r>
        <w:rPr>
          <w:rFonts w:ascii="Courier New" w:cs="Courier New" w:eastAsia="Courier New" w:hAnsi="Courier New"/>
          <w:sz w:val="15"/>
          <w:szCs w:val="15"/>
          <w:color w:val="auto"/>
        </w:rPr>
        <w:t>Name: Vaughn A. Clarke</w:t>
      </w:r>
    </w:p>
    <w:p>
      <w:pPr>
        <w:ind w:left="254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VIACOM INTERNATIONAL INC., as a Subsidiary</w:t>
      </w:r>
    </w:p>
    <w:p>
      <w:pPr>
        <w:ind w:left="2280"/>
        <w:spacing w:after="0"/>
        <w:rPr>
          <w:sz w:val="20"/>
          <w:szCs w:val="20"/>
          <w:color w:val="auto"/>
        </w:rPr>
      </w:pPr>
      <w:r>
        <w:rPr>
          <w:rFonts w:ascii="Courier New" w:cs="Courier New" w:eastAsia="Courier New" w:hAnsi="Courier New"/>
          <w:sz w:val="15"/>
          <w:szCs w:val="15"/>
          <w:color w:val="auto"/>
        </w:rPr>
        <w:t>Borrower and as a Guarantor Subsidiary</w:t>
      </w:r>
    </w:p>
    <w:p>
      <w:pPr>
        <w:spacing w:after="0" w:line="338"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By:/s/ Vaughn A. Clarke</w:t>
      </w:r>
    </w:p>
    <w:p>
      <w:pPr>
        <w:ind w:left="2540"/>
        <w:spacing w:after="0"/>
        <w:rPr>
          <w:sz w:val="20"/>
          <w:szCs w:val="20"/>
          <w:color w:val="auto"/>
        </w:rPr>
      </w:pPr>
      <w:r>
        <w:rPr>
          <w:rFonts w:ascii="Courier New" w:cs="Courier New" w:eastAsia="Courier New" w:hAnsi="Courier New"/>
          <w:sz w:val="15"/>
          <w:szCs w:val="15"/>
          <w:color w:val="auto"/>
        </w:rPr>
        <w:t>--------------------------------</w:t>
      </w:r>
    </w:p>
    <w:p>
      <w:pPr>
        <w:ind w:left="2540"/>
        <w:spacing w:after="0"/>
        <w:rPr>
          <w:sz w:val="20"/>
          <w:szCs w:val="20"/>
          <w:color w:val="auto"/>
        </w:rPr>
      </w:pPr>
      <w:r>
        <w:rPr>
          <w:rFonts w:ascii="Courier New" w:cs="Courier New" w:eastAsia="Courier New" w:hAnsi="Courier New"/>
          <w:sz w:val="15"/>
          <w:szCs w:val="15"/>
          <w:color w:val="auto"/>
        </w:rPr>
        <w:t>Name: Vaughn A. Clarke</w:t>
      </w:r>
    </w:p>
    <w:p>
      <w:pPr>
        <w:ind w:left="254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On behalf of the following Subsidiary Borrowers:</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VIACOM CABLEVISION OF DAYTON INC.,</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WNYT INC.,</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WMZQ INC. and</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WVIT INC.,</w:t>
      </w:r>
    </w:p>
    <w:p>
      <w:pPr>
        <w:spacing w:after="0" w:line="33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By:/s/ Vaughn A. Clarke</w:t>
      </w:r>
    </w:p>
    <w:p>
      <w:pPr>
        <w:ind w:left="2540"/>
        <w:spacing w:after="0"/>
        <w:rPr>
          <w:sz w:val="20"/>
          <w:szCs w:val="20"/>
          <w:color w:val="auto"/>
        </w:rPr>
      </w:pPr>
      <w:r>
        <w:rPr>
          <w:rFonts w:ascii="Courier New" w:cs="Courier New" w:eastAsia="Courier New" w:hAnsi="Courier New"/>
          <w:sz w:val="15"/>
          <w:szCs w:val="15"/>
          <w:color w:val="auto"/>
        </w:rPr>
        <w:t>--------------------------------</w:t>
      </w:r>
    </w:p>
    <w:p>
      <w:pPr>
        <w:ind w:left="2540"/>
        <w:spacing w:after="0"/>
        <w:tabs>
          <w:tab w:leader="none" w:pos="3140" w:val="left"/>
        </w:tabs>
        <w:rPr>
          <w:sz w:val="20"/>
          <w:szCs w:val="20"/>
          <w:color w:val="auto"/>
        </w:rPr>
      </w:pPr>
      <w:r>
        <w:rPr>
          <w:rFonts w:ascii="Courier New" w:cs="Courier New" w:eastAsia="Courier New" w:hAnsi="Courier New"/>
          <w:sz w:val="15"/>
          <w:szCs w:val="15"/>
          <w:color w:val="auto"/>
        </w:rPr>
        <w:t>Name:</w:t>
        <w:tab/>
        <w:t>Vaughn A. Clarke</w:t>
      </w:r>
    </w:p>
    <w:p>
      <w:pPr>
        <w:ind w:left="254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VIACOM INTERNATIONAL SERVICES INC.</w:t>
      </w:r>
    </w:p>
    <w:p>
      <w:pPr>
        <w:spacing w:after="0" w:line="33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By:/s/ Vaughn A. Clarke</w:t>
      </w:r>
    </w:p>
    <w:p>
      <w:pPr>
        <w:ind w:left="2540"/>
        <w:spacing w:after="0"/>
        <w:rPr>
          <w:sz w:val="20"/>
          <w:szCs w:val="20"/>
          <w:color w:val="auto"/>
        </w:rPr>
      </w:pPr>
      <w:r>
        <w:rPr>
          <w:rFonts w:ascii="Courier New" w:cs="Courier New" w:eastAsia="Courier New" w:hAnsi="Courier New"/>
          <w:sz w:val="15"/>
          <w:szCs w:val="15"/>
          <w:color w:val="auto"/>
        </w:rPr>
        <w:t>--------------------------------</w:t>
      </w:r>
    </w:p>
    <w:p>
      <w:pPr>
        <w:ind w:left="2540"/>
        <w:spacing w:after="0"/>
        <w:tabs>
          <w:tab w:leader="none" w:pos="3140" w:val="left"/>
        </w:tabs>
        <w:rPr>
          <w:sz w:val="20"/>
          <w:szCs w:val="20"/>
          <w:color w:val="auto"/>
        </w:rPr>
      </w:pPr>
      <w:r>
        <w:rPr>
          <w:rFonts w:ascii="Courier New" w:cs="Courier New" w:eastAsia="Courier New" w:hAnsi="Courier New"/>
          <w:sz w:val="15"/>
          <w:szCs w:val="15"/>
          <w:color w:val="auto"/>
        </w:rPr>
        <w:t>Name:</w:t>
        <w:tab/>
        <w:t>Vaughn A. Clarke</w:t>
      </w:r>
    </w:p>
    <w:p>
      <w:pPr>
        <w:ind w:left="254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7" w:right="1440" w:bottom="1440" w:gutter="0" w:footer="0" w:header="0"/>
        </w:sectPr>
      </w:pPr>
    </w:p>
    <w:bookmarkStart w:id="315" w:name="page316"/>
    <w:bookmarkEnd w:id="315"/>
    <w:p>
      <w:pPr>
        <w:ind w:left="1080"/>
        <w:spacing w:after="0"/>
        <w:rPr>
          <w:sz w:val="20"/>
          <w:szCs w:val="20"/>
          <w:color w:val="auto"/>
        </w:rPr>
      </w:pPr>
      <w:r>
        <w:rPr>
          <w:rFonts w:ascii="Courier New" w:cs="Courier New" w:eastAsia="Courier New" w:hAnsi="Courier New"/>
          <w:sz w:val="15"/>
          <w:szCs w:val="15"/>
          <w:color w:val="auto"/>
        </w:rPr>
        <w:t>CREDIT SUISSE</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 Hamilton Crawford</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Name: J. Hamilton Crawford</w:t>
      </w:r>
    </w:p>
    <w:p>
      <w:pPr>
        <w:ind w:left="1340"/>
        <w:spacing w:after="0"/>
        <w:rPr>
          <w:sz w:val="20"/>
          <w:szCs w:val="20"/>
          <w:color w:val="auto"/>
        </w:rPr>
      </w:pPr>
      <w:r>
        <w:rPr>
          <w:rFonts w:ascii="Courier New" w:cs="Courier New" w:eastAsia="Courier New" w:hAnsi="Courier New"/>
          <w:sz w:val="15"/>
          <w:szCs w:val="15"/>
          <w:color w:val="auto"/>
        </w:rPr>
        <w:t>Title: Associate</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SOCIETE GENERALE</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Elaine I. Khalil</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Elaine I. Khalil</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BANK OF NEW YORK</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Geoffrey C. Brooks</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Name: Geoffrey C. Brooks</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BANK OF TOKYO TRUST COMPANY</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John P. Judge</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John P. Judge</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TOYO TRUST &amp; BANKING CO.,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Hiroyuki Fukuro</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Hiroyuki Fukuro</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344"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FIRST INTERSTATE BANK OF WASHINGTON</w:t>
      </w:r>
    </w:p>
    <w:p>
      <w:pPr>
        <w:spacing w:after="0" w:line="344"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Susan Hendrixson</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Susan Hendrixson</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019"/>
          </w:cols>
          <w:pgMar w:left="1440" w:top="622" w:right="1440" w:bottom="1440" w:gutter="0" w:footer="0" w:header="0"/>
        </w:sectPr>
      </w:pPr>
    </w:p>
    <w:bookmarkStart w:id="316" w:name="page317"/>
    <w:bookmarkEnd w:id="316"/>
    <w:p>
      <w:pPr>
        <w:ind w:left="1080"/>
        <w:spacing w:after="0"/>
        <w:rPr>
          <w:sz w:val="20"/>
          <w:szCs w:val="20"/>
          <w:color w:val="auto"/>
        </w:rPr>
      </w:pPr>
      <w:r>
        <w:rPr>
          <w:rFonts w:ascii="Courier New" w:cs="Courier New" w:eastAsia="Courier New" w:hAnsi="Courier New"/>
          <w:sz w:val="15"/>
          <w:szCs w:val="15"/>
          <w:color w:val="auto"/>
        </w:rPr>
        <w:t>UNION BANK OF SWITZERLAND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Stephen A. Cayer</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Stephen A. Cayer</w:t>
      </w:r>
    </w:p>
    <w:p>
      <w:pPr>
        <w:ind w:left="1340"/>
        <w:spacing w:after="0" w:line="238" w:lineRule="auto"/>
        <w:rPr>
          <w:sz w:val="20"/>
          <w:szCs w:val="20"/>
          <w:color w:val="auto"/>
        </w:rPr>
      </w:pPr>
      <w:r>
        <w:rPr>
          <w:rFonts w:ascii="Courier New" w:cs="Courier New" w:eastAsia="Courier New" w:hAnsi="Courier New"/>
          <w:sz w:val="15"/>
          <w:szCs w:val="15"/>
          <w:color w:val="auto"/>
        </w:rPr>
        <w:t>Title: Assistant Treasurer</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Peter B. Yearly</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Peter B. Yearly</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MITSUBISHI BANK,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Paula Mueller</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Paula Mueller</w:t>
      </w:r>
    </w:p>
    <w:p>
      <w:pPr>
        <w:ind w:left="1340"/>
        <w:spacing w:after="0" w:line="238" w:lineRule="auto"/>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14"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THE MITSUBISHI TRUST AND BANKING CORPORATION</w:t>
      </w:r>
    </w:p>
    <w:p>
      <w:pPr>
        <w:spacing w:after="0" w:line="344"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Patricia Loret De Mola</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rPr>
          <w:sz w:val="20"/>
          <w:szCs w:val="20"/>
          <w:color w:val="auto"/>
        </w:rPr>
      </w:pPr>
      <w:r>
        <w:rPr>
          <w:rFonts w:ascii="Courier New" w:cs="Courier New" w:eastAsia="Courier New" w:hAnsi="Courier New"/>
          <w:sz w:val="15"/>
          <w:szCs w:val="15"/>
          <w:color w:val="auto"/>
        </w:rPr>
        <w:t>Name: Patricia Loret De Mola</w:t>
      </w:r>
    </w:p>
    <w:p>
      <w:pPr>
        <w:ind w:left="134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SUMITOMO BANK,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S. Higashi</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rPr>
          <w:sz w:val="20"/>
          <w:szCs w:val="20"/>
          <w:color w:val="auto"/>
        </w:rPr>
      </w:pPr>
      <w:r>
        <w:rPr>
          <w:rFonts w:ascii="Courier New" w:cs="Courier New" w:eastAsia="Courier New" w:hAnsi="Courier New"/>
          <w:sz w:val="15"/>
          <w:szCs w:val="15"/>
          <w:color w:val="auto"/>
        </w:rPr>
        <w:t>Name: S. Higashi</w:t>
      </w:r>
    </w:p>
    <w:p>
      <w:pPr>
        <w:ind w:left="1340"/>
        <w:spacing w:after="0" w:line="238" w:lineRule="auto"/>
        <w:rPr>
          <w:sz w:val="20"/>
          <w:szCs w:val="20"/>
          <w:color w:val="auto"/>
        </w:rPr>
      </w:pPr>
      <w:r>
        <w:rPr>
          <w:rFonts w:ascii="Courier New" w:cs="Courier New" w:eastAsia="Courier New" w:hAnsi="Courier New"/>
          <w:sz w:val="15"/>
          <w:szCs w:val="15"/>
          <w:color w:val="auto"/>
        </w:rPr>
        <w:t>Title: Joint General Manager</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NIPPON CREDIT BANK,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Bernardo E. Correa-Henschke</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rPr>
          <w:sz w:val="20"/>
          <w:szCs w:val="20"/>
          <w:color w:val="auto"/>
        </w:rPr>
      </w:pPr>
      <w:r>
        <w:rPr>
          <w:rFonts w:ascii="Courier New" w:cs="Courier New" w:eastAsia="Courier New" w:hAnsi="Courier New"/>
          <w:sz w:val="15"/>
          <w:szCs w:val="15"/>
          <w:color w:val="auto"/>
        </w:rPr>
        <w:t>Name: Bernardo E. Correa-Henschke</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 &amp; Manager</w:t>
      </w:r>
    </w:p>
    <w:p>
      <w:pPr>
        <w:spacing w:after="0" w:line="200" w:lineRule="exact"/>
        <w:rPr>
          <w:sz w:val="20"/>
          <w:szCs w:val="20"/>
          <w:color w:val="auto"/>
        </w:rPr>
      </w:pPr>
    </w:p>
    <w:p>
      <w:pPr>
        <w:spacing w:after="0" w:line="30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019"/>
          </w:cols>
          <w:pgMar w:left="1440" w:top="791" w:right="1440" w:bottom="1440" w:gutter="0" w:footer="0" w:header="0"/>
        </w:sectPr>
      </w:pPr>
    </w:p>
    <w:bookmarkStart w:id="317" w:name="page318"/>
    <w:bookmarkEnd w:id="317"/>
    <w:p>
      <w:pPr>
        <w:ind w:left="1080"/>
        <w:spacing w:after="0"/>
        <w:rPr>
          <w:sz w:val="20"/>
          <w:szCs w:val="20"/>
          <w:color w:val="auto"/>
        </w:rPr>
      </w:pPr>
      <w:r>
        <w:rPr>
          <w:rFonts w:ascii="Courier New" w:cs="Courier New" w:eastAsia="Courier New" w:hAnsi="Courier New"/>
          <w:sz w:val="15"/>
          <w:szCs w:val="15"/>
          <w:color w:val="auto"/>
        </w:rPr>
        <w:t>THE SAKURA BANK,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Hiroshi Shimazaki</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Name: Hiroshi Shimazaki</w:t>
      </w:r>
    </w:p>
    <w:p>
      <w:pPr>
        <w:ind w:left="1340"/>
        <w:spacing w:after="0"/>
        <w:rPr>
          <w:sz w:val="20"/>
          <w:szCs w:val="20"/>
          <w:color w:val="auto"/>
        </w:rPr>
      </w:pPr>
      <w:r>
        <w:rPr>
          <w:rFonts w:ascii="Courier New" w:cs="Courier New" w:eastAsia="Courier New" w:hAnsi="Courier New"/>
          <w:sz w:val="15"/>
          <w:szCs w:val="15"/>
          <w:color w:val="auto"/>
        </w:rPr>
        <w:t>Title: Senior Vice President</w:t>
      </w:r>
    </w:p>
    <w:p>
      <w:pPr>
        <w:ind w:left="1960"/>
        <w:spacing w:after="0"/>
        <w:rPr>
          <w:sz w:val="20"/>
          <w:szCs w:val="20"/>
          <w:color w:val="auto"/>
        </w:rPr>
      </w:pPr>
      <w:r>
        <w:rPr>
          <w:rFonts w:ascii="Courier New" w:cs="Courier New" w:eastAsia="Courier New" w:hAnsi="Courier New"/>
          <w:sz w:val="15"/>
          <w:szCs w:val="15"/>
          <w:color w:val="auto"/>
        </w:rPr>
        <w:t>&amp; Manager</w:t>
      </w:r>
    </w:p>
    <w:p>
      <w:pPr>
        <w:spacing w:after="0" w:line="200" w:lineRule="exact"/>
        <w:rPr>
          <w:sz w:val="20"/>
          <w:szCs w:val="20"/>
          <w:color w:val="auto"/>
        </w:rPr>
      </w:pPr>
    </w:p>
    <w:p>
      <w:pPr>
        <w:spacing w:after="0" w:line="30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INDUSTRIAL BANK OF JAPAN,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Jeffrey Cole</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Name: Jeffrey Cole</w:t>
      </w:r>
    </w:p>
    <w:p>
      <w:pPr>
        <w:ind w:left="1340"/>
        <w:spacing w:after="0"/>
        <w:rPr>
          <w:sz w:val="20"/>
          <w:szCs w:val="20"/>
          <w:color w:val="auto"/>
        </w:rPr>
      </w:pPr>
      <w:r>
        <w:rPr>
          <w:rFonts w:ascii="Courier New" w:cs="Courier New" w:eastAsia="Courier New" w:hAnsi="Courier New"/>
          <w:sz w:val="15"/>
          <w:szCs w:val="15"/>
          <w:color w:val="auto"/>
        </w:rPr>
        <w:t>Title: Senior Vice President</w:t>
      </w:r>
    </w:p>
    <w:p>
      <w:pPr>
        <w:spacing w:after="0" w:line="33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ROYAL BANK OF CANADA</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Cynthia K. Wong</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Cynthia K. Wong</w:t>
      </w:r>
    </w:p>
    <w:p>
      <w:pPr>
        <w:ind w:left="1340"/>
        <w:spacing w:after="0"/>
        <w:rPr>
          <w:sz w:val="20"/>
          <w:szCs w:val="20"/>
          <w:color w:val="auto"/>
        </w:rPr>
      </w:pPr>
      <w:r>
        <w:rPr>
          <w:rFonts w:ascii="Courier New" w:cs="Courier New" w:eastAsia="Courier New" w:hAnsi="Courier New"/>
          <w:sz w:val="15"/>
          <w:szCs w:val="15"/>
          <w:color w:val="auto"/>
        </w:rPr>
        <w:t>Title: Manager</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SANWA BANK,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 /s/ Dominic J. Sorresso</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Name: Dominic J. Sorresso</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TOKAI BANK,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Stuart Schulman</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Stuart Schulman</w:t>
      </w:r>
    </w:p>
    <w:p>
      <w:pPr>
        <w:ind w:left="1340"/>
        <w:spacing w:after="0"/>
        <w:rPr>
          <w:sz w:val="20"/>
          <w:szCs w:val="20"/>
          <w:color w:val="auto"/>
        </w:rPr>
      </w:pPr>
      <w:r>
        <w:rPr>
          <w:rFonts w:ascii="Courier New" w:cs="Courier New" w:eastAsia="Courier New" w:hAnsi="Courier New"/>
          <w:sz w:val="15"/>
          <w:szCs w:val="15"/>
          <w:color w:val="auto"/>
        </w:rPr>
        <w:t>Title: Senior Vice President</w:t>
      </w:r>
    </w:p>
    <w:p>
      <w:pPr>
        <w:spacing w:after="0" w:line="200" w:lineRule="exact"/>
        <w:rPr>
          <w:sz w:val="20"/>
          <w:szCs w:val="20"/>
          <w:color w:val="auto"/>
        </w:rPr>
      </w:pPr>
    </w:p>
    <w:p>
      <w:pPr>
        <w:spacing w:after="0" w:line="30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019"/>
          </w:cols>
          <w:pgMar w:left="1440" w:top="622" w:right="1440" w:bottom="1440" w:gutter="0" w:footer="0" w:header="0"/>
        </w:sectPr>
      </w:pPr>
    </w:p>
    <w:bookmarkStart w:id="318" w:name="page319"/>
    <w:bookmarkEnd w:id="318"/>
    <w:p>
      <w:pPr>
        <w:ind w:left="1080"/>
        <w:spacing w:after="0"/>
        <w:rPr>
          <w:sz w:val="20"/>
          <w:szCs w:val="20"/>
          <w:color w:val="auto"/>
        </w:rPr>
      </w:pPr>
      <w:r>
        <w:rPr>
          <w:rFonts w:ascii="Courier New" w:cs="Courier New" w:eastAsia="Courier New" w:hAnsi="Courier New"/>
          <w:sz w:val="15"/>
          <w:szCs w:val="15"/>
          <w:color w:val="auto"/>
        </w:rPr>
        <w:t>CHEMICAL BANK</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John J. Huber III</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rPr>
          <w:sz w:val="20"/>
          <w:szCs w:val="20"/>
          <w:color w:val="auto"/>
        </w:rPr>
      </w:pPr>
      <w:r>
        <w:rPr>
          <w:rFonts w:ascii="Courier New" w:cs="Courier New" w:eastAsia="Courier New" w:hAnsi="Courier New"/>
          <w:sz w:val="15"/>
          <w:szCs w:val="15"/>
          <w:color w:val="auto"/>
        </w:rPr>
        <w:t>Name: John J. Huber III</w:t>
      </w:r>
    </w:p>
    <w:p>
      <w:pPr>
        <w:ind w:left="1340"/>
        <w:spacing w:after="0" w:line="238" w:lineRule="auto"/>
        <w:rPr>
          <w:sz w:val="20"/>
          <w:szCs w:val="20"/>
          <w:color w:val="auto"/>
        </w:rPr>
      </w:pPr>
      <w:r>
        <w:rPr>
          <w:rFonts w:ascii="Courier New" w:cs="Courier New" w:eastAsia="Courier New" w:hAnsi="Courier New"/>
          <w:sz w:val="15"/>
          <w:szCs w:val="15"/>
          <w:color w:val="auto"/>
        </w:rPr>
        <w:t>Title: Managing Director</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DAI-CHI KANGYO BANK,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Ronald Wolinsky</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Ronald Wolinsky</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 &amp; Group Leader</w:t>
      </w:r>
    </w:p>
    <w:p>
      <w:pPr>
        <w:spacing w:after="0" w:line="200" w:lineRule="exact"/>
        <w:rPr>
          <w:sz w:val="20"/>
          <w:szCs w:val="20"/>
          <w:color w:val="auto"/>
        </w:rPr>
      </w:pPr>
    </w:p>
    <w:p>
      <w:pPr>
        <w:spacing w:after="0" w:line="314"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MORGAN GUARANTY TRUST COMPANY OF NEW YORK</w:t>
      </w:r>
    </w:p>
    <w:p>
      <w:pPr>
        <w:spacing w:after="0" w:line="344"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R. BLake Witherington</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rPr>
          <w:sz w:val="20"/>
          <w:szCs w:val="20"/>
          <w:color w:val="auto"/>
        </w:rPr>
      </w:pPr>
      <w:r>
        <w:rPr>
          <w:rFonts w:ascii="Courier New" w:cs="Courier New" w:eastAsia="Courier New" w:hAnsi="Courier New"/>
          <w:sz w:val="15"/>
          <w:szCs w:val="15"/>
          <w:color w:val="auto"/>
        </w:rPr>
        <w:t>Name: R. BLake Witherington</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MELLON BANK, N.A.</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 /s/ G. Luis Ashley</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G. Luis Ashley</w:t>
      </w:r>
    </w:p>
    <w:p>
      <w:pPr>
        <w:ind w:left="1340"/>
        <w:spacing w:after="0" w:line="238" w:lineRule="auto"/>
        <w:rPr>
          <w:sz w:val="20"/>
          <w:szCs w:val="20"/>
          <w:color w:val="auto"/>
        </w:rPr>
      </w:pPr>
      <w:r>
        <w:rPr>
          <w:rFonts w:ascii="Courier New" w:cs="Courier New" w:eastAsia="Courier New" w:hAnsi="Courier New"/>
          <w:sz w:val="15"/>
          <w:szCs w:val="15"/>
          <w:color w:val="auto"/>
        </w:rPr>
        <w:t>Title: First Vice President</w:t>
      </w:r>
    </w:p>
    <w:p>
      <w:pPr>
        <w:spacing w:after="0" w:line="200" w:lineRule="exact"/>
        <w:rPr>
          <w:sz w:val="20"/>
          <w:szCs w:val="20"/>
          <w:color w:val="auto"/>
        </w:rPr>
      </w:pPr>
    </w:p>
    <w:p>
      <w:pPr>
        <w:spacing w:after="0" w:line="314"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COMPAGNIE FINANCIERE DE CIC ET DE L'UNION</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EUROPENNE</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Brian O'Leary</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Brian O'Leary</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Marcus Edward</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Marcus Edward</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019"/>
          </w:cols>
          <w:pgMar w:left="1440" w:top="622" w:right="1440" w:bottom="1440" w:gutter="0" w:footer="0" w:header="0"/>
        </w:sectPr>
      </w:pPr>
    </w:p>
    <w:bookmarkStart w:id="319" w:name="page320"/>
    <w:bookmarkEnd w:id="319"/>
    <w:p>
      <w:pPr>
        <w:ind w:left="1080"/>
        <w:spacing w:after="0"/>
        <w:rPr>
          <w:sz w:val="20"/>
          <w:szCs w:val="20"/>
          <w:color w:val="auto"/>
        </w:rPr>
      </w:pPr>
      <w:r>
        <w:rPr>
          <w:rFonts w:ascii="Courier New" w:cs="Courier New" w:eastAsia="Courier New" w:hAnsi="Courier New"/>
          <w:sz w:val="15"/>
          <w:szCs w:val="15"/>
          <w:color w:val="auto"/>
        </w:rPr>
        <w:t>THE CHASE MANHATTAN BANK</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Bruce Longenkamp</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Bruce Longenkamp</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BANK OF NOVA SCOTIA</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Vincent Fitzgerald, Jr.</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rPr>
          <w:sz w:val="20"/>
          <w:szCs w:val="20"/>
          <w:color w:val="auto"/>
        </w:rPr>
      </w:pPr>
      <w:r>
        <w:rPr>
          <w:rFonts w:ascii="Courier New" w:cs="Courier New" w:eastAsia="Courier New" w:hAnsi="Courier New"/>
          <w:sz w:val="15"/>
          <w:szCs w:val="15"/>
          <w:color w:val="auto"/>
        </w:rPr>
        <w:t>Name: Vincent Fitzgerald, Jr.</w:t>
      </w:r>
    </w:p>
    <w:p>
      <w:pPr>
        <w:ind w:left="1340"/>
        <w:spacing w:after="0" w:line="238" w:lineRule="auto"/>
        <w:rPr>
          <w:sz w:val="20"/>
          <w:szCs w:val="20"/>
          <w:color w:val="auto"/>
        </w:rPr>
      </w:pPr>
      <w:r>
        <w:rPr>
          <w:rFonts w:ascii="Courier New" w:cs="Courier New" w:eastAsia="Courier New" w:hAnsi="Courier New"/>
          <w:sz w:val="15"/>
          <w:szCs w:val="15"/>
          <w:color w:val="auto"/>
        </w:rPr>
        <w:t>Title: Authorized Signatory</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FUJI BANK, LTD.</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Katsunori Nozawa</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Katsunori Nozawa</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 &amp; Manager</w:t>
      </w:r>
    </w:p>
    <w:p>
      <w:pPr>
        <w:spacing w:after="0" w:line="200" w:lineRule="exact"/>
        <w:rPr>
          <w:sz w:val="20"/>
          <w:szCs w:val="20"/>
          <w:color w:val="auto"/>
        </w:rPr>
      </w:pPr>
    </w:p>
    <w:p>
      <w:pPr>
        <w:spacing w:after="0" w:line="314"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THE LONG-TERM CREDIT BANK OF JAPAN, LTD.</w:t>
      </w:r>
    </w:p>
    <w:p>
      <w:pPr>
        <w:spacing w:after="0" w:line="344"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John A. Krob</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John A. Krob</w:t>
      </w:r>
    </w:p>
    <w:p>
      <w:pPr>
        <w:ind w:left="1340"/>
        <w:spacing w:after="0" w:line="238" w:lineRule="auto"/>
        <w:rPr>
          <w:sz w:val="20"/>
          <w:szCs w:val="20"/>
          <w:color w:val="auto"/>
        </w:rPr>
      </w:pPr>
      <w:r>
        <w:rPr>
          <w:rFonts w:ascii="Courier New" w:cs="Courier New" w:eastAsia="Courier New" w:hAnsi="Courier New"/>
          <w:sz w:val="15"/>
          <w:szCs w:val="15"/>
          <w:color w:val="auto"/>
        </w:rPr>
        <w:t>Title: Deputy General Manager</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BANK OF AMERICA</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Amy S. Trapp</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Amy S. Trapp</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NATIONSBANK OF TEXAS, N.A.</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Chad E. Coben</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Chad E. Coben</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019"/>
          </w:cols>
          <w:pgMar w:left="1440" w:top="622" w:right="1440" w:bottom="1440" w:gutter="0" w:footer="0" w:header="0"/>
        </w:sectPr>
      </w:pPr>
    </w:p>
    <w:bookmarkStart w:id="320" w:name="page321"/>
    <w:bookmarkEnd w:id="320"/>
    <w:p>
      <w:pPr>
        <w:ind w:left="1080"/>
        <w:spacing w:after="0"/>
        <w:rPr>
          <w:sz w:val="20"/>
          <w:szCs w:val="20"/>
          <w:color w:val="auto"/>
        </w:rPr>
      </w:pPr>
      <w:r>
        <w:rPr>
          <w:rFonts w:ascii="Courier New" w:cs="Courier New" w:eastAsia="Courier New" w:hAnsi="Courier New"/>
          <w:sz w:val="15"/>
          <w:szCs w:val="15"/>
          <w:color w:val="auto"/>
        </w:rPr>
        <w:t>DEUTSCHE BANK</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Steven M. Godeke</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Steven M. Godele</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Bina R. Dabbah</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Bina R. Dabbah</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UNION BANK</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Gabriel A. Renga</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Gabriel A. Renga</w:t>
      </w:r>
    </w:p>
    <w:p>
      <w:pPr>
        <w:ind w:left="134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TORONTO DOMINION BANK</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Neva Nesbitt</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Neva Nesbitt</w:t>
      </w:r>
    </w:p>
    <w:p>
      <w:pPr>
        <w:spacing w:after="0" w:line="4"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Title: Manager, Credit Administration</w:t>
      </w:r>
    </w:p>
    <w:p>
      <w:pPr>
        <w:spacing w:after="0" w:line="200" w:lineRule="exact"/>
        <w:rPr>
          <w:sz w:val="20"/>
          <w:szCs w:val="20"/>
          <w:color w:val="auto"/>
        </w:rPr>
      </w:pPr>
    </w:p>
    <w:p>
      <w:pPr>
        <w:spacing w:after="0" w:line="314"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BANQUE PARIBAS</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Eileen M. Burke</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Eileen M. Burke</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Cindy D. Hewitt</w:t>
      </w:r>
    </w:p>
    <w:p>
      <w:pPr>
        <w:ind w:left="1340"/>
        <w:spacing w:after="0"/>
        <w:rPr>
          <w:sz w:val="20"/>
          <w:szCs w:val="20"/>
          <w:color w:val="auto"/>
        </w:rPr>
      </w:pPr>
      <w:r>
        <w:rPr>
          <w:rFonts w:ascii="Courier New" w:cs="Courier New" w:eastAsia="Courier New" w:hAnsi="Courier New"/>
          <w:sz w:val="15"/>
          <w:szCs w:val="15"/>
          <w:color w:val="auto"/>
        </w:rPr>
        <w:t>--------------------------------</w:t>
      </w: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Cindy D. Hewitt</w:t>
      </w:r>
    </w:p>
    <w:p>
      <w:pPr>
        <w:ind w:left="13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019"/>
          </w:cols>
          <w:pgMar w:left="1440" w:top="792" w:right="1440" w:bottom="1440" w:gutter="0" w:footer="0" w:header="0"/>
        </w:sectPr>
      </w:pPr>
    </w:p>
    <w:bookmarkStart w:id="321" w:name="page322"/>
    <w:bookmarkEnd w:id="321"/>
    <w:p>
      <w:pPr>
        <w:ind w:left="1080"/>
        <w:spacing w:after="0"/>
        <w:rPr>
          <w:sz w:val="20"/>
          <w:szCs w:val="20"/>
          <w:color w:val="auto"/>
        </w:rPr>
      </w:pPr>
      <w:r>
        <w:rPr>
          <w:rFonts w:ascii="Courier New" w:cs="Courier New" w:eastAsia="Courier New" w:hAnsi="Courier New"/>
          <w:sz w:val="15"/>
          <w:szCs w:val="15"/>
          <w:color w:val="auto"/>
        </w:rPr>
        <w:t>BANK OF MONTREAL</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Yvonne Bos</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Yvonne Bos</w:t>
      </w:r>
    </w:p>
    <w:p>
      <w:pPr>
        <w:ind w:left="1340"/>
        <w:spacing w:after="0"/>
        <w:rPr>
          <w:sz w:val="20"/>
          <w:szCs w:val="20"/>
          <w:color w:val="auto"/>
        </w:rPr>
      </w:pPr>
      <w:r>
        <w:rPr>
          <w:rFonts w:ascii="Courier New" w:cs="Courier New" w:eastAsia="Courier New" w:hAnsi="Courier New"/>
          <w:sz w:val="15"/>
          <w:szCs w:val="15"/>
          <w:color w:val="auto"/>
        </w:rPr>
        <w:t>Title: Managing Director</w:t>
      </w: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CREDIT LYONNAIS</w:t>
      </w:r>
    </w:p>
    <w:p>
      <w:pPr>
        <w:spacing w:after="0" w:line="33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By:/s/ James E. Morris</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Name:</w:t>
        <w:tab/>
        <w:t>James E. Morris</w:t>
      </w: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019"/>
          </w:cols>
          <w:pgMar w:left="1440" w:top="792" w:right="1440" w:bottom="1440" w:gutter="0" w:footer="0" w:header="0"/>
        </w:sectPr>
      </w:pPr>
    </w:p>
    <w:bookmarkStart w:id="322" w:name="page323"/>
    <w:bookmarkEnd w:id="322"/>
    <w:p>
      <w:pPr>
        <w:ind w:left="3080"/>
        <w:spacing w:after="0"/>
        <w:rPr>
          <w:sz w:val="20"/>
          <w:szCs w:val="20"/>
          <w:color w:val="auto"/>
        </w:rPr>
      </w:pPr>
      <w:r>
        <w:rPr>
          <w:rFonts w:ascii="Courier New" w:cs="Courier New" w:eastAsia="Courier New" w:hAnsi="Courier New"/>
          <w:sz w:val="15"/>
          <w:szCs w:val="15"/>
          <w:color w:val="auto"/>
        </w:rPr>
        <w:t>VIACOM INC.</w:t>
      </w:r>
    </w:p>
    <w:p>
      <w:pPr>
        <w:ind w:left="2820"/>
        <w:spacing w:after="0"/>
        <w:rPr>
          <w:sz w:val="20"/>
          <w:szCs w:val="20"/>
          <w:color w:val="auto"/>
        </w:rPr>
      </w:pPr>
      <w:r>
        <w:rPr>
          <w:rFonts w:ascii="Courier New" w:cs="Courier New" w:eastAsia="Courier New" w:hAnsi="Courier New"/>
          <w:sz w:val="15"/>
          <w:szCs w:val="15"/>
          <w:color w:val="auto"/>
        </w:rPr>
        <w:t>SENIOR EXECUTIVE</w:t>
      </w:r>
    </w:p>
    <w:p>
      <w:pPr>
        <w:ind w:left="2460"/>
        <w:spacing w:after="0"/>
        <w:rPr>
          <w:sz w:val="20"/>
          <w:szCs w:val="20"/>
          <w:color w:val="auto"/>
        </w:rPr>
      </w:pPr>
      <w:r>
        <w:rPr>
          <w:rFonts w:ascii="Courier New" w:cs="Courier New" w:eastAsia="Courier New" w:hAnsi="Courier New"/>
          <w:sz w:val="15"/>
          <w:szCs w:val="15"/>
          <w:color w:val="auto"/>
        </w:rPr>
        <w:t>SHORT-TERM INCENTIVE PLAN</w:t>
      </w:r>
    </w:p>
    <w:p>
      <w:pPr>
        <w:ind w:left="1400"/>
        <w:spacing w:after="0" w:line="238" w:lineRule="auto"/>
        <w:rPr>
          <w:sz w:val="20"/>
          <w:szCs w:val="20"/>
          <w:color w:val="auto"/>
        </w:rPr>
      </w:pPr>
      <w:r>
        <w:rPr>
          <w:rFonts w:ascii="Courier New" w:cs="Courier New" w:eastAsia="Courier New" w:hAnsi="Courier New"/>
          <w:sz w:val="15"/>
          <w:szCs w:val="15"/>
          <w:color w:val="auto"/>
        </w:rPr>
        <w:t>(as amended and restated through March 27, 1996)</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ARTICLE I</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GENERAL</w:t>
      </w:r>
    </w:p>
    <w:p>
      <w:pPr>
        <w:spacing w:after="0" w:line="175" w:lineRule="exact"/>
        <w:rPr>
          <w:sz w:val="20"/>
          <w:szCs w:val="20"/>
          <w:color w:val="auto"/>
        </w:rPr>
      </w:pPr>
    </w:p>
    <w:p>
      <w:pPr>
        <w:ind w:right="3359" w:firstLine="529"/>
        <w:spacing w:after="0" w:line="238" w:lineRule="auto"/>
        <w:rPr>
          <w:sz w:val="20"/>
          <w:szCs w:val="20"/>
          <w:color w:val="auto"/>
        </w:rPr>
      </w:pPr>
      <w:r>
        <w:rPr>
          <w:rFonts w:ascii="Courier New" w:cs="Courier New" w:eastAsia="Courier New" w:hAnsi="Courier New"/>
          <w:sz w:val="15"/>
          <w:szCs w:val="15"/>
          <w:color w:val="auto"/>
        </w:rPr>
        <w:t>SECTION 1.1 Purpose. The purpose of the Viacom Inc. Senior Executive Short-Term Incentive Plan (the "Plan") is to benefit and advance the interests of Viacom Inc., a Delaware corporation (the "Company"), by rewarding selected senior executive officers of the Company and its subsidiaries for their contributions to the Company's financial success and thereby motivate them to continue to make such contributions in the future by granting annual performance-based awards ("Awards").</w:t>
      </w:r>
    </w:p>
    <w:p>
      <w:pPr>
        <w:spacing w:after="0" w:line="177"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SECTION 1.2 Administration of the Plan. The Plan shall be administered by a committee ("Committee") which shall adopt such rules as it may deem appropriate in order to carry out the purpose of the Plan. The Committee shall be the Compensation Committee of the Company's Board of Directors ("Board") (or such other Committee as may be appointed by the Board) except that (i) the number of directors on the Committee shall not be less than three (3) and (ii) each member of the Committee shall be an "outside director" within the meaning of Section 162(m)(4) of the Internal Revenue code of 1986, as amended (the "Code"). All questions of interpretation, administration and application of the Plan shall be determined by a majority of the members of the Committee then in office, except that the Committee may authorize any one or more of its members, or any officer of the Company, to execute and deliver documents on behalf of the Committee. The determination of such majority shall be final and binding in all matters relating to the Plan. The Committee shall have authority to determine the terms and conditions of the Awards granted to eligible persons specified in Section 1.3 below ("Participants").</w:t>
      </w:r>
    </w:p>
    <w:p>
      <w:pPr>
        <w:spacing w:after="0" w:line="186" w:lineRule="exact"/>
        <w:rPr>
          <w:sz w:val="20"/>
          <w:szCs w:val="20"/>
          <w:color w:val="auto"/>
        </w:rPr>
      </w:pPr>
    </w:p>
    <w:p>
      <w:pPr>
        <w:ind w:right="3359" w:firstLine="529"/>
        <w:spacing w:after="0" w:line="238" w:lineRule="auto"/>
        <w:rPr>
          <w:sz w:val="20"/>
          <w:szCs w:val="20"/>
          <w:color w:val="auto"/>
        </w:rPr>
      </w:pPr>
      <w:r>
        <w:rPr>
          <w:rFonts w:ascii="Courier New" w:cs="Courier New" w:eastAsia="Courier New" w:hAnsi="Courier New"/>
          <w:sz w:val="15"/>
          <w:szCs w:val="15"/>
          <w:color w:val="auto"/>
        </w:rPr>
        <w:t>SECTION 1.3 Eligible Persons. Awards may be granted only to employees of the Company or one of its subsidiaries who are at the level of Senior Vice President of the Company or at a more senior level. An individual shall not be deemed an employee for purposes of the Plan unless such individual receives compensation from either the Company or one of its subsidiaries for services performed as an employee of the Company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ARTICLE II</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AWARDS</w:t>
      </w:r>
    </w:p>
    <w:p>
      <w:pPr>
        <w:spacing w:after="0" w:line="175" w:lineRule="exact"/>
        <w:rPr>
          <w:sz w:val="20"/>
          <w:szCs w:val="20"/>
          <w:color w:val="auto"/>
        </w:rPr>
      </w:pPr>
    </w:p>
    <w:p>
      <w:pPr>
        <w:ind w:right="3359" w:firstLine="529"/>
        <w:spacing w:after="0" w:line="237" w:lineRule="auto"/>
        <w:rPr>
          <w:sz w:val="20"/>
          <w:szCs w:val="20"/>
          <w:color w:val="auto"/>
        </w:rPr>
      </w:pPr>
      <w:r>
        <w:rPr>
          <w:rFonts w:ascii="Courier New" w:cs="Courier New" w:eastAsia="Courier New" w:hAnsi="Courier New"/>
          <w:sz w:val="15"/>
          <w:szCs w:val="15"/>
          <w:color w:val="auto"/>
        </w:rPr>
        <w:t>SECTION 2.1 Awards. The Committee may grant Awards to eligible employees with respect to each fiscal year of the Company, subject to the terms and conditions set forth in the Plan.</w:t>
      </w:r>
    </w:p>
    <w:p>
      <w:pPr>
        <w:spacing w:after="0" w:line="175"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SECTION 2.2 Terms of Awards. Prior to the end of the first quarter of each fiscal year of the Company, the Committee shall establish (i) performance goals and objectives ("Performance Targets") for the Company and the subsidiaries and divisions thereof for such fiscal year ("Performance Period") and (ii) target awards ("Target Awards") for each Participant which shall be a percentage of the Participant's salary (as defined in Section 2.3 below). Such Performance Targets shall relate to the achievement of annual financial goals based on the attainment of specified levels of Operating Income and/or Cash Flow (as such terms are defined below) for the Company and the subsidiaries and divisions thereof. For purposes of the Plan, "Operating Income" shall mean revenues less operating expenses (other than depreciation and amortization) and "Cash Flow" shall mean Operating Income less cash capital expenditures and increases or decreases in working capital and in other balance sheet investments.</w:t>
      </w:r>
    </w:p>
    <w:p>
      <w:pPr>
        <w:spacing w:after="0" w:line="16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SECTION 2.3 Limitation on Awards. The aggregate amount of all Awards to any Participant for any Performance Period shall not exceed the amount determined by multiplying such Participant's Salary by a factor of eight (8). For purposes of the Plan, "Salary" shall mean the base salary of the Participant on March 27, 1996 or, in the case of a Participant hired after March 27, 1996, such Participant's base salary on the date of hire.</w:t>
      </w:r>
    </w:p>
    <w:p>
      <w:pPr>
        <w:spacing w:after="0" w:line="176"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SECTION 2.4 Determination of Award. The Committee shall, promptly after the date on which the necessary financial or other information for a particular Performance Period becomes available, certify whether the Performance Targets have been achieved in the manner required by Section 162(m) of the Code. If the Performance Targets have been achieved, the Awards for such Performance Period shall have been earned except that the Committee may, in its sole discretion, reduce the amount of any Award to reflect the Committee's assessment of the Participant's individual performance or for any other reason. Subject to Section 2.5, such Awards shall become payable in cash as promptly as practicable thereafter.</w:t>
      </w:r>
    </w:p>
    <w:p>
      <w:pPr>
        <w:spacing w:after="0" w:line="180" w:lineRule="exact"/>
        <w:rPr>
          <w:sz w:val="20"/>
          <w:szCs w:val="20"/>
          <w:color w:val="auto"/>
        </w:rPr>
      </w:pPr>
    </w:p>
    <w:p>
      <w:pPr>
        <w:ind w:right="3259" w:firstLine="529"/>
        <w:spacing w:after="0" w:line="258" w:lineRule="auto"/>
        <w:rPr>
          <w:sz w:val="20"/>
          <w:szCs w:val="20"/>
          <w:color w:val="auto"/>
        </w:rPr>
      </w:pPr>
      <w:r>
        <w:rPr>
          <w:rFonts w:ascii="Courier New" w:cs="Courier New" w:eastAsia="Courier New" w:hAnsi="Courier New"/>
          <w:sz w:val="14"/>
          <w:szCs w:val="14"/>
          <w:color w:val="auto"/>
        </w:rPr>
        <w:t>SECTION 2.5 Employment Requirement. To be eligible to receive payment of an Award, the Participant must have remained in the continuous employ of the Company or its subsidiaries through the end of the applicable Performance Period. If the Company or any subsidiary terminates a Participant's employment other than for "cause" or a Participant becomes "permanently disabled" (in each case, as determined by the Committee in its sole discretion) or a Participant</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305" w:right="1440" w:bottom="226" w:gutter="0" w:footer="0" w:header="0"/>
        </w:sectPr>
      </w:pPr>
    </w:p>
    <w:bookmarkStart w:id="323" w:name="page324"/>
    <w:bookmarkEnd w:id="323"/>
    <w:p>
      <w:pPr>
        <w:ind w:right="3179"/>
        <w:spacing w:after="0" w:line="238" w:lineRule="auto"/>
        <w:rPr>
          <w:sz w:val="20"/>
          <w:szCs w:val="20"/>
          <w:color w:val="auto"/>
        </w:rPr>
      </w:pPr>
      <w:r>
        <w:rPr>
          <w:rFonts w:ascii="Courier New" w:cs="Courier New" w:eastAsia="Courier New" w:hAnsi="Courier New"/>
          <w:sz w:val="15"/>
          <w:szCs w:val="15"/>
          <w:color w:val="auto"/>
        </w:rPr>
        <w:t>dies during a Performance Period, such Participant or his estate shall be awarded, unless his employment contract provides otherwise, a pro rata portion of the amount of the Award for such Performance Period except that the Committee may, in its sole discretion, reduce the amount of such Award to reflect the Committee's assessment of such Participant's individual performance prior to the termination of such Participant's employment, such Participant's becoming permanently disabled or such Participant's death, as the case may be, or for any other reason.</w:t>
      </w:r>
    </w:p>
    <w:p>
      <w:pPr>
        <w:spacing w:after="0" w:line="172"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III</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ADJUSTMENT OF AWARDS</w:t>
      </w:r>
    </w:p>
    <w:p>
      <w:pPr>
        <w:spacing w:after="0" w:line="175"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In the event that, during a Performance Period, any recapitalization, reorganization, merger, acquisition, divestiture, consolidation, spin off, combination, liquidation, dissolution, sale of assets, or other similar corporate transaction or event, or any extraordinary event, or any other event which distorts the applicable performance criteria occurs involving the Company or a subsidiary or division thereof, the Committee shall adjust or modify, as determined by the Committee in its sole and absolute discretion, the calculation of Operating Income and/or Cash Flow, or the applicable Performance Targets, to the extent necessary to prevent reduction or enlargement of Participants' Awards under the Plan for such Performance Period attributable to such transaction or event. Such adjustments shall be conclusive and binding for all purposes.</w:t>
      </w:r>
    </w:p>
    <w:p>
      <w:pPr>
        <w:spacing w:after="0" w:line="16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IV</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MISCELLANEOUS</w:t>
      </w:r>
    </w:p>
    <w:p>
      <w:pPr>
        <w:spacing w:after="0" w:line="175"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SECTION 4.1 No Rights to Awards or Continued Employment. No employee shall have any claim or right to receive Awards under the Plan. Neither the Plan nor any action taken hereunder shall be construed as giving any employee any right to be retained by the Company or any of its subsidiaries.</w:t>
      </w:r>
    </w:p>
    <w:p>
      <w:pPr>
        <w:spacing w:after="0" w:line="176"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SECTION 4.2 Restriction on Transfer. The rights of a Participant with respect to Awards under the Plan shall not be transferable by the Participant to whom such Award is granted, otherwise than by will or the laws of descent and distribution.</w:t>
      </w:r>
    </w:p>
    <w:p>
      <w:pPr>
        <w:spacing w:after="0" w:line="176" w:lineRule="exact"/>
        <w:rPr>
          <w:sz w:val="20"/>
          <w:szCs w:val="20"/>
          <w:color w:val="auto"/>
        </w:rPr>
      </w:pPr>
    </w:p>
    <w:p>
      <w:pPr>
        <w:ind w:right="3539" w:firstLine="529"/>
        <w:spacing w:after="0" w:line="237" w:lineRule="auto"/>
        <w:rPr>
          <w:sz w:val="20"/>
          <w:szCs w:val="20"/>
          <w:color w:val="auto"/>
        </w:rPr>
      </w:pPr>
      <w:r>
        <w:rPr>
          <w:rFonts w:ascii="Courier New" w:cs="Courier New" w:eastAsia="Courier New" w:hAnsi="Courier New"/>
          <w:sz w:val="15"/>
          <w:szCs w:val="15"/>
          <w:color w:val="auto"/>
        </w:rPr>
        <w:t>SECTION 4.3 Tax Withholding. The Company or a subsidiary thereof, as appropriate, shall have the right to deduct from all payments made under the Plan to a Participant or to a Participant's beneficiary or beneficiaries any Federal, state or local taxes required by law to be withheld with respect to such payments.</w:t>
      </w:r>
    </w:p>
    <w:p>
      <w:pPr>
        <w:spacing w:after="0" w:line="200" w:lineRule="exact"/>
        <w:rPr>
          <w:sz w:val="20"/>
          <w:szCs w:val="20"/>
          <w:color w:val="auto"/>
        </w:rPr>
      </w:pPr>
    </w:p>
    <w:p>
      <w:pPr>
        <w:spacing w:after="0" w:line="31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7" w:right="1440" w:bottom="1440" w:gutter="0" w:footer="0" w:header="0"/>
        </w:sectPr>
      </w:pPr>
    </w:p>
    <w:bookmarkStart w:id="324" w:name="page325"/>
    <w:bookmarkEnd w:id="324"/>
    <w:p>
      <w:pPr>
        <w:ind w:right="3179" w:firstLine="529"/>
        <w:spacing w:after="0" w:line="238" w:lineRule="auto"/>
        <w:rPr>
          <w:sz w:val="20"/>
          <w:szCs w:val="20"/>
          <w:color w:val="auto"/>
        </w:rPr>
      </w:pPr>
      <w:r>
        <w:rPr>
          <w:rFonts w:ascii="Courier New" w:cs="Courier New" w:eastAsia="Courier New" w:hAnsi="Courier New"/>
          <w:sz w:val="15"/>
          <w:szCs w:val="15"/>
          <w:color w:val="auto"/>
        </w:rPr>
        <w:t>SECTION 4.4 No Restriction on Right of Company to Effect Changes. The Plan shall not affect in any way the right or power of the Company or its stockholders to make or authorize any recapitalization, reorganization, merger, acquisition, divestiture, consolidation, spin off, combination, liquidation, dissolution, sale of assets, or other similar corporate transaction or event involving the Company or a subsidiary thereof or any other event or series of events, whether of a similar character or otherwise.</w:t>
      </w:r>
    </w:p>
    <w:p>
      <w:pPr>
        <w:spacing w:after="0" w:line="177"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SECTION 4.5 Source of Payments. The Company shall not have any obligation to establish any separate fund or trust or other segregation of assets to provide for payments under the Plan. To the extent any person acquires any rights to receive payments hereunder from the Company, such rights shall be no greater than those of an unsecured creditor.</w:t>
      </w:r>
    </w:p>
    <w:p>
      <w:pPr>
        <w:spacing w:after="0" w:line="178"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SECTION 4.6 Amendment and Termination. The Board may at any time and from time to time alter, amend, suspend or terminate the Plan in whole or in part. No termination or amendment of the Plan may, without the consent of the Participant to whom an Award has been made, adversely affect the rights of such Participant in such Award.</w:t>
      </w:r>
    </w:p>
    <w:p>
      <w:pPr>
        <w:spacing w:after="0" w:line="178"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SECTION 4.7 Governmental Regulations. The Plan, and all Awards hereunder, shall be subject to all applicable rules and regulations of governmental or other authorities.</w:t>
      </w:r>
    </w:p>
    <w:p>
      <w:pPr>
        <w:spacing w:after="0" w:line="175"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SECTION 4.8 Headings. The headings of sections and subsections herein are included solely for convenience of reference and shall not affect the meaning of any of the provisions of the Plan.</w:t>
      </w:r>
    </w:p>
    <w:p>
      <w:pPr>
        <w:spacing w:after="0" w:line="175" w:lineRule="exact"/>
        <w:rPr>
          <w:sz w:val="20"/>
          <w:szCs w:val="20"/>
          <w:color w:val="auto"/>
        </w:rPr>
      </w:pPr>
    </w:p>
    <w:p>
      <w:pPr>
        <w:jc w:val="both"/>
        <w:ind w:right="3359" w:firstLine="529"/>
        <w:spacing w:after="0" w:line="237" w:lineRule="auto"/>
        <w:rPr>
          <w:sz w:val="20"/>
          <w:szCs w:val="20"/>
          <w:color w:val="auto"/>
        </w:rPr>
      </w:pPr>
      <w:r>
        <w:rPr>
          <w:rFonts w:ascii="Courier New" w:cs="Courier New" w:eastAsia="Courier New" w:hAnsi="Courier New"/>
          <w:sz w:val="15"/>
          <w:szCs w:val="15"/>
          <w:color w:val="auto"/>
        </w:rPr>
        <w:t>Section 4.9 Governing Law. The Plan and all rights and Awards hereunder shall be construed in accordance with and governed by the laws of the State of Delaware.</w:t>
      </w:r>
    </w:p>
    <w:p>
      <w:pPr>
        <w:spacing w:after="0" w:line="175"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SECTION 4.10 Effective Date. The Plan became effective as of January 1, 1994. The amendment and restatement thereof shall be effective as of March 27, 1996; provided, however, that it shall be a condition to the effectiveness of the amendment and restatement of the Plan, and any Awards made after March 27, 1996, that the stockholders of the Company approve the amendment of the Plan at the 1996 Annual Meeting of Stockholders. Such approval shall meet the requirements of Section 162(m) of the Code and the regulations thereunder. If such approval is not obtained, then the amendment and restatement of the Plan shall not be effective and any Award made after March 27, 1996 shall be void ab initio.</w:t>
      </w:r>
    </w:p>
    <w:p>
      <w:pPr>
        <w:spacing w:after="0" w:line="200" w:lineRule="exact"/>
        <w:rPr>
          <w:sz w:val="20"/>
          <w:szCs w:val="20"/>
          <w:color w:val="auto"/>
        </w:rPr>
      </w:pPr>
    </w:p>
    <w:p>
      <w:pPr>
        <w:spacing w:after="0" w:line="31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7" w:right="1440" w:bottom="1440" w:gutter="0" w:footer="0" w:header="0"/>
        </w:sectPr>
      </w:pPr>
    </w:p>
    <w:bookmarkStart w:id="325" w:name="page326"/>
    <w:bookmarkEnd w:id="325"/>
    <w:p>
      <w:pPr>
        <w:jc w:val="right"/>
        <w:ind w:right="3179"/>
        <w:spacing w:after="0"/>
        <w:rPr>
          <w:sz w:val="20"/>
          <w:szCs w:val="20"/>
          <w:color w:val="auto"/>
        </w:rPr>
      </w:pPr>
      <w:r>
        <w:rPr>
          <w:rFonts w:ascii="Courier New" w:cs="Courier New" w:eastAsia="Courier New" w:hAnsi="Courier New"/>
          <w:sz w:val="15"/>
          <w:szCs w:val="15"/>
          <w:color w:val="auto"/>
        </w:rPr>
        <w:t>As of January 1, 1996</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Philippe P. Dauman</w:t>
      </w:r>
    </w:p>
    <w:p>
      <w:pPr>
        <w:spacing w:after="0"/>
        <w:rPr>
          <w:sz w:val="20"/>
          <w:szCs w:val="20"/>
          <w:color w:val="auto"/>
        </w:rPr>
      </w:pPr>
      <w:r>
        <w:rPr>
          <w:rFonts w:ascii="Courier New" w:cs="Courier New" w:eastAsia="Courier New" w:hAnsi="Courier New"/>
          <w:sz w:val="15"/>
          <w:szCs w:val="15"/>
          <w:color w:val="auto"/>
        </w:rPr>
        <w:t>655 Park Avenue</w:t>
      </w:r>
    </w:p>
    <w:p>
      <w:pPr>
        <w:spacing w:after="0"/>
        <w:rPr>
          <w:sz w:val="20"/>
          <w:szCs w:val="20"/>
          <w:color w:val="auto"/>
        </w:rPr>
      </w:pPr>
      <w:r>
        <w:rPr>
          <w:rFonts w:ascii="Courier New" w:cs="Courier New" w:eastAsia="Courier New" w:hAnsi="Courier New"/>
          <w:sz w:val="15"/>
          <w:szCs w:val="15"/>
          <w:color w:val="auto"/>
        </w:rPr>
        <w:t>New York, NY 10021</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Mr. Dauman:</w:t>
      </w:r>
    </w:p>
    <w:p>
      <w:pPr>
        <w:spacing w:after="0" w:line="344"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Viacom Inc. ("Viacom"), having an address at 1515 Broadway, New York, New York 10036, agrees to employ you and you agree to accept such employment upon the following terms and conditions:</w:t>
      </w:r>
    </w:p>
    <w:p>
      <w:pPr>
        <w:spacing w:after="0" w:line="175"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l. Term. The term of your employment hereunder shall commence on January 1, 1996 and, unless terminated by Viacom or you pursuant to paragraph 8 hereof, shall continue through and until December 31, 2000. The period from January 1, 1996 through December 31, 2000 shall hereinafter be referred to as the "Employment Term" notwithstanding any earlier termination pursuant to paragraph 8.</w:t>
      </w:r>
    </w:p>
    <w:p>
      <w:pPr>
        <w:spacing w:after="0" w:line="176" w:lineRule="exact"/>
        <w:rPr>
          <w:sz w:val="20"/>
          <w:szCs w:val="20"/>
          <w:color w:val="auto"/>
        </w:rPr>
      </w:pPr>
    </w:p>
    <w:p>
      <w:pPr>
        <w:ind w:right="3179" w:firstLine="519"/>
        <w:spacing w:after="0" w:line="257" w:lineRule="auto"/>
        <w:tabs>
          <w:tab w:leader="none" w:pos="793"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Duties. During the Employment Term, you agree to devote your entire business time, attention and energies to the business of Viacom and its subsidiaries. This is not intended to prevent you from engaging in other activities that do not conflict with or interfere with the performance of your duties and responsibilities hereunder. You will be Deputy Chairman and Executive Vice President, General Counsel and Chief Administrative Officer and Secretary of Viacom reporting directly and solely to the Chairman of the Board of Viacom (the "Chairman"), and you agree to perform such duties, and such other duties reasonable and consistent with such office as may be assigned to you from time to time by the Chairman. You will have such authority as is necessary for the performance of your obligations hereunder. You shall serve as a member of the Board of Directors of Viacom. Your principal place of business shall be at Viacom's headquarters in the New York City metropolitan area and you shall not be required to relocate outside of the New York City metropolitan area.</w:t>
      </w:r>
    </w:p>
    <w:p>
      <w:pPr>
        <w:spacing w:after="0" w:line="159" w:lineRule="exact"/>
        <w:rPr>
          <w:rFonts w:ascii="Courier New" w:cs="Courier New" w:eastAsia="Courier New" w:hAnsi="Courier New"/>
          <w:sz w:val="14"/>
          <w:szCs w:val="14"/>
          <w:color w:val="auto"/>
        </w:rPr>
      </w:pPr>
    </w:p>
    <w:p>
      <w:pPr>
        <w:ind w:left="1040" w:hanging="521"/>
        <w:spacing w:after="0"/>
        <w:tabs>
          <w:tab w:leader="none" w:pos="104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w:t>
      </w:r>
    </w:p>
    <w:p>
      <w:pPr>
        <w:spacing w:after="0" w:line="174" w:lineRule="exact"/>
        <w:rPr>
          <w:rFonts w:ascii="Courier New" w:cs="Courier New" w:eastAsia="Courier New" w:hAnsi="Courier New"/>
          <w:sz w:val="15"/>
          <w:szCs w:val="15"/>
          <w:color w:val="auto"/>
        </w:rPr>
      </w:pPr>
    </w:p>
    <w:p>
      <w:pPr>
        <w:ind w:right="3179" w:firstLine="1048"/>
        <w:spacing w:after="0" w:line="237" w:lineRule="auto"/>
        <w:tabs>
          <w:tab w:leader="none" w:pos="1410"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Salary: For all the services rendered by you in any capacity hereunder, Viacom agrees to pay you the sum of One Million Dollars ($1,000,000) per annum ("Salary"), payable in accordance with Viacom's then effective payroll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Philippe P. Dauman</w:t>
      </w:r>
    </w:p>
    <w:p>
      <w:pPr>
        <w:spacing w:after="0"/>
        <w:rPr>
          <w:sz w:val="20"/>
          <w:szCs w:val="20"/>
          <w:color w:val="auto"/>
        </w:rPr>
      </w:pPr>
      <w:r>
        <w:rPr>
          <w:rFonts w:ascii="Courier New" w:cs="Courier New" w:eastAsia="Courier New" w:hAnsi="Courier New"/>
          <w:sz w:val="15"/>
          <w:szCs w:val="15"/>
          <w:color w:val="auto"/>
        </w:rPr>
        <w:t>January 1, 1996</w:t>
      </w:r>
    </w:p>
    <w:p>
      <w:pPr>
        <w:spacing w:after="0"/>
        <w:rPr>
          <w:sz w:val="20"/>
          <w:szCs w:val="20"/>
          <w:color w:val="auto"/>
        </w:rPr>
      </w:pPr>
      <w:r>
        <w:rPr>
          <w:rFonts w:ascii="Courier New" w:cs="Courier New" w:eastAsia="Courier New" w:hAnsi="Courier New"/>
          <w:sz w:val="15"/>
          <w:szCs w:val="15"/>
          <w:color w:val="auto"/>
        </w:rPr>
        <w:t>Page 2</w:t>
      </w:r>
    </w:p>
    <w:p>
      <w:pPr>
        <w:spacing w:after="0" w:line="343" w:lineRule="exact"/>
        <w:rPr>
          <w:sz w:val="20"/>
          <w:szCs w:val="20"/>
          <w:color w:val="auto"/>
        </w:rPr>
      </w:pPr>
    </w:p>
    <w:p>
      <w:pPr>
        <w:ind w:right="3179" w:firstLine="1048"/>
        <w:spacing w:after="0" w:line="237" w:lineRule="auto"/>
        <w:tabs>
          <w:tab w:leader="none" w:pos="141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 Compensation: In addition to your Salary, you shall be entitled to receive bonus compensation for each of the calendar years during the Employment Term, determined and payable as follows ("Bonus"):</w:t>
      </w:r>
    </w:p>
    <w:p>
      <w:pPr>
        <w:spacing w:after="0" w:line="175" w:lineRule="exact"/>
        <w:rPr>
          <w:sz w:val="20"/>
          <w:szCs w:val="20"/>
          <w:color w:val="auto"/>
        </w:rPr>
      </w:pPr>
    </w:p>
    <w:p>
      <w:pPr>
        <w:ind w:left="1580" w:right="3179" w:hanging="532"/>
        <w:spacing w:after="0" w:line="238" w:lineRule="auto"/>
        <w:tabs>
          <w:tab w:leader="none" w:pos="158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Bonus for each of the calendar years during the Employment Term will be based upon a measurement of performance against objectives in accordance with Viacom's Short-Term Incentive Plan and its Senior Executive Short-Term Incentive Plan, as the same may be amended from time to time (collectively, the "STIP"), which objectives shall be no less favorable to you than the objectives used to determine the amount of bonus payable to any other executive of Viacom whose bonus is based in whole or in part on corporate performance and who participates in the STIP.</w:t>
      </w:r>
    </w:p>
    <w:p>
      <w:pPr>
        <w:spacing w:after="0" w:line="179" w:lineRule="exact"/>
        <w:rPr>
          <w:rFonts w:ascii="Courier New" w:cs="Courier New" w:eastAsia="Courier New" w:hAnsi="Courier New"/>
          <w:sz w:val="15"/>
          <w:szCs w:val="15"/>
          <w:color w:val="auto"/>
        </w:rPr>
      </w:pPr>
    </w:p>
    <w:p>
      <w:pPr>
        <w:ind w:left="1580" w:right="3259" w:hanging="532"/>
        <w:spacing w:after="0" w:line="237" w:lineRule="auto"/>
        <w:tabs>
          <w:tab w:leader="none" w:pos="158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Target Bonus for each of the calendar years during the Employment Term shall be 250% of Salary and Deferred Compensation (as defined in paragraph 3(c)) for such calendar year.</w:t>
      </w:r>
    </w:p>
    <w:p>
      <w:pPr>
        <w:spacing w:after="0" w:line="176" w:lineRule="exact"/>
        <w:rPr>
          <w:rFonts w:ascii="Courier New" w:cs="Courier New" w:eastAsia="Courier New" w:hAnsi="Courier New"/>
          <w:sz w:val="15"/>
          <w:szCs w:val="15"/>
          <w:color w:val="auto"/>
        </w:rPr>
      </w:pPr>
    </w:p>
    <w:p>
      <w:pPr>
        <w:ind w:left="1580" w:right="3259" w:hanging="532"/>
        <w:spacing w:after="0" w:line="235" w:lineRule="auto"/>
        <w:tabs>
          <w:tab w:leader="none" w:pos="158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Bonus for any calendar year shall be payable by February 28 of the following year.</w:t>
      </w:r>
    </w:p>
    <w:p>
      <w:pPr>
        <w:spacing w:after="0" w:line="176" w:lineRule="exact"/>
        <w:rPr>
          <w:sz w:val="20"/>
          <w:szCs w:val="20"/>
          <w:color w:val="auto"/>
        </w:rPr>
      </w:pPr>
    </w:p>
    <w:p>
      <w:pPr>
        <w:ind w:right="3179" w:firstLine="1048"/>
        <w:spacing w:after="0" w:line="256" w:lineRule="auto"/>
        <w:tabs>
          <w:tab w:leader="none" w:pos="141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Compensation: In addition to your Salary and Bonus, you shall earn, in respect of calendar year 1997 and each calendar year during the Employment Term after 1997, an additional amount ("Deferred Compensation"), the payment of which (together with the return thereon as provided in this paragraph 3(c)) shall be deferred until January of the first calendar year following the year in which you cease to be an executive officer of Viacom for purposes of the Securities Exchange Act of 1934, as amended. The amount of Deferred Compensation for calendar year 1997 shall be One Hundred Thousand Dollars ($100,000); for each subsequent calendar year during the Employment Term, the amount of Deferred Compensation shall be the excess of (X) 110% of the aggregate amount of the Salary and Deferred Compensation earned during the immediately preceding calendar year over (Y) $1,000,000 (e.g. the Deferred Compensation for the 1998 calendar year shall be ((110% x ($1,000,000 + 100,000)) - $1,000,000) = $210,000). Deferred Compensation shall be credited to a bookkeeping account maintained by Viacom on your behalf, the balance of which account shall periodically be credited (or debited) with deemed positive (or negative) return calculated in the same manner, and at the same times, as the deemed return on your account under the excess 401(k) plan of Viacom (as such plan may be amended from time to time) is determined. Viacom's obligation to pay the Deferred Compensation (including the return thereon provided for in this paragraph 3(c))</w:t>
      </w:r>
    </w:p>
    <w:p>
      <w:pPr>
        <w:sectPr>
          <w:pgSz w:w="11900" w:h="16838" w:orient="portrait"/>
          <w:cols w:equalWidth="0" w:num="1">
            <w:col w:w="10219"/>
          </w:cols>
          <w:pgMar w:left="240" w:top="475" w:right="1440" w:bottom="0" w:gutter="0" w:footer="0" w:header="0"/>
        </w:sectPr>
      </w:pPr>
    </w:p>
    <w:bookmarkStart w:id="326" w:name="page327"/>
    <w:bookmarkEnd w:id="326"/>
    <w:p>
      <w:pPr>
        <w:ind w:right="3799"/>
        <w:spacing w:after="0" w:line="235" w:lineRule="auto"/>
        <w:rPr>
          <w:sz w:val="20"/>
          <w:szCs w:val="20"/>
          <w:color w:val="auto"/>
        </w:rPr>
      </w:pPr>
      <w:r>
        <w:rPr>
          <w:rFonts w:ascii="Courier New" w:cs="Courier New" w:eastAsia="Courier New" w:hAnsi="Courier New"/>
          <w:sz w:val="15"/>
          <w:szCs w:val="15"/>
          <w:color w:val="auto"/>
        </w:rPr>
        <w:t>shall be an unfunded obligation to be satisfied from the general funds of Viacom.</w:t>
      </w:r>
    </w:p>
    <w:p>
      <w:pPr>
        <w:sectPr>
          <w:pgSz w:w="11900" w:h="16838" w:orient="portrait"/>
          <w:cols w:equalWidth="0" w:num="1">
            <w:col w:w="10219"/>
          </w:cols>
          <w:pgMar w:left="240" w:top="141" w:right="1440" w:bottom="1440" w:gutter="0" w:footer="0" w:header="0"/>
        </w:sectPr>
      </w:pPr>
    </w:p>
    <w:bookmarkStart w:id="327" w:name="page328"/>
    <w:bookmarkEnd w:id="327"/>
    <w:p>
      <w:pPr>
        <w:spacing w:after="0"/>
        <w:rPr>
          <w:sz w:val="20"/>
          <w:szCs w:val="20"/>
          <w:color w:val="auto"/>
        </w:rPr>
      </w:pPr>
      <w:r>
        <w:rPr>
          <w:rFonts w:ascii="Courier New" w:cs="Courier New" w:eastAsia="Courier New" w:hAnsi="Courier New"/>
          <w:sz w:val="15"/>
          <w:szCs w:val="15"/>
          <w:color w:val="auto"/>
        </w:rPr>
        <w:t>Philippe P. Dauman</w:t>
      </w:r>
    </w:p>
    <w:p>
      <w:pPr>
        <w:spacing w:after="0"/>
        <w:rPr>
          <w:sz w:val="20"/>
          <w:szCs w:val="20"/>
          <w:color w:val="auto"/>
        </w:rPr>
      </w:pPr>
      <w:r>
        <w:rPr>
          <w:rFonts w:ascii="Courier New" w:cs="Courier New" w:eastAsia="Courier New" w:hAnsi="Courier New"/>
          <w:sz w:val="15"/>
          <w:szCs w:val="15"/>
          <w:color w:val="auto"/>
        </w:rPr>
        <w:t>January 1, 1996</w:t>
      </w:r>
    </w:p>
    <w:p>
      <w:pPr>
        <w:spacing w:after="0"/>
        <w:rPr>
          <w:sz w:val="20"/>
          <w:szCs w:val="20"/>
          <w:color w:val="auto"/>
        </w:rPr>
      </w:pPr>
      <w:r>
        <w:rPr>
          <w:rFonts w:ascii="Courier New" w:cs="Courier New" w:eastAsia="Courier New" w:hAnsi="Courier New"/>
          <w:sz w:val="15"/>
          <w:szCs w:val="15"/>
          <w:color w:val="auto"/>
        </w:rPr>
        <w:t>Page 3</w:t>
      </w:r>
    </w:p>
    <w:p>
      <w:pPr>
        <w:spacing w:after="0" w:line="338" w:lineRule="exact"/>
        <w:rPr>
          <w:sz w:val="20"/>
          <w:szCs w:val="20"/>
          <w:color w:val="auto"/>
        </w:rPr>
      </w:pPr>
    </w:p>
    <w:p>
      <w:pPr>
        <w:ind w:left="1580" w:hanging="532"/>
        <w:spacing w:after="0"/>
        <w:tabs>
          <w:tab w:leader="none" w:pos="158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Incentive Plans.</w:t>
      </w:r>
    </w:p>
    <w:p>
      <w:pPr>
        <w:spacing w:after="0" w:line="175" w:lineRule="exact"/>
        <w:rPr>
          <w:sz w:val="20"/>
          <w:szCs w:val="20"/>
          <w:color w:val="auto"/>
        </w:rPr>
      </w:pPr>
    </w:p>
    <w:p>
      <w:pPr>
        <w:ind w:left="1580" w:right="3179" w:hanging="532"/>
        <w:spacing w:after="0" w:line="238" w:lineRule="auto"/>
        <w:tabs>
          <w:tab w:leader="none" w:pos="1580"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Grant: You have been awarded a special grant (the "Special Grant") under Viacom's 1994 Long-Term Management Incentive Plan (the "1994 LTMIP") of stock options to purchase Two Hundred Fifty Thousand (250,000) shares of Viacom's Class B Common Stock, effective as of January 29, 1996 (the "Date of Special Grant"), with an exercise price of $40 for each share. The Special Grant shall vest in three equal installments on the second, third and fourth anniversaries of the Date of Special Grant.</w:t>
      </w:r>
    </w:p>
    <w:p>
      <w:pPr>
        <w:spacing w:after="0" w:line="178" w:lineRule="exact"/>
        <w:rPr>
          <w:rFonts w:ascii="Courier New" w:cs="Courier New" w:eastAsia="Courier New" w:hAnsi="Courier New"/>
          <w:sz w:val="15"/>
          <w:szCs w:val="15"/>
          <w:color w:val="auto"/>
        </w:rPr>
      </w:pPr>
    </w:p>
    <w:p>
      <w:pPr>
        <w:ind w:left="1580" w:right="3179" w:hanging="532"/>
        <w:spacing w:after="0" w:line="238" w:lineRule="auto"/>
        <w:tabs>
          <w:tab w:leader="none" w:pos="1580"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Grants: In addition to the Special Grant, you shall receive an annual grant (the "Annual Grant") for each calendar year during the Employment Term under the 1994 LTMIP or any successor plans (collectively, the "LTMIP") of stock options to purchase One Hundred Fifty Thousand (150,000) shares of Class B Common Stock; provided, that the amount of each Annual Grant shall not be less than the amount of the second largest grant awarded to any executive of Viacom under the LTMIP; and provided, further, that the amount of the Annual Grant shall be adjusted in the event of a stock split or a stock dividend. Each Annual Grant shall be made as of August 1st or the date as of which the Compensation Committee of the Viacom Board of Directors shall award the major stock option grant under the LTMIP to Viacom's senior executives for such calendar year. Each Annual Grant shall vest in three equal installments on the second, third and fourth anniversaries of the date of grant.</w:t>
      </w:r>
    </w:p>
    <w:p>
      <w:pPr>
        <w:spacing w:after="0" w:line="350" w:lineRule="exact"/>
        <w:rPr>
          <w:rFonts w:ascii="Courier New" w:cs="Courier New" w:eastAsia="Courier New" w:hAnsi="Courier New"/>
          <w:sz w:val="15"/>
          <w:szCs w:val="15"/>
          <w:color w:val="auto"/>
        </w:rPr>
      </w:pPr>
    </w:p>
    <w:p>
      <w:pPr>
        <w:ind w:left="1040" w:hanging="521"/>
        <w:spacing w:after="0"/>
        <w:tabs>
          <w:tab w:leader="none" w:pos="104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Benefits.</w:t>
      </w:r>
    </w:p>
    <w:p>
      <w:pPr>
        <w:spacing w:after="0" w:line="175" w:lineRule="exact"/>
        <w:rPr>
          <w:sz w:val="20"/>
          <w:szCs w:val="20"/>
          <w:color w:val="auto"/>
        </w:rPr>
      </w:pPr>
    </w:p>
    <w:p>
      <w:pPr>
        <w:ind w:right="3179" w:firstLine="1048"/>
        <w:spacing w:after="0" w:line="257" w:lineRule="auto"/>
        <w:tabs>
          <w:tab w:leader="none" w:pos="141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shall be entitled to participate in such medical, dental and life insurance, 401(k), pension and other plans as Viacom may have or establish from time to time and in which you would be entitled to participate pursuant to the terms thereof. The foregoing, however, shall not be construed to require Viacom to establish any such plans or to prevent the modification or termination of such plans once established, and no such action or failure thereof shall affect this Agreement; provided, however, that no modification of any plans in which you participate shall be made which results in treating you less favorably than other senior executives of Viacom. It is further understood and agreed that all benefits you may be entitled to as an employee of Viacom shall be based upon your Salary, as set forth in paragraph 3(a) hereof, and not upon any bonus compensation due, payable or paid to you hereunder, except where the benefit</w:t>
      </w:r>
    </w:p>
    <w:p>
      <w:pPr>
        <w:sectPr>
          <w:pgSz w:w="11900" w:h="16838" w:orient="portrait"/>
          <w:cols w:equalWidth="0" w:num="1">
            <w:col w:w="10219"/>
          </w:cols>
          <w:pgMar w:left="240" w:top="622" w:right="1440" w:bottom="1440" w:gutter="0" w:footer="0" w:header="0"/>
        </w:sectPr>
      </w:pPr>
    </w:p>
    <w:bookmarkStart w:id="328" w:name="page329"/>
    <w:bookmarkEnd w:id="328"/>
    <w:p>
      <w:pPr>
        <w:ind w:left="10"/>
        <w:spacing w:after="0"/>
        <w:rPr>
          <w:sz w:val="20"/>
          <w:szCs w:val="20"/>
          <w:color w:val="auto"/>
        </w:rPr>
      </w:pPr>
      <w:r>
        <w:rPr>
          <w:rFonts w:ascii="Courier New" w:cs="Courier New" w:eastAsia="Courier New" w:hAnsi="Courier New"/>
          <w:sz w:val="15"/>
          <w:szCs w:val="15"/>
          <w:color w:val="auto"/>
        </w:rPr>
        <w:t>Philippe P. Dauman</w:t>
      </w:r>
    </w:p>
    <w:p>
      <w:pPr>
        <w:ind w:left="10"/>
        <w:spacing w:after="0"/>
        <w:rPr>
          <w:sz w:val="20"/>
          <w:szCs w:val="20"/>
          <w:color w:val="auto"/>
        </w:rPr>
      </w:pPr>
      <w:r>
        <w:rPr>
          <w:rFonts w:ascii="Courier New" w:cs="Courier New" w:eastAsia="Courier New" w:hAnsi="Courier New"/>
          <w:sz w:val="15"/>
          <w:szCs w:val="15"/>
          <w:color w:val="auto"/>
        </w:rPr>
        <w:t>January 1, 1996</w:t>
      </w:r>
    </w:p>
    <w:p>
      <w:pPr>
        <w:ind w:left="10"/>
        <w:spacing w:after="0"/>
        <w:rPr>
          <w:sz w:val="20"/>
          <w:szCs w:val="20"/>
          <w:color w:val="auto"/>
        </w:rPr>
      </w:pPr>
      <w:r>
        <w:rPr>
          <w:rFonts w:ascii="Courier New" w:cs="Courier New" w:eastAsia="Courier New" w:hAnsi="Courier New"/>
          <w:sz w:val="15"/>
          <w:szCs w:val="15"/>
          <w:color w:val="auto"/>
        </w:rPr>
        <w:t>Page 4</w:t>
      </w:r>
    </w:p>
    <w:p>
      <w:pPr>
        <w:spacing w:after="0" w:line="343" w:lineRule="exact"/>
        <w:rPr>
          <w:sz w:val="20"/>
          <w:szCs w:val="20"/>
          <w:color w:val="auto"/>
        </w:rPr>
      </w:pPr>
    </w:p>
    <w:p>
      <w:pPr>
        <w:ind w:left="10" w:right="3699"/>
        <w:spacing w:after="0" w:line="235" w:lineRule="auto"/>
        <w:rPr>
          <w:sz w:val="20"/>
          <w:szCs w:val="20"/>
          <w:color w:val="auto"/>
        </w:rPr>
      </w:pPr>
      <w:r>
        <w:rPr>
          <w:rFonts w:ascii="Courier New" w:cs="Courier New" w:eastAsia="Courier New" w:hAnsi="Courier New"/>
          <w:sz w:val="15"/>
          <w:szCs w:val="15"/>
          <w:color w:val="auto"/>
        </w:rPr>
        <w:t>plan expressly provides otherwise. You shall be entitled to four (4) weeks vacation.</w:t>
      </w:r>
    </w:p>
    <w:p>
      <w:pPr>
        <w:spacing w:after="0" w:line="176" w:lineRule="exact"/>
        <w:rPr>
          <w:sz w:val="20"/>
          <w:szCs w:val="20"/>
          <w:color w:val="auto"/>
        </w:rPr>
      </w:pPr>
    </w:p>
    <w:p>
      <w:pPr>
        <w:ind w:left="10" w:right="3179" w:firstLine="1048"/>
        <w:spacing w:after="0" w:line="259" w:lineRule="auto"/>
        <w:tabs>
          <w:tab w:leader="none" w:pos="1420" w:val="left"/>
        </w:tabs>
        <w:numPr>
          <w:ilvl w:val="2"/>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shall provide you with no less than Five Million Dollars ($5,000,000) of life insurance during the Employment Term. You shall have the right to assign the policy for such life insurance to your spouse or issue or to a trust or trusts primarily for the benefit of your spouse and/or issue.</w:t>
      </w:r>
    </w:p>
    <w:p>
      <w:pPr>
        <w:spacing w:after="0" w:line="162" w:lineRule="exact"/>
        <w:rPr>
          <w:rFonts w:ascii="Courier New" w:cs="Courier New" w:eastAsia="Courier New" w:hAnsi="Courier New"/>
          <w:sz w:val="14"/>
          <w:szCs w:val="14"/>
          <w:color w:val="auto"/>
        </w:rPr>
      </w:pPr>
    </w:p>
    <w:p>
      <w:pPr>
        <w:ind w:left="10" w:right="3259" w:firstLine="1048"/>
        <w:spacing w:after="0" w:line="259" w:lineRule="auto"/>
        <w:tabs>
          <w:tab w:leader="none" w:pos="1420" w:val="left"/>
        </w:tabs>
        <w:numPr>
          <w:ilvl w:val="2"/>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benefits described in paragraph 4(a) and (b) hereof, Viacom agrees that the benefits payable under the Excess Pension Plan shall be calculated as though nine (9) years of benefit service were added to your actual credited years of benefit service at the time of your termination.</w:t>
      </w:r>
    </w:p>
    <w:p>
      <w:pPr>
        <w:spacing w:after="0" w:line="162" w:lineRule="exact"/>
        <w:rPr>
          <w:rFonts w:ascii="Courier New" w:cs="Courier New" w:eastAsia="Courier New" w:hAnsi="Courier New"/>
          <w:sz w:val="14"/>
          <w:szCs w:val="14"/>
          <w:color w:val="auto"/>
        </w:rPr>
      </w:pPr>
    </w:p>
    <w:p>
      <w:pPr>
        <w:ind w:left="10" w:right="3259" w:firstLine="519"/>
        <w:spacing w:after="0" w:line="237" w:lineRule="auto"/>
        <w:tabs>
          <w:tab w:leader="none" w:pos="803"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Expenses. During the Employment Term, you shall be reimbursed for such reasonable travel and other expenses incurred in the performance of your duties hereunder as are customarily reimbursed to senior executives of Viacom. You shall be entitled to a car allowance and insurance in accordance with Viacom's policy.</w:t>
      </w:r>
    </w:p>
    <w:p>
      <w:pPr>
        <w:spacing w:after="0" w:line="172" w:lineRule="exact"/>
        <w:rPr>
          <w:rFonts w:ascii="Courier New" w:cs="Courier New" w:eastAsia="Courier New" w:hAnsi="Courier New"/>
          <w:sz w:val="15"/>
          <w:szCs w:val="15"/>
          <w:color w:val="auto"/>
        </w:rPr>
      </w:pPr>
    </w:p>
    <w:p>
      <w:pPr>
        <w:ind w:left="1050" w:hanging="521"/>
        <w:spacing w:after="0"/>
        <w:tabs>
          <w:tab w:leader="none" w:pos="1050"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Exclusive Employment, Confidential Information, Etc.</w:t>
      </w:r>
    </w:p>
    <w:p>
      <w:pPr>
        <w:spacing w:after="0" w:line="174" w:lineRule="exact"/>
        <w:rPr>
          <w:rFonts w:ascii="Courier New" w:cs="Courier New" w:eastAsia="Courier New" w:hAnsi="Courier New"/>
          <w:sz w:val="15"/>
          <w:szCs w:val="15"/>
          <w:color w:val="auto"/>
        </w:rPr>
      </w:pPr>
    </w:p>
    <w:p>
      <w:pPr>
        <w:ind w:left="10" w:right="3259" w:firstLine="1048"/>
        <w:spacing w:after="0" w:line="256" w:lineRule="auto"/>
        <w:tabs>
          <w:tab w:leader="none" w:pos="1420" w:val="left"/>
        </w:tabs>
        <w:numPr>
          <w:ilvl w:val="2"/>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Non-Competition. You agree that your employment hereunder is on an exclusive basis, and that during the shorter of (x) the Employment Term and</w:t>
      </w:r>
    </w:p>
    <w:p>
      <w:pPr>
        <w:ind w:left="10" w:right="3179" w:hanging="10"/>
        <w:spacing w:after="0" w:line="238" w:lineRule="auto"/>
        <w:tabs>
          <w:tab w:leader="none" w:pos="362"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(1) year after the termination of your employment pursuant to paragraph 8(b) or 8(c) hereof or eighteen (18) months after the termination of your employment pursuant to paragraph 8(a) hereof (the "Non-Compete Period"), you will not engage in any other business activity which is in conflict with your duties and obligations hereunder. You agree that during the Non-Compete Period you shall not directly or indirectly engage in or participate as an officer, employee, director, agent of or consultant for any business directly competitive with that of Viacom, nor shall you make any investments in any company or business competing with Viacom except as described in your memorandum to Frank J. Biondi dated January 25, 1993; provided, however, that nothing herein shall prevent you from investing as less than a one (1%) percent shareholder in the securities of any company listed on a national securities exchange or quoted on an automated quotation system.</w:t>
      </w:r>
    </w:p>
    <w:p>
      <w:pPr>
        <w:spacing w:after="0" w:line="182" w:lineRule="exact"/>
        <w:rPr>
          <w:rFonts w:ascii="Courier New" w:cs="Courier New" w:eastAsia="Courier New" w:hAnsi="Courier New"/>
          <w:sz w:val="15"/>
          <w:szCs w:val="15"/>
          <w:color w:val="auto"/>
        </w:rPr>
      </w:pPr>
    </w:p>
    <w:p>
      <w:pPr>
        <w:ind w:left="10" w:right="3179" w:firstLine="1048"/>
        <w:spacing w:after="0" w:line="238" w:lineRule="auto"/>
        <w:tabs>
          <w:tab w:leader="none" w:pos="1420" w:val="left"/>
        </w:tabs>
        <w:numPr>
          <w:ilvl w:val="2"/>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You agree that you shall not, during the Employment Term or at any time thereafter, use for your own purposes, or disclose to or for the benefit of any third party, any trade secret or other confidential information of Viacom or any of its affiliates (except as may be required by law or in the performance of your duties hereunder consistent with Viacom's policies) and that you will comply with any confidentiality obligations of Viacom to a third party, whether under agreement or otherwise. Notwithstanding the foregoing, confidential information shall be deemed not to</w:t>
      </w:r>
    </w:p>
    <w:p>
      <w:pPr>
        <w:sectPr>
          <w:pgSz w:w="11900" w:h="16838" w:orient="portrait"/>
          <w:cols w:equalWidth="0" w:num="1">
            <w:col w:w="10229"/>
          </w:cols>
          <w:pgMar w:left="230" w:top="622" w:right="1440" w:bottom="1440" w:gutter="0" w:footer="0" w:header="0"/>
        </w:sectPr>
      </w:pPr>
    </w:p>
    <w:bookmarkStart w:id="329" w:name="page330"/>
    <w:bookmarkEnd w:id="329"/>
    <w:p>
      <w:pPr>
        <w:ind w:left="10"/>
        <w:spacing w:after="0"/>
        <w:rPr>
          <w:sz w:val="20"/>
          <w:szCs w:val="20"/>
          <w:color w:val="auto"/>
        </w:rPr>
      </w:pPr>
      <w:r>
        <w:rPr>
          <w:rFonts w:ascii="Courier New" w:cs="Courier New" w:eastAsia="Courier New" w:hAnsi="Courier New"/>
          <w:sz w:val="15"/>
          <w:szCs w:val="15"/>
          <w:color w:val="auto"/>
        </w:rPr>
        <w:t>Philippe P. Dauman</w:t>
      </w:r>
    </w:p>
    <w:p>
      <w:pPr>
        <w:ind w:left="10"/>
        <w:spacing w:after="0"/>
        <w:rPr>
          <w:sz w:val="20"/>
          <w:szCs w:val="20"/>
          <w:color w:val="auto"/>
        </w:rPr>
      </w:pPr>
      <w:r>
        <w:rPr>
          <w:rFonts w:ascii="Courier New" w:cs="Courier New" w:eastAsia="Courier New" w:hAnsi="Courier New"/>
          <w:sz w:val="15"/>
          <w:szCs w:val="15"/>
          <w:color w:val="auto"/>
        </w:rPr>
        <w:t>January 1, 1996</w:t>
      </w:r>
    </w:p>
    <w:p>
      <w:pPr>
        <w:ind w:left="10"/>
        <w:spacing w:after="0"/>
        <w:rPr>
          <w:sz w:val="20"/>
          <w:szCs w:val="20"/>
          <w:color w:val="auto"/>
        </w:rPr>
      </w:pPr>
      <w:r>
        <w:rPr>
          <w:rFonts w:ascii="Courier New" w:cs="Courier New" w:eastAsia="Courier New" w:hAnsi="Courier New"/>
          <w:sz w:val="15"/>
          <w:szCs w:val="15"/>
          <w:color w:val="auto"/>
        </w:rPr>
        <w:t>Page 5</w:t>
      </w:r>
    </w:p>
    <w:p>
      <w:pPr>
        <w:spacing w:after="0" w:line="343"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include information which (i) is or becomes generally available to the public other than as a result of a disclosure by you or any other person who directly or indirectly receives such information from you or at your direction or (ii) is or becomes available to you on a non-confidential basis from a source which is entitled to disclose it to you.</w:t>
      </w:r>
    </w:p>
    <w:p>
      <w:pPr>
        <w:spacing w:after="0" w:line="178" w:lineRule="exact"/>
        <w:rPr>
          <w:sz w:val="20"/>
          <w:szCs w:val="20"/>
          <w:color w:val="auto"/>
        </w:rPr>
      </w:pPr>
    </w:p>
    <w:p>
      <w:pPr>
        <w:ind w:left="10" w:right="3259" w:firstLine="1048"/>
        <w:spacing w:after="0" w:line="237" w:lineRule="auto"/>
        <w:tabs>
          <w:tab w:leader="none" w:pos="1420"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Employee Solicitation. You agree that, during the Employment Term and for one (1) year thereafter, you shall not, directly or indirectly, engage, employ, or solicit the employment of any person who is then or has been within six (6) months prior thereto, an employee of Viacom or any of Viacom's affiliates.</w:t>
      </w:r>
    </w:p>
    <w:p>
      <w:pPr>
        <w:spacing w:after="0" w:line="178" w:lineRule="exact"/>
        <w:rPr>
          <w:rFonts w:ascii="Courier New" w:cs="Courier New" w:eastAsia="Courier New" w:hAnsi="Courier New"/>
          <w:sz w:val="15"/>
          <w:szCs w:val="15"/>
          <w:color w:val="auto"/>
        </w:rPr>
      </w:pPr>
    </w:p>
    <w:p>
      <w:pPr>
        <w:ind w:left="10" w:right="3179" w:firstLine="1048"/>
        <w:spacing w:after="0" w:line="256" w:lineRule="auto"/>
        <w:tabs>
          <w:tab w:leader="none" w:pos="1420" w:val="left"/>
        </w:tabs>
        <w:numPr>
          <w:ilvl w:val="1"/>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Ownership. The results and proceeds of your services hereunder, including, without limitation, any works of authorship resulting from your services during your employment with Viacom and/or any of its affiliates and any works in progress, shall be works-made-for-hire and Viacom shall be deemed the sole owner throughout the universe of any and all rights of whatsoever nature therein, whether or not now or hereafter known, existing, contemplated, recognized or developed, with the right to use the same in perpetuity in any manner Viacom determines in its sole discretion without any further payment to you whatsoever. If, for any reason, any of such results and proceeds shall not legally be a work-for-hire and/or there are any rights which do not accrue to Viacom under the preceding sentence, then you hereby irrevocably assign and agree to assign any and all of your right, title and interest thereto, including, without limitation, any and all copyrights, patents, trade secrets, trademarks and/or other rights of whatsoever nature therein, whether or not now or hereafter known, existing, contemplated, recognized or developed to Viacom, and Viacom shall have the right to use the same in perpetuity throughout the universe in any manner Viacom determines without any further payment to you whatsoever. You shall, from time to time, as may be requested by Viacom, do any and all things which Viacom may deem useful or desirable to establish or document Viacom's exclusive ownership of any and all rights in any such results and proceeds, including, without limitation, the execution of appropriate copyright and/or patent applications or assignments. To the extent you have any rights in the results and proceeds of your services that cannot be assigned in the manner described above, you unconditionally and irrevocably waive the enforcement of such rights. This paragraph 6(d) is subject to, and shall not be deemed to limit, restrict, or constitute any waiver by Viacom of any rights of ownership to which Viacom may be entitled by operation of law by virtue of Viacom or any of its affiliates being your employer.</w:t>
      </w:r>
    </w:p>
    <w:p>
      <w:pPr>
        <w:spacing w:after="0" w:line="348" w:lineRule="exact"/>
        <w:rPr>
          <w:rFonts w:ascii="Courier New" w:cs="Courier New" w:eastAsia="Courier New" w:hAnsi="Courier New"/>
          <w:sz w:val="14"/>
          <w:szCs w:val="14"/>
          <w:color w:val="auto"/>
        </w:rPr>
      </w:pPr>
    </w:p>
    <w:p>
      <w:pPr>
        <w:ind w:left="1410" w:hanging="352"/>
        <w:spacing w:after="0"/>
        <w:tabs>
          <w:tab w:leader="none" w:pos="1410" w:val="left"/>
        </w:tabs>
        <w:numPr>
          <w:ilvl w:val="1"/>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Litigation. You agree that, during the Employment Term, for one</w:t>
      </w:r>
    </w:p>
    <w:p>
      <w:pPr>
        <w:spacing w:after="0" w:line="5" w:lineRule="exact"/>
        <w:rPr>
          <w:rFonts w:ascii="Courier New" w:cs="Courier New" w:eastAsia="Courier New" w:hAnsi="Courier New"/>
          <w:sz w:val="14"/>
          <w:szCs w:val="14"/>
          <w:color w:val="auto"/>
        </w:rPr>
      </w:pPr>
    </w:p>
    <w:p>
      <w:pPr>
        <w:ind w:left="350" w:hanging="350"/>
        <w:spacing w:after="0"/>
        <w:tabs>
          <w:tab w:leader="none" w:pos="35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 thereafter and, if longer, during the pendancy of any litigation or</w:t>
      </w:r>
    </w:p>
    <w:p>
      <w:pPr>
        <w:spacing w:after="0" w:line="4" w:lineRule="exact"/>
        <w:rPr>
          <w:rFonts w:ascii="Courier New" w:cs="Courier New" w:eastAsia="Courier New" w:hAnsi="Courier New"/>
          <w:sz w:val="15"/>
          <w:szCs w:val="15"/>
          <w:color w:val="auto"/>
        </w:rPr>
      </w:pPr>
    </w:p>
    <w:p>
      <w:pPr>
        <w:ind w:left="1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other proceeding, (i) you shall not communicate with anyone (other than your own attorneys and tax advisors and, except to the extent necessary in the performance of your duties hereunder) with respect to the facts or subject matter of any pending or potential litigation, or regulatory or administrative proceeding involving any of Viacom's affiliates, other than any litigation or</w:t>
      </w:r>
    </w:p>
    <w:p>
      <w:pPr>
        <w:sectPr>
          <w:pgSz w:w="11900" w:h="16838" w:orient="portrait"/>
          <w:cols w:equalWidth="0" w:num="1">
            <w:col w:w="10229"/>
          </w:cols>
          <w:pgMar w:left="230" w:top="621" w:right="1440" w:bottom="1440" w:gutter="0" w:footer="0" w:header="0"/>
        </w:sectPr>
      </w:pPr>
    </w:p>
    <w:bookmarkStart w:id="330" w:name="page331"/>
    <w:bookmarkEnd w:id="330"/>
    <w:p>
      <w:pPr>
        <w:spacing w:after="0"/>
        <w:rPr>
          <w:sz w:val="20"/>
          <w:szCs w:val="20"/>
          <w:color w:val="auto"/>
        </w:rPr>
      </w:pPr>
      <w:r>
        <w:rPr>
          <w:rFonts w:ascii="Courier New" w:cs="Courier New" w:eastAsia="Courier New" w:hAnsi="Courier New"/>
          <w:sz w:val="15"/>
          <w:szCs w:val="15"/>
          <w:color w:val="auto"/>
        </w:rPr>
        <w:t>Philippe P. Dauman</w:t>
      </w:r>
    </w:p>
    <w:p>
      <w:pPr>
        <w:spacing w:after="0"/>
        <w:rPr>
          <w:sz w:val="20"/>
          <w:szCs w:val="20"/>
          <w:color w:val="auto"/>
        </w:rPr>
      </w:pPr>
      <w:r>
        <w:rPr>
          <w:rFonts w:ascii="Courier New" w:cs="Courier New" w:eastAsia="Courier New" w:hAnsi="Courier New"/>
          <w:sz w:val="15"/>
          <w:szCs w:val="15"/>
          <w:color w:val="auto"/>
        </w:rPr>
        <w:t>January 1, 1996</w:t>
      </w:r>
    </w:p>
    <w:p>
      <w:pPr>
        <w:spacing w:after="0"/>
        <w:rPr>
          <w:sz w:val="20"/>
          <w:szCs w:val="20"/>
          <w:color w:val="auto"/>
        </w:rPr>
      </w:pPr>
      <w:r>
        <w:rPr>
          <w:rFonts w:ascii="Courier New" w:cs="Courier New" w:eastAsia="Courier New" w:hAnsi="Courier New"/>
          <w:sz w:val="15"/>
          <w:szCs w:val="15"/>
          <w:color w:val="auto"/>
        </w:rPr>
        <w:t>Page 6</w:t>
      </w:r>
    </w:p>
    <w:p>
      <w:pPr>
        <w:spacing w:after="0" w:line="343"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other proceeding in which you are a party-in-opposition, without giving prior notice to Viacom or Viacom's counsel, and (ii) in the event that any other party attempts to obtain information or documents from you with respect to matters possibly related to such litigation or other proceeding, you shall promptly so notify Viacom's counsel.</w:t>
      </w:r>
    </w:p>
    <w:p>
      <w:pPr>
        <w:spacing w:after="0" w:line="178" w:lineRule="exact"/>
        <w:rPr>
          <w:sz w:val="20"/>
          <w:szCs w:val="20"/>
          <w:color w:val="auto"/>
        </w:rPr>
      </w:pPr>
    </w:p>
    <w:p>
      <w:pPr>
        <w:ind w:right="3179" w:firstLine="1048"/>
        <w:spacing w:after="0" w:line="238" w:lineRule="auto"/>
        <w:tabs>
          <w:tab w:leader="none" w:pos="141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 to Write Books, Articles, Etc. During the Employment Term, except as authorized by Viacom, you shall not prepare or assist any person or entity in the preparation of any books, articles, television or motion picture productions or other creations, concerning Viacom or any of Viacom's affiliates or any of their officers, directors, agents, employees, suppliers or customers.</w:t>
      </w:r>
    </w:p>
    <w:p>
      <w:pPr>
        <w:spacing w:after="0" w:line="175" w:lineRule="exact"/>
        <w:rPr>
          <w:rFonts w:ascii="Courier New" w:cs="Courier New" w:eastAsia="Courier New" w:hAnsi="Courier New"/>
          <w:sz w:val="15"/>
          <w:szCs w:val="15"/>
          <w:color w:val="auto"/>
        </w:rPr>
      </w:pPr>
    </w:p>
    <w:p>
      <w:pPr>
        <w:ind w:right="3179" w:firstLine="1048"/>
        <w:spacing w:after="0" w:line="238" w:lineRule="auto"/>
        <w:tabs>
          <w:tab w:leader="none" w:pos="141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of Property. All documents, data, recordings, or other property, whether tangible or intangible, including all information stored in electronic form, obtained or prepared by or for you and utilized by you in the course of your employment with Viacom or any of its affiliates shall remain the exclusive property of Viacom. In the event of the termination of your employment for any reason, Viacom reserves the right, to the extent permitted by law and in addition to any other remedy Viacom may have, to deduct from any monies otherwise payable to you the following: (i) the full amount of any debt you owe to Viacom or any of its affiliates at the time of or subsequent to the termination of your employment with Viacom, and (ii) the value of the Viacom property which you retain in your possession after the termination of your employment with Viacom. In the event that the law of any state or other jurisdiction requires the consent of an employee for such deductions, this Agreement shall serve as such consent.</w:t>
      </w:r>
    </w:p>
    <w:p>
      <w:pPr>
        <w:spacing w:after="0" w:line="183" w:lineRule="exact"/>
        <w:rPr>
          <w:rFonts w:ascii="Courier New" w:cs="Courier New" w:eastAsia="Courier New" w:hAnsi="Courier New"/>
          <w:sz w:val="15"/>
          <w:szCs w:val="15"/>
          <w:color w:val="auto"/>
        </w:rPr>
      </w:pPr>
    </w:p>
    <w:p>
      <w:pPr>
        <w:ind w:right="3179" w:firstLine="1048"/>
        <w:spacing w:after="0" w:line="238" w:lineRule="auto"/>
        <w:tabs>
          <w:tab w:leader="none" w:pos="141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Non-Disparagement. You and, to the extent set forth in the next sentence, Viacom agree that each party shall not, during the Employment Term and for one (1) year thereafter criticize, ridicule or make any statement which disparages or is derogatory of the other party in any communications with any customer or client. Viacom's obligations under the preceding sentence shall be limited to communications by its senior corporate executives having the rank of Senior Vice President or above.</w:t>
      </w:r>
    </w:p>
    <w:p>
      <w:pPr>
        <w:spacing w:after="0" w:line="176" w:lineRule="exact"/>
        <w:rPr>
          <w:rFonts w:ascii="Courier New" w:cs="Courier New" w:eastAsia="Courier New" w:hAnsi="Courier New"/>
          <w:sz w:val="15"/>
          <w:szCs w:val="15"/>
          <w:color w:val="auto"/>
        </w:rPr>
      </w:pPr>
    </w:p>
    <w:p>
      <w:pPr>
        <w:ind w:right="3179" w:firstLine="1048"/>
        <w:spacing w:after="0" w:line="258" w:lineRule="auto"/>
        <w:tabs>
          <w:tab w:leader="none" w:pos="141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Injunctive Relief. Viacom has entered into this Agreement in order to obtain the benefit of your unique skills, talent, and experience. You acknowledge and agree that any violation of paragraphs 6(a) through (h) hereof will result in irreparable damage to Viacom, and, accordingly, Viacom may obtain injunctive and other equitable relief for any breach or threatened breach of such paragraphs, in addition to any other remedies available to Viacom.</w:t>
      </w:r>
    </w:p>
    <w:p>
      <w:pPr>
        <w:spacing w:after="0" w:line="163" w:lineRule="exact"/>
        <w:rPr>
          <w:rFonts w:ascii="Courier New" w:cs="Courier New" w:eastAsia="Courier New" w:hAnsi="Courier New"/>
          <w:sz w:val="14"/>
          <w:szCs w:val="14"/>
          <w:color w:val="auto"/>
        </w:rPr>
      </w:pPr>
    </w:p>
    <w:p>
      <w:pPr>
        <w:ind w:right="3179" w:firstLine="1048"/>
        <w:spacing w:after="0" w:line="260" w:lineRule="auto"/>
        <w:tabs>
          <w:tab w:leader="none" w:pos="141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Survival; Modification of Terms. Your obligations under paragraphs 6(a) through (i) hereof shall remain in full force and effect for the entire period provided therein notwithstanding the termination of the Employment</w:t>
      </w:r>
    </w:p>
    <w:p>
      <w:pPr>
        <w:sectPr>
          <w:pgSz w:w="11900" w:h="16838" w:orient="portrait"/>
          <w:cols w:equalWidth="0" w:num="1">
            <w:col w:w="10219"/>
          </w:cols>
          <w:pgMar w:left="240" w:top="621" w:right="1440" w:bottom="1440" w:gutter="0" w:footer="0" w:header="0"/>
        </w:sectPr>
      </w:pPr>
    </w:p>
    <w:bookmarkStart w:id="331" w:name="page332"/>
    <w:bookmarkEnd w:id="331"/>
    <w:p>
      <w:pPr>
        <w:spacing w:after="0"/>
        <w:rPr>
          <w:sz w:val="20"/>
          <w:szCs w:val="20"/>
          <w:color w:val="auto"/>
        </w:rPr>
      </w:pPr>
      <w:r>
        <w:rPr>
          <w:rFonts w:ascii="Courier New" w:cs="Courier New" w:eastAsia="Courier New" w:hAnsi="Courier New"/>
          <w:sz w:val="15"/>
          <w:szCs w:val="15"/>
          <w:color w:val="auto"/>
        </w:rPr>
        <w:t>Philippe P. Dauman</w:t>
      </w:r>
    </w:p>
    <w:p>
      <w:pPr>
        <w:spacing w:after="0"/>
        <w:rPr>
          <w:sz w:val="20"/>
          <w:szCs w:val="20"/>
          <w:color w:val="auto"/>
        </w:rPr>
      </w:pPr>
      <w:r>
        <w:rPr>
          <w:rFonts w:ascii="Courier New" w:cs="Courier New" w:eastAsia="Courier New" w:hAnsi="Courier New"/>
          <w:sz w:val="15"/>
          <w:szCs w:val="15"/>
          <w:color w:val="auto"/>
        </w:rPr>
        <w:t>January 1, 1996</w:t>
      </w:r>
    </w:p>
    <w:p>
      <w:pPr>
        <w:spacing w:after="0"/>
        <w:rPr>
          <w:sz w:val="20"/>
          <w:szCs w:val="20"/>
          <w:color w:val="auto"/>
        </w:rPr>
      </w:pPr>
      <w:r>
        <w:rPr>
          <w:rFonts w:ascii="Courier New" w:cs="Courier New" w:eastAsia="Courier New" w:hAnsi="Courier New"/>
          <w:sz w:val="15"/>
          <w:szCs w:val="15"/>
          <w:color w:val="auto"/>
        </w:rPr>
        <w:t>Page 7</w:t>
      </w:r>
    </w:p>
    <w:p>
      <w:pPr>
        <w:spacing w:after="0" w:line="343"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Term pursuant to paragraph 8 hereof or otherwise; provided, however, that your obligations under paragraph 6(a) shall cease if you terminate your employment for "Good Reason" or Viacom terminates your employment without "cause" (as such terms are defined in paragraph 8) and you notify Viacom in writing that you have elected to waive your right to receive, or to continue to receive, payments and benefits pursuant to clauses (i), (ii), (iii), (iv), (v) and (vi) of paragraph 8(d). You and Viacom agree that the restrictions and remedies contained in paragraphs 6(a) through (i) are reasonable and that it is your intention and the intention of Viacom that such restrictions and remedies shall be enforceable to the fullest extent permissible by law. If it shall be found by a court of competent jurisdiction that any such restriction or remedy is unenforceable but would be enforceable if some part thereof were deleted or the period or area of application reduced, then such restriction or remedy shall apply with such modification as shall be necessary to make it enforceable.</w:t>
      </w:r>
    </w:p>
    <w:p>
      <w:pPr>
        <w:spacing w:after="0" w:line="165" w:lineRule="exact"/>
        <w:rPr>
          <w:sz w:val="20"/>
          <w:szCs w:val="20"/>
          <w:color w:val="auto"/>
        </w:rPr>
      </w:pPr>
    </w:p>
    <w:p>
      <w:pPr>
        <w:ind w:right="3179" w:firstLine="519"/>
        <w:spacing w:after="0" w:line="238" w:lineRule="auto"/>
        <w:tabs>
          <w:tab w:leader="none" w:pos="793"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Incapacity. In the event you become totally medically disabled at any time during the Employment Term and are not expected to be able to substantially perform your duties for a six (6) month period, the Chairman, at any time after such disability has in fact continued for 60 consecutive days, may determine that Viacom requires such duties and responsibilities be performed by another executive. In the event you become disabled, you will first receive benefits under Viacom's short-term disability program for the first 26 weeks of consecutive absence. Thereafter, you will be eligible to receive benefits under Viacom's Long-Term Disability ("LTD") program in accordance with its terms. Upon receipt of benefits under the LTD program, you will also be entitled to receive, subject to applicable withholding taxes:</w:t>
      </w:r>
    </w:p>
    <w:p>
      <w:pPr>
        <w:spacing w:after="0" w:line="181" w:lineRule="exact"/>
        <w:rPr>
          <w:sz w:val="20"/>
          <w:szCs w:val="20"/>
          <w:color w:val="auto"/>
        </w:rPr>
      </w:pPr>
    </w:p>
    <w:p>
      <w:pPr>
        <w:ind w:left="1040" w:right="3259" w:hanging="521"/>
        <w:spacing w:after="0" w:line="237" w:lineRule="auto"/>
        <w:tabs>
          <w:tab w:leader="none" w:pos="104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Target Bonus pro-rated for the portion of calendar year through the date on which you become eligible to receive benefits under the LTD program, payable at the time the Bonus for such calendar year would otherwise be paid;</w:t>
      </w:r>
    </w:p>
    <w:p>
      <w:pPr>
        <w:spacing w:after="0" w:line="176" w:lineRule="exact"/>
        <w:rPr>
          <w:rFonts w:ascii="Courier New" w:cs="Courier New" w:eastAsia="Courier New" w:hAnsi="Courier New"/>
          <w:sz w:val="15"/>
          <w:szCs w:val="15"/>
          <w:color w:val="auto"/>
        </w:rPr>
      </w:pPr>
    </w:p>
    <w:p>
      <w:pPr>
        <w:ind w:left="1040" w:right="3179" w:hanging="521"/>
        <w:spacing w:after="0" w:line="258" w:lineRule="auto"/>
        <w:tabs>
          <w:tab w:leader="none" w:pos="104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pro-rated Deferred Compensation for the calendar year in which such benefits commence and Deferred Compensation attributable to prior calendar years, payable, together with the return thereon as provided in paragraph 3(c), prior to January 31 of the calendar year following the calendar year in which such benefits commence; and</w:t>
      </w:r>
    </w:p>
    <w:p>
      <w:pPr>
        <w:spacing w:after="0" w:line="164" w:lineRule="exact"/>
        <w:rPr>
          <w:rFonts w:ascii="Courier New" w:cs="Courier New" w:eastAsia="Courier New" w:hAnsi="Courier New"/>
          <w:sz w:val="14"/>
          <w:szCs w:val="14"/>
          <w:color w:val="auto"/>
        </w:rPr>
      </w:pPr>
    </w:p>
    <w:p>
      <w:pPr>
        <w:ind w:left="1040" w:right="3179" w:hanging="521"/>
        <w:spacing w:after="0" w:line="237" w:lineRule="auto"/>
        <w:tabs>
          <w:tab w:leader="none" w:pos="104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with respect to grants to you under Viacom's 1989 Long-Term Management Incentive Plan (the "1989 LTMIP") and the LTMIP (the 1989 LTMIP and the LTMIP are collectively referred to as the "LTMIP Plans"):</w:t>
      </w:r>
    </w:p>
    <w:p>
      <w:pPr>
        <w:spacing w:after="0" w:line="176" w:lineRule="exact"/>
        <w:rPr>
          <w:rFonts w:ascii="Courier New" w:cs="Courier New" w:eastAsia="Courier New" w:hAnsi="Courier New"/>
          <w:sz w:val="15"/>
          <w:szCs w:val="15"/>
          <w:color w:val="auto"/>
        </w:rPr>
      </w:pPr>
    </w:p>
    <w:p>
      <w:pPr>
        <w:ind w:left="1580" w:right="3359" w:hanging="532"/>
        <w:spacing w:after="0" w:line="265" w:lineRule="auto"/>
        <w:tabs>
          <w:tab w:leader="none" w:pos="1580" w:val="left"/>
        </w:tabs>
        <w:numPr>
          <w:ilvl w:val="1"/>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granted to you under the LTMIP Plans which are exercisable on or prior to the date as of which benefits</w:t>
      </w:r>
    </w:p>
    <w:p>
      <w:pPr>
        <w:sectPr>
          <w:pgSz w:w="11900" w:h="16838" w:orient="portrait"/>
          <w:cols w:equalWidth="0" w:num="1">
            <w:col w:w="10219"/>
          </w:cols>
          <w:pgMar w:left="240" w:top="622" w:right="1440" w:bottom="1440" w:gutter="0" w:footer="0" w:header="0"/>
        </w:sectPr>
      </w:pPr>
    </w:p>
    <w:bookmarkStart w:id="332" w:name="page333"/>
    <w:bookmarkEnd w:id="332"/>
    <w:p>
      <w:pPr>
        <w:ind w:left="10"/>
        <w:spacing w:after="0"/>
        <w:rPr>
          <w:sz w:val="20"/>
          <w:szCs w:val="20"/>
          <w:color w:val="auto"/>
        </w:rPr>
      </w:pPr>
      <w:r>
        <w:rPr>
          <w:rFonts w:ascii="Courier New" w:cs="Courier New" w:eastAsia="Courier New" w:hAnsi="Courier New"/>
          <w:sz w:val="15"/>
          <w:szCs w:val="15"/>
          <w:color w:val="auto"/>
        </w:rPr>
        <w:t>Philippe P. Dauman</w:t>
      </w:r>
    </w:p>
    <w:p>
      <w:pPr>
        <w:ind w:left="10"/>
        <w:spacing w:after="0"/>
        <w:rPr>
          <w:sz w:val="20"/>
          <w:szCs w:val="20"/>
          <w:color w:val="auto"/>
        </w:rPr>
      </w:pPr>
      <w:r>
        <w:rPr>
          <w:rFonts w:ascii="Courier New" w:cs="Courier New" w:eastAsia="Courier New" w:hAnsi="Courier New"/>
          <w:sz w:val="15"/>
          <w:szCs w:val="15"/>
          <w:color w:val="auto"/>
        </w:rPr>
        <w:t>January 1, 1996</w:t>
      </w:r>
    </w:p>
    <w:p>
      <w:pPr>
        <w:ind w:left="10"/>
        <w:spacing w:after="0"/>
        <w:rPr>
          <w:sz w:val="20"/>
          <w:szCs w:val="20"/>
          <w:color w:val="auto"/>
        </w:rPr>
      </w:pPr>
      <w:r>
        <w:rPr>
          <w:rFonts w:ascii="Courier New" w:cs="Courier New" w:eastAsia="Courier New" w:hAnsi="Courier New"/>
          <w:sz w:val="15"/>
          <w:szCs w:val="15"/>
          <w:color w:val="auto"/>
        </w:rPr>
        <w:t>Page 8</w:t>
      </w:r>
    </w:p>
    <w:p>
      <w:pPr>
        <w:spacing w:after="0" w:line="343" w:lineRule="exact"/>
        <w:rPr>
          <w:sz w:val="20"/>
          <w:szCs w:val="20"/>
          <w:color w:val="auto"/>
        </w:rPr>
      </w:pPr>
    </w:p>
    <w:p>
      <w:pPr>
        <w:ind w:left="1590" w:right="3179"/>
        <w:spacing w:after="0" w:line="237" w:lineRule="auto"/>
        <w:rPr>
          <w:sz w:val="20"/>
          <w:szCs w:val="20"/>
          <w:color w:val="auto"/>
        </w:rPr>
      </w:pPr>
      <w:r>
        <w:rPr>
          <w:rFonts w:ascii="Courier New" w:cs="Courier New" w:eastAsia="Courier New" w:hAnsi="Courier New"/>
          <w:sz w:val="15"/>
          <w:szCs w:val="15"/>
          <w:color w:val="auto"/>
        </w:rPr>
        <w:t>commence under the LTD program or that would have vested and become exercisable on or before the last day of the Employment Term will be exercisable for one (1) year after the date as of which such benefits commence or, if earlier, the expiration date of the stock options; and</w:t>
      </w:r>
    </w:p>
    <w:p>
      <w:pPr>
        <w:spacing w:after="0" w:line="178" w:lineRule="exact"/>
        <w:rPr>
          <w:sz w:val="20"/>
          <w:szCs w:val="20"/>
          <w:color w:val="auto"/>
        </w:rPr>
      </w:pPr>
    </w:p>
    <w:p>
      <w:pPr>
        <w:ind w:left="1590" w:right="3179" w:hanging="532"/>
        <w:spacing w:after="0" w:line="256" w:lineRule="auto"/>
        <w:tabs>
          <w:tab w:leader="none" w:pos="159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that would have been granted to you under the LTMIP Plans pursuant to paragraph 3(d)(ii) shall be granted with an exercise price equal to the closing price of the Class B Common Stock on the date of grant and such options will be exercisable during the period commencing six (6) months after the date of grant (or such earlier date as may be permitted under the LTMIP Plans) and ending on the earlier of (A) two</w:t>
      </w:r>
    </w:p>
    <w:p>
      <w:pPr>
        <w:spacing w:after="0" w:line="2" w:lineRule="exact"/>
        <w:rPr>
          <w:rFonts w:ascii="Courier New" w:cs="Courier New" w:eastAsia="Courier New" w:hAnsi="Courier New"/>
          <w:sz w:val="14"/>
          <w:szCs w:val="14"/>
          <w:color w:val="auto"/>
        </w:rPr>
      </w:pPr>
    </w:p>
    <w:p>
      <w:pPr>
        <w:ind w:left="1590" w:right="3179" w:hanging="3"/>
        <w:spacing w:after="0" w:line="237" w:lineRule="auto"/>
        <w:tabs>
          <w:tab w:leader="none" w:pos="1942"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after the date of grant, or (B) the later of the end of the Employment Term or one (1) year after the date of grant;</w:t>
      </w:r>
    </w:p>
    <w:p>
      <w:pPr>
        <w:spacing w:after="0" w:line="344"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In the event that you thereafter become able to substantially perform your duties, you will then be entitled to receive from Viacom your Salary and Deferred Compensation at the rate being paid to you immediately prior to the commencement of such disability, and your Bonus calculated pursuant to paragraph 3(b) hereof, through the remainder of the Employment Term reduced by any employment compensation earned by you for any work or service performed for any other person.</w:t>
      </w:r>
    </w:p>
    <w:p>
      <w:pPr>
        <w:spacing w:after="0" w:line="171" w:lineRule="exact"/>
        <w:rPr>
          <w:sz w:val="20"/>
          <w:szCs w:val="20"/>
          <w:color w:val="auto"/>
        </w:rPr>
      </w:pPr>
    </w:p>
    <w:p>
      <w:pPr>
        <w:ind w:left="530" w:hanging="530"/>
        <w:spacing w:after="0"/>
        <w:tabs>
          <w:tab w:leader="none" w:pos="53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w:t>
      </w:r>
    </w:p>
    <w:p>
      <w:pPr>
        <w:spacing w:after="0" w:line="174" w:lineRule="exact"/>
        <w:rPr>
          <w:rFonts w:ascii="Courier New" w:cs="Courier New" w:eastAsia="Courier New" w:hAnsi="Courier New"/>
          <w:sz w:val="15"/>
          <w:szCs w:val="15"/>
          <w:color w:val="auto"/>
        </w:rPr>
      </w:pPr>
    </w:p>
    <w:p>
      <w:pPr>
        <w:ind w:left="10" w:right="3179" w:firstLine="1048"/>
        <w:spacing w:after="0" w:line="238" w:lineRule="auto"/>
        <w:tabs>
          <w:tab w:leader="none" w:pos="1420"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for Cause. Viacom may, at its option, terminate this Agreement forthwith for "cause", and Viacom shall thereafter have no further obligations under this Agreement, including, without limitation, any obligation to pay Salary or Bonus or provide benefits under this Agreement. For purposes of this Agreement, termination of this Agreement for "cause" shall mean termination for embezzlement, fraud or other conduct which would constitute a felony, conviction of a felony, or willful unauthorized disclosure of confidential information, or if you at any time materially breach this Agreement (including, without limitation, your failure, neglect of or refusal to substantially perform your obligations hereunder as set forth in paragraphs 2 and 11 hereof), except in the event of your disability as set forth in paragraph 7. Anything herein to the contrary notwithstanding, Viacom will give you written notice prior to terminating this Agreement for your material breach setting forth the exact nature of any alleged breach and the conduct required to cure such breach. You shall have ten (10) business days from the giving of such notice within which to cure and within which period Viacom cannot terminate this Agreement for the stated reasons.</w:t>
      </w:r>
    </w:p>
    <w:p>
      <w:pPr>
        <w:sectPr>
          <w:pgSz w:w="11900" w:h="16838" w:orient="portrait"/>
          <w:cols w:equalWidth="0" w:num="1">
            <w:col w:w="10229"/>
          </w:cols>
          <w:pgMar w:left="230" w:top="622" w:right="1440" w:bottom="1440" w:gutter="0" w:footer="0" w:header="0"/>
        </w:sectPr>
      </w:pPr>
    </w:p>
    <w:bookmarkStart w:id="333" w:name="page334"/>
    <w:bookmarkEnd w:id="333"/>
    <w:p>
      <w:pPr>
        <w:spacing w:after="0"/>
        <w:rPr>
          <w:sz w:val="20"/>
          <w:szCs w:val="20"/>
          <w:color w:val="auto"/>
        </w:rPr>
      </w:pPr>
      <w:r>
        <w:rPr>
          <w:rFonts w:ascii="Courier New" w:cs="Courier New" w:eastAsia="Courier New" w:hAnsi="Courier New"/>
          <w:sz w:val="15"/>
          <w:szCs w:val="15"/>
          <w:color w:val="auto"/>
        </w:rPr>
        <w:t>Philippe P. Dauman</w:t>
      </w:r>
    </w:p>
    <w:p>
      <w:pPr>
        <w:spacing w:after="0"/>
        <w:rPr>
          <w:sz w:val="20"/>
          <w:szCs w:val="20"/>
          <w:color w:val="auto"/>
        </w:rPr>
      </w:pPr>
      <w:r>
        <w:rPr>
          <w:rFonts w:ascii="Courier New" w:cs="Courier New" w:eastAsia="Courier New" w:hAnsi="Courier New"/>
          <w:sz w:val="15"/>
          <w:szCs w:val="15"/>
          <w:color w:val="auto"/>
        </w:rPr>
        <w:t>January 1, 1996</w:t>
      </w:r>
    </w:p>
    <w:p>
      <w:pPr>
        <w:spacing w:after="0"/>
        <w:rPr>
          <w:sz w:val="20"/>
          <w:szCs w:val="20"/>
          <w:color w:val="auto"/>
        </w:rPr>
      </w:pPr>
      <w:r>
        <w:rPr>
          <w:rFonts w:ascii="Courier New" w:cs="Courier New" w:eastAsia="Courier New" w:hAnsi="Courier New"/>
          <w:sz w:val="15"/>
          <w:szCs w:val="15"/>
          <w:color w:val="auto"/>
        </w:rPr>
        <w:t>Page 9</w:t>
      </w:r>
    </w:p>
    <w:p>
      <w:pPr>
        <w:spacing w:after="0" w:line="343" w:lineRule="exact"/>
        <w:rPr>
          <w:sz w:val="20"/>
          <w:szCs w:val="20"/>
          <w:color w:val="auto"/>
        </w:rPr>
      </w:pPr>
    </w:p>
    <w:p>
      <w:pPr>
        <w:ind w:right="3259" w:firstLine="1048"/>
        <w:spacing w:after="0" w:line="238" w:lineRule="auto"/>
        <w:tabs>
          <w:tab w:leader="none" w:pos="141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 Reason Termination. You may terminate your employment hereunder for "Good Reason" at any time during the Employment Term by written notice to Viacom not more than thirty (30) days after the occurrence of the event constituting "Good Reason". Such notice shall state an effective date no later than ten (10) business days after the date it is given. Good Reason shall mean any of the following, without your prior written consent, other than in connection with the termination of your employment for "cause" (as defined above) or in connection with your permanent disability:</w:t>
      </w:r>
    </w:p>
    <w:p>
      <w:pPr>
        <w:spacing w:after="0" w:line="178" w:lineRule="exact"/>
        <w:rPr>
          <w:sz w:val="20"/>
          <w:szCs w:val="20"/>
          <w:color w:val="auto"/>
        </w:rPr>
      </w:pPr>
    </w:p>
    <w:p>
      <w:pPr>
        <w:ind w:left="1480" w:right="3179" w:hanging="432"/>
        <w:spacing w:after="0" w:line="237" w:lineRule="auto"/>
        <w:tabs>
          <w:tab w:leader="none" w:pos="148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assignment to you by Viacom of duties substantially inconsistent with your positions, duties, responsibilities, titles or offices or the withdrawal of a material part of your responsibilities or a change in your reporting relationship, as set forth in paragraph 2;</w:t>
      </w:r>
    </w:p>
    <w:p>
      <w:pPr>
        <w:spacing w:after="0" w:line="178" w:lineRule="exact"/>
        <w:rPr>
          <w:rFonts w:ascii="Courier New" w:cs="Courier New" w:eastAsia="Courier New" w:hAnsi="Courier New"/>
          <w:sz w:val="15"/>
          <w:szCs w:val="15"/>
          <w:color w:val="auto"/>
        </w:rPr>
      </w:pPr>
    </w:p>
    <w:p>
      <w:pPr>
        <w:ind w:left="1480" w:right="3259" w:hanging="432"/>
        <w:spacing w:after="0" w:line="237" w:lineRule="auto"/>
        <w:tabs>
          <w:tab w:leader="none" w:pos="148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reduction by Viacom in your Salary or Target Bonus as in effect at the date hereof or as the same may be increased from time to time during the Employment Term;</w:t>
      </w:r>
    </w:p>
    <w:p>
      <w:pPr>
        <w:spacing w:after="0" w:line="174" w:lineRule="exact"/>
        <w:rPr>
          <w:rFonts w:ascii="Courier New" w:cs="Courier New" w:eastAsia="Courier New" w:hAnsi="Courier New"/>
          <w:sz w:val="15"/>
          <w:szCs w:val="15"/>
          <w:color w:val="auto"/>
        </w:rPr>
      </w:pPr>
    </w:p>
    <w:p>
      <w:pPr>
        <w:ind w:left="1480" w:right="3259" w:hanging="520"/>
        <w:spacing w:after="0" w:line="237" w:lineRule="auto"/>
        <w:tabs>
          <w:tab w:leader="none" w:pos="1480"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Viacom's requiring you to be based anywhere other than the New York City metropolitan area, except for required travel on Viacom's business to any extent substantially consistent with business travel obligations of other senior executives of Viacom;</w:t>
      </w:r>
    </w:p>
    <w:p>
      <w:pPr>
        <w:spacing w:after="0" w:line="178" w:lineRule="exact"/>
        <w:rPr>
          <w:rFonts w:ascii="Courier New" w:cs="Courier New" w:eastAsia="Courier New" w:hAnsi="Courier New"/>
          <w:sz w:val="15"/>
          <w:szCs w:val="15"/>
          <w:color w:val="auto"/>
        </w:rPr>
      </w:pPr>
    </w:p>
    <w:p>
      <w:pPr>
        <w:ind w:left="1480" w:right="3699" w:hanging="432"/>
        <w:spacing w:after="0" w:line="235" w:lineRule="auto"/>
        <w:tabs>
          <w:tab w:leader="none" w:pos="1480"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failure to receive the Annual Grants under the LTMIP Plans pursuant to paragraph 3(d)(ii); or</w:t>
      </w:r>
    </w:p>
    <w:p>
      <w:pPr>
        <w:spacing w:after="0" w:line="175" w:lineRule="exact"/>
        <w:rPr>
          <w:rFonts w:ascii="Courier New" w:cs="Courier New" w:eastAsia="Courier New" w:hAnsi="Courier New"/>
          <w:sz w:val="15"/>
          <w:szCs w:val="15"/>
          <w:color w:val="auto"/>
        </w:rPr>
      </w:pPr>
    </w:p>
    <w:p>
      <w:pPr>
        <w:ind w:left="1480" w:right="3699" w:hanging="432"/>
        <w:spacing w:after="0" w:line="235" w:lineRule="auto"/>
        <w:tabs>
          <w:tab w:leader="none" w:pos="1480" w:val="left"/>
        </w:tabs>
        <w:numPr>
          <w:ilvl w:val="2"/>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material breach by Viacom of its material obligations hereunder.</w:t>
      </w:r>
    </w:p>
    <w:p>
      <w:pPr>
        <w:spacing w:after="0" w:line="175" w:lineRule="exact"/>
        <w:rPr>
          <w:rFonts w:ascii="Courier New" w:cs="Courier New" w:eastAsia="Courier New" w:hAnsi="Courier New"/>
          <w:sz w:val="15"/>
          <w:szCs w:val="15"/>
          <w:color w:val="auto"/>
        </w:rPr>
      </w:pPr>
    </w:p>
    <w:p>
      <w:pPr>
        <w:ind w:right="3259" w:firstLine="1048"/>
        <w:spacing w:after="0" w:line="237" w:lineRule="auto"/>
        <w:tabs>
          <w:tab w:leader="none" w:pos="141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Without Cause. Viacom may terminate your employment hereunder without "cause" (as defined above) at any time during the Employment Term by written notice to you.</w:t>
      </w:r>
    </w:p>
    <w:p>
      <w:pPr>
        <w:spacing w:after="0" w:line="174" w:lineRule="exact"/>
        <w:rPr>
          <w:rFonts w:ascii="Courier New" w:cs="Courier New" w:eastAsia="Courier New" w:hAnsi="Courier New"/>
          <w:sz w:val="15"/>
          <w:szCs w:val="15"/>
          <w:color w:val="auto"/>
        </w:rPr>
      </w:pPr>
    </w:p>
    <w:p>
      <w:pPr>
        <w:ind w:right="3359" w:firstLine="1048"/>
        <w:spacing w:after="0" w:line="237" w:lineRule="auto"/>
        <w:tabs>
          <w:tab w:leader="none" w:pos="141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Payments, Etc. In the event that your employment terminates pursuant to paragraph 8(b) or 8(c) hereof, you shall be entitled to receive, subject to applicable withholding taxes:</w:t>
      </w:r>
    </w:p>
    <w:p>
      <w:pPr>
        <w:spacing w:after="0" w:line="174" w:lineRule="exact"/>
        <w:rPr>
          <w:rFonts w:ascii="Courier New" w:cs="Courier New" w:eastAsia="Courier New" w:hAnsi="Courier New"/>
          <w:sz w:val="15"/>
          <w:szCs w:val="15"/>
          <w:color w:val="auto"/>
        </w:rPr>
      </w:pPr>
    </w:p>
    <w:p>
      <w:pPr>
        <w:ind w:left="1580" w:right="3179" w:hanging="532"/>
        <w:spacing w:after="0" w:line="237" w:lineRule="auto"/>
        <w:tabs>
          <w:tab w:leader="none" w:pos="158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Salary as provided in paragraph 3(a) until the end of the Employment Term, payable in accordance with Viacom's then effective payroll practices;</w:t>
      </w:r>
    </w:p>
    <w:p>
      <w:pPr>
        <w:spacing w:after="0" w:line="174" w:lineRule="exact"/>
        <w:rPr>
          <w:rFonts w:ascii="Courier New" w:cs="Courier New" w:eastAsia="Courier New" w:hAnsi="Courier New"/>
          <w:sz w:val="15"/>
          <w:szCs w:val="15"/>
          <w:color w:val="auto"/>
        </w:rPr>
      </w:pPr>
    </w:p>
    <w:p>
      <w:pPr>
        <w:ind w:left="1580" w:right="3539" w:hanging="532"/>
        <w:spacing w:after="0" w:line="237" w:lineRule="auto"/>
        <w:tabs>
          <w:tab w:leader="none" w:pos="158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 compensation for each calendar year during the Employment Term equal to your Target Bonus as set forth in paragraph 3(b);</w:t>
      </w:r>
    </w:p>
    <w:p>
      <w:pPr>
        <w:sectPr>
          <w:pgSz w:w="11900" w:h="16838" w:orient="portrait"/>
          <w:cols w:equalWidth="0" w:num="1">
            <w:col w:w="10219"/>
          </w:cols>
          <w:pgMar w:left="240" w:top="622" w:right="1440" w:bottom="1440" w:gutter="0" w:footer="0" w:header="0"/>
        </w:sectPr>
      </w:pPr>
    </w:p>
    <w:bookmarkStart w:id="334" w:name="page335"/>
    <w:bookmarkEnd w:id="334"/>
    <w:p>
      <w:pPr>
        <w:spacing w:after="0"/>
        <w:rPr>
          <w:sz w:val="20"/>
          <w:szCs w:val="20"/>
          <w:color w:val="auto"/>
        </w:rPr>
      </w:pPr>
      <w:r>
        <w:rPr>
          <w:rFonts w:ascii="Courier New" w:cs="Courier New" w:eastAsia="Courier New" w:hAnsi="Courier New"/>
          <w:sz w:val="15"/>
          <w:szCs w:val="15"/>
          <w:color w:val="auto"/>
        </w:rPr>
        <w:t>Philippe P. Dauman</w:t>
      </w:r>
    </w:p>
    <w:p>
      <w:pPr>
        <w:spacing w:after="0"/>
        <w:rPr>
          <w:sz w:val="20"/>
          <w:szCs w:val="20"/>
          <w:color w:val="auto"/>
        </w:rPr>
      </w:pPr>
      <w:r>
        <w:rPr>
          <w:rFonts w:ascii="Courier New" w:cs="Courier New" w:eastAsia="Courier New" w:hAnsi="Courier New"/>
          <w:sz w:val="15"/>
          <w:szCs w:val="15"/>
          <w:color w:val="auto"/>
        </w:rPr>
        <w:t>January 1, 1996</w:t>
      </w:r>
    </w:p>
    <w:p>
      <w:pPr>
        <w:spacing w:after="0"/>
        <w:rPr>
          <w:sz w:val="20"/>
          <w:szCs w:val="20"/>
          <w:color w:val="auto"/>
        </w:rPr>
      </w:pPr>
      <w:r>
        <w:rPr>
          <w:rFonts w:ascii="Courier New" w:cs="Courier New" w:eastAsia="Courier New" w:hAnsi="Courier New"/>
          <w:sz w:val="15"/>
          <w:szCs w:val="15"/>
          <w:color w:val="auto"/>
        </w:rPr>
        <w:t>Page 10</w:t>
      </w:r>
    </w:p>
    <w:p>
      <w:pPr>
        <w:spacing w:after="0" w:line="343" w:lineRule="exact"/>
        <w:rPr>
          <w:sz w:val="20"/>
          <w:szCs w:val="20"/>
          <w:color w:val="auto"/>
        </w:rPr>
      </w:pPr>
    </w:p>
    <w:p>
      <w:pPr>
        <w:ind w:left="1580" w:right="3439" w:hanging="532"/>
        <w:spacing w:after="0" w:line="256" w:lineRule="auto"/>
        <w:tabs>
          <w:tab w:leader="none" w:pos="158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Compensation for each calendar year during the Employment Term after 1996 as set forth in paragraph 3(c); Deferred Compensation attributable to the calendar year in which the termination pursuant to paragraph 8(b) or 8(c) hereof occurs and to prior calendar years shall be payable, together with the return thereon as provided in paragraph</w:t>
      </w:r>
    </w:p>
    <w:p>
      <w:pPr>
        <w:spacing w:after="0" w:line="2" w:lineRule="exact"/>
        <w:rPr>
          <w:rFonts w:ascii="Courier New" w:cs="Courier New" w:eastAsia="Courier New" w:hAnsi="Courier New"/>
          <w:sz w:val="14"/>
          <w:szCs w:val="14"/>
          <w:color w:val="auto"/>
        </w:rPr>
      </w:pPr>
    </w:p>
    <w:p>
      <w:pPr>
        <w:ind w:left="1580" w:right="317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3(c), prior to January 31 of the calendar year following such termination; and Deferred Compensation attributable to subsequent calendar years shall be payable, together with the return thereon as provided in paragraph 3(c), prior to January 31 of the following calendar year;</w:t>
      </w:r>
    </w:p>
    <w:p>
      <w:pPr>
        <w:spacing w:after="0" w:line="178" w:lineRule="exact"/>
        <w:rPr>
          <w:rFonts w:ascii="Courier New" w:cs="Courier New" w:eastAsia="Courier New" w:hAnsi="Courier New"/>
          <w:sz w:val="14"/>
          <w:szCs w:val="14"/>
          <w:color w:val="auto"/>
        </w:rPr>
      </w:pPr>
    </w:p>
    <w:p>
      <w:pPr>
        <w:jc w:val="both"/>
        <w:ind w:left="1580" w:right="3439" w:hanging="532"/>
        <w:spacing w:after="0" w:line="260" w:lineRule="auto"/>
        <w:tabs>
          <w:tab w:leader="none" w:pos="158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your car allowance and insurance as provided in paragraph 5 until the end of the Employment Term, payable in accordance with Viacom's then effective payroll practices;</w:t>
      </w:r>
    </w:p>
    <w:p>
      <w:pPr>
        <w:spacing w:after="0" w:line="162" w:lineRule="exact"/>
        <w:rPr>
          <w:rFonts w:ascii="Courier New" w:cs="Courier New" w:eastAsia="Courier New" w:hAnsi="Courier New"/>
          <w:sz w:val="14"/>
          <w:szCs w:val="14"/>
          <w:color w:val="auto"/>
        </w:rPr>
      </w:pPr>
    </w:p>
    <w:p>
      <w:pPr>
        <w:ind w:left="1580" w:right="3179" w:hanging="532"/>
        <w:spacing w:after="0" w:line="238" w:lineRule="auto"/>
        <w:tabs>
          <w:tab w:leader="none" w:pos="158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medical and dental insurance coverage under COBRA until the end of the Employment Term or, if earlier, the date on which you become eligible for medical and dental coverage from a third party employer; during this period, Viacom will pay an amount equal to the applicable COBRA premiums (or such other amounts as may be required by applicable law) (which amount will be included in your income for tax purposes to the extent required by applicable law); at the end of such period, you may elect to continue your medical and dental insurance coverage at your own expense for the balance, if any, of the period required by law;</w:t>
      </w:r>
    </w:p>
    <w:p>
      <w:pPr>
        <w:spacing w:after="0" w:line="180" w:lineRule="exact"/>
        <w:rPr>
          <w:rFonts w:ascii="Courier New" w:cs="Courier New" w:eastAsia="Courier New" w:hAnsi="Courier New"/>
          <w:sz w:val="15"/>
          <w:szCs w:val="15"/>
          <w:color w:val="auto"/>
        </w:rPr>
      </w:pPr>
    </w:p>
    <w:p>
      <w:pPr>
        <w:ind w:left="1580" w:right="3179" w:hanging="532"/>
        <w:spacing w:after="0" w:line="237" w:lineRule="auto"/>
        <w:tabs>
          <w:tab w:leader="none" w:pos="158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life insurance coverage as set forth in paragraph 4(b) until the end of the Employment Term (the amount of such insurance to be reduced by the amount of any insurance provided by a new employer);</w:t>
      </w:r>
    </w:p>
    <w:p>
      <w:pPr>
        <w:spacing w:after="0" w:line="176" w:lineRule="exact"/>
        <w:rPr>
          <w:rFonts w:ascii="Courier New" w:cs="Courier New" w:eastAsia="Courier New" w:hAnsi="Courier New"/>
          <w:sz w:val="15"/>
          <w:szCs w:val="15"/>
          <w:color w:val="auto"/>
        </w:rPr>
      </w:pPr>
    </w:p>
    <w:p>
      <w:pPr>
        <w:ind w:left="1580" w:right="3439" w:hanging="532"/>
        <w:spacing w:after="0" w:line="235" w:lineRule="auto"/>
        <w:tabs>
          <w:tab w:leader="none" w:pos="158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with respect to grants to you under the LTMIP Plans:</w:t>
      </w:r>
    </w:p>
    <w:p>
      <w:pPr>
        <w:spacing w:after="0" w:line="175" w:lineRule="exact"/>
        <w:rPr>
          <w:rFonts w:ascii="Courier New" w:cs="Courier New" w:eastAsia="Courier New" w:hAnsi="Courier New"/>
          <w:sz w:val="15"/>
          <w:szCs w:val="15"/>
          <w:color w:val="auto"/>
        </w:rPr>
      </w:pPr>
    </w:p>
    <w:p>
      <w:pPr>
        <w:ind w:left="2100" w:right="3179" w:hanging="523"/>
        <w:spacing w:after="0" w:line="238" w:lineRule="auto"/>
        <w:tabs>
          <w:tab w:leader="none" w:pos="2100"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granted to you under the LTMIP Plans which are exercisable on or prior to the date of the termination of your employment under paragraph 8(b) or 8(c) or that would have vested and become exercisable on or before the last day of the Employment Term will be exercisable until six (6) months after the date of such termination or, if earlier, the expiration date of the stock options; and</w:t>
      </w:r>
    </w:p>
    <w:p>
      <w:pPr>
        <w:sectPr>
          <w:pgSz w:w="11900" w:h="16838" w:orient="portrait"/>
          <w:cols w:equalWidth="0" w:num="1">
            <w:col w:w="10219"/>
          </w:cols>
          <w:pgMar w:left="240" w:top="622" w:right="1440" w:bottom="1440" w:gutter="0" w:footer="0" w:header="0"/>
        </w:sectPr>
      </w:pPr>
    </w:p>
    <w:bookmarkStart w:id="335" w:name="page336"/>
    <w:bookmarkEnd w:id="335"/>
    <w:p>
      <w:pPr>
        <w:ind w:left="10"/>
        <w:spacing w:after="0"/>
        <w:rPr>
          <w:sz w:val="20"/>
          <w:szCs w:val="20"/>
          <w:color w:val="auto"/>
        </w:rPr>
      </w:pPr>
      <w:r>
        <w:rPr>
          <w:rFonts w:ascii="Courier New" w:cs="Courier New" w:eastAsia="Courier New" w:hAnsi="Courier New"/>
          <w:sz w:val="15"/>
          <w:szCs w:val="15"/>
          <w:color w:val="auto"/>
        </w:rPr>
        <w:t>Philippe P. Dauman</w:t>
      </w:r>
    </w:p>
    <w:p>
      <w:pPr>
        <w:ind w:left="10"/>
        <w:spacing w:after="0"/>
        <w:rPr>
          <w:sz w:val="20"/>
          <w:szCs w:val="20"/>
          <w:color w:val="auto"/>
        </w:rPr>
      </w:pPr>
      <w:r>
        <w:rPr>
          <w:rFonts w:ascii="Courier New" w:cs="Courier New" w:eastAsia="Courier New" w:hAnsi="Courier New"/>
          <w:sz w:val="15"/>
          <w:szCs w:val="15"/>
          <w:color w:val="auto"/>
        </w:rPr>
        <w:t>January 1, 1996</w:t>
      </w:r>
    </w:p>
    <w:p>
      <w:pPr>
        <w:ind w:left="10"/>
        <w:spacing w:after="0"/>
        <w:rPr>
          <w:sz w:val="20"/>
          <w:szCs w:val="20"/>
          <w:color w:val="auto"/>
        </w:rPr>
      </w:pPr>
      <w:r>
        <w:rPr>
          <w:rFonts w:ascii="Courier New" w:cs="Courier New" w:eastAsia="Courier New" w:hAnsi="Courier New"/>
          <w:sz w:val="15"/>
          <w:szCs w:val="15"/>
          <w:color w:val="auto"/>
        </w:rPr>
        <w:t>Page 11</w:t>
      </w:r>
    </w:p>
    <w:p>
      <w:pPr>
        <w:spacing w:after="0" w:line="343" w:lineRule="exact"/>
        <w:rPr>
          <w:sz w:val="20"/>
          <w:szCs w:val="20"/>
          <w:color w:val="auto"/>
        </w:rPr>
      </w:pPr>
    </w:p>
    <w:p>
      <w:pPr>
        <w:ind w:left="2110" w:right="3179" w:hanging="523"/>
        <w:spacing w:after="0" w:line="257" w:lineRule="auto"/>
        <w:tabs>
          <w:tab w:leader="none" w:pos="2110" w:val="left"/>
        </w:tabs>
        <w:numPr>
          <w:ilvl w:val="1"/>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that would have been granted to you under the LTMIP Plans pursuant to paragraph 3(d)(ii) shall be granted as of the date of termination of your employment with an exercise price equal to the closing price of the Class B Common Stock on the date of grant and such options will be exercisable during the period commencing six (6) months after the date of grant (or such earlier date as may be permitted under the LTMIP Plans) and ending one (1) year after the date of grant;</w:t>
      </w:r>
    </w:p>
    <w:p>
      <w:pPr>
        <w:spacing w:after="0" w:line="166" w:lineRule="exact"/>
        <w:rPr>
          <w:rFonts w:ascii="Courier New" w:cs="Courier New" w:eastAsia="Courier New" w:hAnsi="Courier New"/>
          <w:sz w:val="14"/>
          <w:szCs w:val="14"/>
          <w:color w:val="auto"/>
        </w:rPr>
      </w:pPr>
    </w:p>
    <w:p>
      <w:pPr>
        <w:ind w:left="1590" w:right="3359" w:hanging="620"/>
        <w:spacing w:after="0" w:line="237" w:lineRule="auto"/>
        <w:tabs>
          <w:tab w:leader="none" w:pos="159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supplemental pension benefit calculated in accordance with the terms of the Excess Pension Plan and paragraph 4(c) as though you were employed through the end of the Employment Term; and</w:t>
      </w:r>
    </w:p>
    <w:p>
      <w:pPr>
        <w:spacing w:after="0" w:line="176" w:lineRule="exact"/>
        <w:rPr>
          <w:sz w:val="20"/>
          <w:szCs w:val="20"/>
          <w:color w:val="auto"/>
        </w:rPr>
      </w:pPr>
    </w:p>
    <w:p>
      <w:pPr>
        <w:ind w:left="1590" w:right="3259" w:hanging="532"/>
        <w:spacing w:after="0" w:line="237" w:lineRule="auto"/>
        <w:tabs>
          <w:tab w:leader="none" w:pos="159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 of an appropriate office and secretarial assistance for up to six (6) months after the termination of your employment;</w:t>
      </w:r>
    </w:p>
    <w:p>
      <w:pPr>
        <w:spacing w:after="0" w:line="175" w:lineRule="exact"/>
        <w:rPr>
          <w:sz w:val="20"/>
          <w:szCs w:val="20"/>
          <w:color w:val="auto"/>
        </w:rPr>
      </w:pPr>
    </w:p>
    <w:p>
      <w:pPr>
        <w:ind w:left="10" w:right="3359"/>
        <w:spacing w:after="0" w:line="256" w:lineRule="auto"/>
        <w:rPr>
          <w:sz w:val="20"/>
          <w:szCs w:val="20"/>
          <w:color w:val="auto"/>
        </w:rPr>
      </w:pPr>
      <w:r>
        <w:rPr>
          <w:rFonts w:ascii="Courier New" w:cs="Courier New" w:eastAsia="Courier New" w:hAnsi="Courier New"/>
          <w:sz w:val="14"/>
          <w:szCs w:val="14"/>
          <w:color w:val="auto"/>
        </w:rPr>
        <w:t>provided, however, you shall be required to mitigate the amount of any payment provided for in (i), (ii), (iii) and (iv) of this paragraph 8(d) by seeking other employment and the amount of any such payment provided for in (i), (ii),</w:t>
      </w:r>
    </w:p>
    <w:p>
      <w:pPr>
        <w:spacing w:after="0" w:line="1" w:lineRule="exact"/>
        <w:rPr>
          <w:sz w:val="20"/>
          <w:szCs w:val="20"/>
          <w:color w:val="auto"/>
        </w:rPr>
      </w:pPr>
    </w:p>
    <w:p>
      <w:pPr>
        <w:ind w:left="10" w:right="3179" w:hanging="10"/>
        <w:spacing w:after="0" w:line="256" w:lineRule="auto"/>
        <w:tabs>
          <w:tab w:leader="none" w:pos="538"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(iv) (but only with respect to Deferred Compensation attributable to the period after the termination occurs) shall be reduced by any employment compensation earned by you except that mitigation shall not be required for twenty-four (24) months after the termination of your employment or for the period commencing with the termination of your employment and ending on the last day of the Employment Term, whichever is shorter. The payments provided for in</w:t>
      </w:r>
    </w:p>
    <w:p>
      <w:pPr>
        <w:spacing w:after="0" w:line="2" w:lineRule="exact"/>
        <w:rPr>
          <w:rFonts w:ascii="Courier New" w:cs="Courier New" w:eastAsia="Courier New" w:hAnsi="Courier New"/>
          <w:sz w:val="14"/>
          <w:szCs w:val="14"/>
          <w:color w:val="auto"/>
        </w:rPr>
      </w:pPr>
    </w:p>
    <w:p>
      <w:pPr>
        <w:ind w:left="10" w:right="3179" w:hanging="10"/>
        <w:spacing w:after="0" w:line="237" w:lineRule="auto"/>
        <w:tabs>
          <w:tab w:leader="none" w:pos="362"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are in lieu of any severance or income continuation or protection under any Viacom plan that may now or hereafter exist. The payments and benefits to be provided pursuant to this paragraph 8(d) shall constitute liquidated damages, and shall be deemed to satisfy and be in full and final settlement of all obligations of Viacom to you under this Agreement.</w:t>
      </w:r>
    </w:p>
    <w:p>
      <w:pPr>
        <w:spacing w:after="0" w:line="178" w:lineRule="exact"/>
        <w:rPr>
          <w:rFonts w:ascii="Courier New" w:cs="Courier New" w:eastAsia="Courier New" w:hAnsi="Courier New"/>
          <w:sz w:val="15"/>
          <w:szCs w:val="15"/>
          <w:color w:val="auto"/>
        </w:rPr>
      </w:pPr>
    </w:p>
    <w:p>
      <w:pPr>
        <w:ind w:left="10" w:right="3179" w:firstLine="519"/>
        <w:spacing w:after="0" w:line="238" w:lineRule="auto"/>
        <w:tabs>
          <w:tab w:leader="none" w:pos="891"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Benefits. Notwithstanding anything in this Agreement to the contrary (except as otherwise provided in paragraph 8(d) with respect to medical, dental and life insurance and Excess Pension Plan benefits), coverage under all Viacom benefit plans and programs (including, without limitation, vacation, 401(k), excess 401(k) and pension plans, LTD and accidental death and dismemberment and business travel and accident insurance) will terminate upon the termination of your employment except to the extent otherwise expressly provided in such plans or programs.</w:t>
      </w:r>
    </w:p>
    <w:p>
      <w:pPr>
        <w:spacing w:after="0" w:line="177" w:lineRule="exact"/>
        <w:rPr>
          <w:rFonts w:ascii="Courier New" w:cs="Courier New" w:eastAsia="Courier New" w:hAnsi="Courier New"/>
          <w:sz w:val="15"/>
          <w:szCs w:val="15"/>
          <w:color w:val="auto"/>
        </w:rPr>
      </w:pPr>
    </w:p>
    <w:p>
      <w:pPr>
        <w:ind w:left="10" w:right="3439" w:firstLine="519"/>
        <w:spacing w:after="0" w:line="260" w:lineRule="auto"/>
        <w:tabs>
          <w:tab w:leader="none" w:pos="891" w:val="left"/>
        </w:tabs>
        <w:numPr>
          <w:ilvl w:val="1"/>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Non-Renewal. In the event that Viacom does not extend or renew this Agreement at the end of the Employment Term on no less favorable terms, the vesting of all stock options granted under the LTMIP Plans that are not</w:t>
      </w:r>
    </w:p>
    <w:p>
      <w:pPr>
        <w:sectPr>
          <w:pgSz w:w="11900" w:h="16838" w:orient="portrait"/>
          <w:cols w:equalWidth="0" w:num="1">
            <w:col w:w="10229"/>
          </w:cols>
          <w:pgMar w:left="230" w:top="622" w:right="1440" w:bottom="1440" w:gutter="0" w:footer="0" w:header="0"/>
        </w:sectPr>
      </w:pPr>
    </w:p>
    <w:bookmarkStart w:id="336" w:name="page337"/>
    <w:bookmarkEnd w:id="336"/>
    <w:p>
      <w:pPr>
        <w:spacing w:after="0"/>
        <w:rPr>
          <w:sz w:val="20"/>
          <w:szCs w:val="20"/>
          <w:color w:val="auto"/>
        </w:rPr>
      </w:pPr>
      <w:r>
        <w:rPr>
          <w:rFonts w:ascii="Courier New" w:cs="Courier New" w:eastAsia="Courier New" w:hAnsi="Courier New"/>
          <w:sz w:val="15"/>
          <w:szCs w:val="15"/>
          <w:color w:val="auto"/>
        </w:rPr>
        <w:t>Philippe P. Dauman</w:t>
      </w:r>
    </w:p>
    <w:p>
      <w:pPr>
        <w:spacing w:after="0"/>
        <w:rPr>
          <w:sz w:val="20"/>
          <w:szCs w:val="20"/>
          <w:color w:val="auto"/>
        </w:rPr>
      </w:pPr>
      <w:r>
        <w:rPr>
          <w:rFonts w:ascii="Courier New" w:cs="Courier New" w:eastAsia="Courier New" w:hAnsi="Courier New"/>
          <w:sz w:val="15"/>
          <w:szCs w:val="15"/>
          <w:color w:val="auto"/>
        </w:rPr>
        <w:t>January 1, 1996</w:t>
      </w:r>
    </w:p>
    <w:p>
      <w:pPr>
        <w:spacing w:after="0"/>
        <w:rPr>
          <w:sz w:val="20"/>
          <w:szCs w:val="20"/>
          <w:color w:val="auto"/>
        </w:rPr>
      </w:pPr>
      <w:r>
        <w:rPr>
          <w:rFonts w:ascii="Courier New" w:cs="Courier New" w:eastAsia="Courier New" w:hAnsi="Courier New"/>
          <w:sz w:val="15"/>
          <w:szCs w:val="15"/>
          <w:color w:val="auto"/>
        </w:rPr>
        <w:t>Page 12</w:t>
      </w:r>
    </w:p>
    <w:p>
      <w:pPr>
        <w:spacing w:after="0" w:line="343"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exercisable as of the end of the Employment Term shall be accelerated and such stock options, together with all stock options granted under the LTMIP Plans which are exercisable at the end of the Employment Term, will be exercisable until six (6) months after the end of the Employment Term or, if earlier, the expiration date of the stock options.</w:t>
      </w:r>
    </w:p>
    <w:p>
      <w:pPr>
        <w:spacing w:after="0" w:line="178" w:lineRule="exact"/>
        <w:rPr>
          <w:sz w:val="20"/>
          <w:szCs w:val="20"/>
          <w:color w:val="auto"/>
        </w:rPr>
      </w:pPr>
    </w:p>
    <w:p>
      <w:pPr>
        <w:ind w:right="3179" w:firstLine="519"/>
        <w:spacing w:after="0" w:line="238" w:lineRule="auto"/>
        <w:tabs>
          <w:tab w:leader="none" w:pos="793"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If you die prior to the end of the Employment Term, your beneficiary or estate shall be entitled to receive your Salary up to the date on which the death occurs, a pro-rated Target Bonus and pro-rated Deferred Compensation for the calendar year in which the death occurs and Deferred Compensation attributable to prior calendar years payable, together with the return thereon as provided in paragraph 3(c), prior to January 31 of the following calendar year. In addition, the vesting of all stock options granted under the LTMIP Plans that are not exercisable as of the date on which the death occurs shall be accelerated, and your beneficiary or estate shall be entitled to exercise such stock options, together with all stock options that are exercisable as of the date of death, for one (1) year after the date of death or, if earlier, the expiration date of the stock options.</w:t>
      </w:r>
    </w:p>
    <w:p>
      <w:pPr>
        <w:spacing w:after="0" w:line="181" w:lineRule="exact"/>
        <w:rPr>
          <w:rFonts w:ascii="Courier New" w:cs="Courier New" w:eastAsia="Courier New" w:hAnsi="Courier New"/>
          <w:sz w:val="15"/>
          <w:szCs w:val="15"/>
          <w:color w:val="auto"/>
        </w:rPr>
      </w:pPr>
    </w:p>
    <w:p>
      <w:pPr>
        <w:ind w:right="3179" w:firstLine="519"/>
        <w:spacing w:after="0" w:line="238" w:lineRule="auto"/>
        <w:tabs>
          <w:tab w:leader="none" w:pos="881"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317 and 507 of the Federal Communications Act. You represent that you have not accepted or given nor will you accept or give, directly or indirectly, any money, services or other valuable consideration from or to anyone other than Viacom for the inclusion of any matter as part of any film, television program or other production produced, distributed and/or developed by Viacom and/or any of its affiliates.</w:t>
      </w:r>
    </w:p>
    <w:p>
      <w:pPr>
        <w:spacing w:after="0" w:line="175" w:lineRule="exact"/>
        <w:rPr>
          <w:rFonts w:ascii="Courier New" w:cs="Courier New" w:eastAsia="Courier New" w:hAnsi="Courier New"/>
          <w:sz w:val="15"/>
          <w:szCs w:val="15"/>
          <w:color w:val="auto"/>
        </w:rPr>
      </w:pPr>
    </w:p>
    <w:p>
      <w:pPr>
        <w:ind w:right="3179" w:firstLine="519"/>
        <w:spacing w:after="0" w:line="237" w:lineRule="auto"/>
        <w:tabs>
          <w:tab w:leader="none" w:pos="881"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Equal Opportunity Employer. You acknowledge that Viacom is an equal opportunity employer. You agree that you will comply with Viacom policies regarding employment practices and with applicable federal, state and local laws prohibiting discrimination on the basis of race, color, creed, national origin, age, sex or disability.</w:t>
      </w:r>
    </w:p>
    <w:p>
      <w:pPr>
        <w:spacing w:after="0" w:line="172" w:lineRule="exact"/>
        <w:rPr>
          <w:rFonts w:ascii="Courier New" w:cs="Courier New" w:eastAsia="Courier New" w:hAnsi="Courier New"/>
          <w:sz w:val="15"/>
          <w:szCs w:val="15"/>
          <w:color w:val="auto"/>
        </w:rPr>
      </w:pPr>
    </w:p>
    <w:p>
      <w:pPr>
        <w:ind w:left="1040" w:hanging="521"/>
        <w:spacing w:after="0"/>
        <w:tabs>
          <w:tab w:leader="none" w:pos="104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w:t>
      </w:r>
    </w:p>
    <w:p>
      <w:pPr>
        <w:spacing w:after="0" w:line="174" w:lineRule="exact"/>
        <w:rPr>
          <w:rFonts w:ascii="Courier New" w:cs="Courier New" w:eastAsia="Courier New" w:hAnsi="Courier New"/>
          <w:sz w:val="15"/>
          <w:szCs w:val="15"/>
          <w:color w:val="auto"/>
        </w:rPr>
      </w:pPr>
    </w:p>
    <w:p>
      <w:pPr>
        <w:ind w:right="3179" w:firstLine="1048"/>
        <w:spacing w:after="0" w:line="238" w:lineRule="auto"/>
        <w:tabs>
          <w:tab w:leader="none" w:pos="1410" w:val="left"/>
        </w:tabs>
        <w:numPr>
          <w:ilvl w:val="1"/>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shall indemnify and hold you harmless, to the maximum extent permitted by law and by the Restated Certificate of Incorporation and/or the Bylaws of Viacom, against judgments, fines, amounts paid in settlement of and reasonable expenses incurred by you in connection with the defense of any action or proceeding (or any appeal therefrom) in which you are a party by reason of your position as Deputy Chairman and Executive Vice President, General Counsel, Chief Administrative Officer and Secretary of Viacom or by reason of any prior positions held by you with Viacom, or for any acts or omissions made by you in good faith in the performance of any of your duties as an officer of Viacom.</w:t>
      </w:r>
    </w:p>
    <w:p>
      <w:pPr>
        <w:spacing w:after="0" w:line="179" w:lineRule="exact"/>
        <w:rPr>
          <w:rFonts w:ascii="Courier New" w:cs="Courier New" w:eastAsia="Courier New" w:hAnsi="Courier New"/>
          <w:sz w:val="15"/>
          <w:szCs w:val="15"/>
          <w:color w:val="auto"/>
        </w:rPr>
      </w:pPr>
    </w:p>
    <w:p>
      <w:pPr>
        <w:ind w:right="3539" w:firstLine="1048"/>
        <w:spacing w:after="0" w:line="235" w:lineRule="auto"/>
        <w:tabs>
          <w:tab w:leader="none" w:pos="1410" w:val="left"/>
        </w:tabs>
        <w:numPr>
          <w:ilvl w:val="1"/>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Viacom maintains officers' and directors' liability insurance, you will be covered under such policy.</w:t>
      </w:r>
    </w:p>
    <w:p>
      <w:pPr>
        <w:sectPr>
          <w:pgSz w:w="11900" w:h="16838" w:orient="portrait"/>
          <w:cols w:equalWidth="0" w:num="1">
            <w:col w:w="10219"/>
          </w:cols>
          <w:pgMar w:left="240" w:top="622" w:right="1440" w:bottom="1440" w:gutter="0" w:footer="0" w:header="0"/>
        </w:sectPr>
      </w:pPr>
    </w:p>
    <w:bookmarkStart w:id="337" w:name="page338"/>
    <w:bookmarkEnd w:id="337"/>
    <w:p>
      <w:pPr>
        <w:spacing w:after="0"/>
        <w:rPr>
          <w:sz w:val="20"/>
          <w:szCs w:val="20"/>
          <w:color w:val="auto"/>
        </w:rPr>
      </w:pPr>
      <w:r>
        <w:rPr>
          <w:rFonts w:ascii="Courier New" w:cs="Courier New" w:eastAsia="Courier New" w:hAnsi="Courier New"/>
          <w:sz w:val="15"/>
          <w:szCs w:val="15"/>
          <w:color w:val="auto"/>
        </w:rPr>
        <w:t>Philippe P. Dauman</w:t>
      </w:r>
    </w:p>
    <w:p>
      <w:pPr>
        <w:spacing w:after="0"/>
        <w:rPr>
          <w:sz w:val="20"/>
          <w:szCs w:val="20"/>
          <w:color w:val="auto"/>
        </w:rPr>
      </w:pPr>
      <w:r>
        <w:rPr>
          <w:rFonts w:ascii="Courier New" w:cs="Courier New" w:eastAsia="Courier New" w:hAnsi="Courier New"/>
          <w:sz w:val="15"/>
          <w:szCs w:val="15"/>
          <w:color w:val="auto"/>
        </w:rPr>
        <w:t>January 1, 1996</w:t>
      </w:r>
    </w:p>
    <w:p>
      <w:pPr>
        <w:spacing w:after="0"/>
        <w:rPr>
          <w:sz w:val="20"/>
          <w:szCs w:val="20"/>
          <w:color w:val="auto"/>
        </w:rPr>
      </w:pPr>
      <w:r>
        <w:rPr>
          <w:rFonts w:ascii="Courier New" w:cs="Courier New" w:eastAsia="Courier New" w:hAnsi="Courier New"/>
          <w:sz w:val="15"/>
          <w:szCs w:val="15"/>
          <w:color w:val="auto"/>
        </w:rPr>
        <w:t>Page 13</w:t>
      </w:r>
    </w:p>
    <w:p>
      <w:pPr>
        <w:spacing w:after="0" w:line="343" w:lineRule="exact"/>
        <w:rPr>
          <w:sz w:val="20"/>
          <w:szCs w:val="20"/>
          <w:color w:val="auto"/>
        </w:rPr>
      </w:pPr>
    </w:p>
    <w:p>
      <w:pPr>
        <w:ind w:right="3179" w:firstLine="519"/>
        <w:spacing w:after="0" w:line="237" w:lineRule="auto"/>
        <w:tabs>
          <w:tab w:leader="none" w:pos="881"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required to be given hereunder shall be given in writing, by personal delivery or by mail at the respective addresses of the parties hereto set forth above, or at such other address as may be designated in writing by either party. Any notice given by mail shall be deemed to have been given three days following such mailing.</w:t>
      </w:r>
    </w:p>
    <w:p>
      <w:pPr>
        <w:spacing w:after="0" w:line="178" w:lineRule="exact"/>
        <w:rPr>
          <w:rFonts w:ascii="Courier New" w:cs="Courier New" w:eastAsia="Courier New" w:hAnsi="Courier New"/>
          <w:sz w:val="15"/>
          <w:szCs w:val="15"/>
          <w:color w:val="auto"/>
        </w:rPr>
      </w:pPr>
    </w:p>
    <w:p>
      <w:pPr>
        <w:ind w:right="3259" w:firstLine="519"/>
        <w:spacing w:after="0" w:line="237" w:lineRule="auto"/>
        <w:tabs>
          <w:tab w:leader="none" w:pos="881"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This is an Agreement for the performance of personal services by you and may not be assigned by you or Viacom except that Viacom may assign this Agreement to any affiliate of or any successor in interest to Viacom.</w:t>
      </w:r>
    </w:p>
    <w:p>
      <w:pPr>
        <w:spacing w:after="0" w:line="176" w:lineRule="exact"/>
        <w:rPr>
          <w:rFonts w:ascii="Courier New" w:cs="Courier New" w:eastAsia="Courier New" w:hAnsi="Courier New"/>
          <w:sz w:val="15"/>
          <w:szCs w:val="15"/>
          <w:color w:val="auto"/>
        </w:rPr>
      </w:pPr>
    </w:p>
    <w:p>
      <w:pPr>
        <w:ind w:right="3179" w:firstLine="519"/>
        <w:spacing w:after="0" w:line="237" w:lineRule="auto"/>
        <w:tabs>
          <w:tab w:leader="none" w:pos="881"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York Law, Etc. This Agreement and all matters or issues collateral thereto shall be governed by the laws of the State of New York applicable to contracts entered into and performed entirely therein. Any action to enforce this Agreement shall be brought in the state or federal courts located in the City of New York.</w:t>
      </w:r>
    </w:p>
    <w:p>
      <w:pPr>
        <w:spacing w:after="0" w:line="178" w:lineRule="exact"/>
        <w:rPr>
          <w:rFonts w:ascii="Courier New" w:cs="Courier New" w:eastAsia="Courier New" w:hAnsi="Courier New"/>
          <w:sz w:val="15"/>
          <w:szCs w:val="15"/>
          <w:color w:val="auto"/>
        </w:rPr>
      </w:pPr>
    </w:p>
    <w:p>
      <w:pPr>
        <w:ind w:right="3179" w:firstLine="519"/>
        <w:spacing w:after="0" w:line="238" w:lineRule="auto"/>
        <w:tabs>
          <w:tab w:leader="none" w:pos="881"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Implied Contract. Nothing contained in this Agreement shall be construed to impose any obligation on Viacom to renew this Agreement or any portion thereof. The parties intend to be bound only upon execution of a written agreement and no negotiation, exchange of draft or partial performance shall be deemed to imply an agreement. Neither the continuation of employment nor any other conduct shall be deemed to imply a continuing agreement upon the expiration of this Agreement.</w:t>
      </w:r>
    </w:p>
    <w:p>
      <w:pPr>
        <w:spacing w:after="0" w:line="176" w:lineRule="exact"/>
        <w:rPr>
          <w:rFonts w:ascii="Courier New" w:cs="Courier New" w:eastAsia="Courier New" w:hAnsi="Courier New"/>
          <w:sz w:val="15"/>
          <w:szCs w:val="15"/>
          <w:color w:val="auto"/>
        </w:rPr>
      </w:pPr>
    </w:p>
    <w:p>
      <w:pPr>
        <w:ind w:right="3179" w:firstLine="519"/>
        <w:spacing w:after="0" w:line="237" w:lineRule="auto"/>
        <w:tabs>
          <w:tab w:leader="none" w:pos="881"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Understanding. This Agreement contains the entire understanding of the parties hereto relating to the subject matter herein contained, and can be changed only by a writing signed by both parties hereto.</w:t>
      </w:r>
    </w:p>
    <w:p>
      <w:pPr>
        <w:spacing w:after="0" w:line="174" w:lineRule="exact"/>
        <w:rPr>
          <w:rFonts w:ascii="Courier New" w:cs="Courier New" w:eastAsia="Courier New" w:hAnsi="Courier New"/>
          <w:sz w:val="15"/>
          <w:szCs w:val="15"/>
          <w:color w:val="auto"/>
        </w:rPr>
      </w:pPr>
    </w:p>
    <w:p>
      <w:pPr>
        <w:ind w:right="3179" w:firstLine="519"/>
        <w:spacing w:after="0" w:line="237" w:lineRule="auto"/>
        <w:tabs>
          <w:tab w:leader="none" w:pos="881"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Void Provisions. If any provision of this Agreement, as applied to either party or to any circumstances, shall be adjudged by a court to be void or unenforceable, the same shall be deemed stricken from this Agreement and shall in no way affect any other provision of this Agreement or the validity or enforceability of this Agreement.</w:t>
      </w:r>
    </w:p>
    <w:p>
      <w:pPr>
        <w:sectPr>
          <w:pgSz w:w="11900" w:h="16838" w:orient="portrait"/>
          <w:cols w:equalWidth="0" w:num="1">
            <w:col w:w="10219"/>
          </w:cols>
          <w:pgMar w:left="240" w:top="622" w:right="1440" w:bottom="1440" w:gutter="0" w:footer="0" w:header="0"/>
        </w:sectPr>
      </w:pPr>
    </w:p>
    <w:bookmarkStart w:id="338" w:name="page339"/>
    <w:bookmarkEnd w:id="338"/>
    <w:p>
      <w:pPr>
        <w:ind w:left="10"/>
        <w:spacing w:after="0"/>
        <w:rPr>
          <w:sz w:val="20"/>
          <w:szCs w:val="20"/>
          <w:color w:val="auto"/>
        </w:rPr>
      </w:pPr>
      <w:r>
        <w:rPr>
          <w:rFonts w:ascii="Courier New" w:cs="Courier New" w:eastAsia="Courier New" w:hAnsi="Courier New"/>
          <w:sz w:val="15"/>
          <w:szCs w:val="15"/>
          <w:color w:val="auto"/>
        </w:rPr>
        <w:t>Philippe P. Dauman</w:t>
      </w:r>
    </w:p>
    <w:p>
      <w:pPr>
        <w:ind w:left="10"/>
        <w:spacing w:after="0"/>
        <w:rPr>
          <w:sz w:val="20"/>
          <w:szCs w:val="20"/>
          <w:color w:val="auto"/>
        </w:rPr>
      </w:pPr>
      <w:r>
        <w:rPr>
          <w:rFonts w:ascii="Courier New" w:cs="Courier New" w:eastAsia="Courier New" w:hAnsi="Courier New"/>
          <w:sz w:val="15"/>
          <w:szCs w:val="15"/>
          <w:color w:val="auto"/>
        </w:rPr>
        <w:t>January 1, 1996</w:t>
      </w:r>
    </w:p>
    <w:p>
      <w:pPr>
        <w:ind w:left="10"/>
        <w:spacing w:after="0"/>
        <w:rPr>
          <w:sz w:val="20"/>
          <w:szCs w:val="20"/>
          <w:color w:val="auto"/>
        </w:rPr>
      </w:pPr>
      <w:r>
        <w:rPr>
          <w:rFonts w:ascii="Courier New" w:cs="Courier New" w:eastAsia="Courier New" w:hAnsi="Courier New"/>
          <w:sz w:val="15"/>
          <w:szCs w:val="15"/>
          <w:color w:val="auto"/>
        </w:rPr>
        <w:t>Page 14</w:t>
      </w:r>
    </w:p>
    <w:p>
      <w:pPr>
        <w:spacing w:after="0" w:line="343" w:lineRule="exact"/>
        <w:rPr>
          <w:sz w:val="20"/>
          <w:szCs w:val="20"/>
          <w:color w:val="auto"/>
        </w:rPr>
      </w:pPr>
    </w:p>
    <w:p>
      <w:pPr>
        <w:ind w:left="10" w:right="3179" w:firstLine="519"/>
        <w:spacing w:after="0" w:line="257" w:lineRule="auto"/>
        <w:tabs>
          <w:tab w:leader="none" w:pos="891"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Supersedes Previous Agreement. This Agreement supersedes and cancels all prior agreements relating to your employment by Viacom or any of its affiliates, including, without limitation, the employment agreement with Viacom, dated as of February 1, 1993, as amended as of April 1, 1994. Notwithstanding the preceding sentence, this Agreement is not intended, and shall not be construed, to affect your rights in any compensation or benefits that have been granted or accrued prior to the beginning of the Employment Term .</w:t>
      </w:r>
    </w:p>
    <w:p>
      <w:pPr>
        <w:spacing w:after="0" w:line="167" w:lineRule="exact"/>
        <w:rPr>
          <w:sz w:val="20"/>
          <w:szCs w:val="20"/>
          <w:color w:val="auto"/>
        </w:rPr>
      </w:pPr>
    </w:p>
    <w:p>
      <w:pPr>
        <w:ind w:left="10" w:right="3359" w:firstLine="529"/>
        <w:spacing w:after="0" w:line="237" w:lineRule="auto"/>
        <w:rPr>
          <w:sz w:val="20"/>
          <w:szCs w:val="20"/>
          <w:color w:val="auto"/>
        </w:rPr>
      </w:pPr>
      <w:r>
        <w:rPr>
          <w:rFonts w:ascii="Courier New" w:cs="Courier New" w:eastAsia="Courier New" w:hAnsi="Courier New"/>
          <w:sz w:val="15"/>
          <w:szCs w:val="15"/>
          <w:color w:val="auto"/>
        </w:rPr>
        <w:t>If the foregoing correctly sets forth our understanding, please sign one copy of this letter and return it to the undersigned, whereupon this letter shall constitute a binding agreement between us.</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Very truly yours,</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VIACOM INC.</w:t>
      </w:r>
    </w:p>
    <w:p>
      <w:pPr>
        <w:spacing w:after="0" w:line="339" w:lineRule="exact"/>
        <w:rPr>
          <w:sz w:val="20"/>
          <w:szCs w:val="20"/>
          <w:color w:val="auto"/>
        </w:rPr>
      </w:pPr>
    </w:p>
    <w:p>
      <w:pPr>
        <w:ind w:left="3430"/>
        <w:spacing w:after="0"/>
        <w:tabs>
          <w:tab w:leader="none" w:pos="3949" w:val="left"/>
        </w:tabs>
        <w:rPr>
          <w:sz w:val="20"/>
          <w:szCs w:val="20"/>
          <w:color w:val="auto"/>
        </w:rPr>
      </w:pPr>
      <w:r>
        <w:rPr>
          <w:rFonts w:ascii="Courier New" w:cs="Courier New" w:eastAsia="Courier New" w:hAnsi="Courier New"/>
          <w:sz w:val="15"/>
          <w:szCs w:val="15"/>
          <w:color w:val="auto"/>
        </w:rPr>
        <w:t>By:</w:t>
        <w:tab/>
        <w:t>/s/ Sumner M. Redstone</w:t>
      </w:r>
    </w:p>
    <w:p>
      <w:pPr>
        <w:ind w:left="3710"/>
        <w:spacing w:after="0"/>
        <w:rPr>
          <w:sz w:val="20"/>
          <w:szCs w:val="20"/>
          <w:color w:val="auto"/>
        </w:rPr>
      </w:pPr>
      <w:r>
        <w:rPr>
          <w:rFonts w:ascii="Courier New" w:cs="Courier New" w:eastAsia="Courier New" w:hAnsi="Courier New"/>
          <w:sz w:val="15"/>
          <w:szCs w:val="15"/>
          <w:color w:val="auto"/>
        </w:rPr>
        <w:t>--------------------------------</w:t>
      </w:r>
    </w:p>
    <w:p>
      <w:pPr>
        <w:ind w:left="3710"/>
        <w:spacing w:after="0"/>
        <w:tabs>
          <w:tab w:leader="none" w:pos="4289" w:val="left"/>
        </w:tabs>
        <w:rPr>
          <w:sz w:val="20"/>
          <w:szCs w:val="20"/>
          <w:color w:val="auto"/>
        </w:rPr>
      </w:pPr>
      <w:r>
        <w:rPr>
          <w:rFonts w:ascii="Courier New" w:cs="Courier New" w:eastAsia="Courier New" w:hAnsi="Courier New"/>
          <w:sz w:val="15"/>
          <w:szCs w:val="15"/>
          <w:color w:val="auto"/>
        </w:rPr>
        <w:t>Name:</w:t>
        <w:tab/>
        <w:t>Sumner M. Redstone</w:t>
      </w:r>
    </w:p>
    <w:p>
      <w:pPr>
        <w:ind w:left="3710"/>
        <w:spacing w:after="0" w:line="238" w:lineRule="auto"/>
        <w:rPr>
          <w:sz w:val="20"/>
          <w:szCs w:val="20"/>
          <w:color w:val="auto"/>
        </w:rPr>
      </w:pPr>
      <w:r>
        <w:rPr>
          <w:rFonts w:ascii="Courier New" w:cs="Courier New" w:eastAsia="Courier New" w:hAnsi="Courier New"/>
          <w:sz w:val="15"/>
          <w:szCs w:val="15"/>
          <w:color w:val="auto"/>
        </w:rPr>
        <w:t>Title: Chairman of the Board and</w:t>
      </w:r>
    </w:p>
    <w:p>
      <w:pPr>
        <w:ind w:left="4310"/>
        <w:spacing w:after="0"/>
        <w:rPr>
          <w:sz w:val="20"/>
          <w:szCs w:val="20"/>
          <w:color w:val="auto"/>
        </w:rPr>
      </w:pPr>
      <w:r>
        <w:rPr>
          <w:rFonts w:ascii="Courier New" w:cs="Courier New" w:eastAsia="Courier New" w:hAnsi="Courier New"/>
          <w:sz w:val="15"/>
          <w:szCs w:val="15"/>
          <w:color w:val="auto"/>
        </w:rPr>
        <w:t>Chief Executive Officer</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ACCEPTED AND AGREED:</w:t>
      </w:r>
    </w:p>
    <w:p>
      <w:pPr>
        <w:spacing w:after="0" w:line="339" w:lineRule="exact"/>
        <w:rPr>
          <w:sz w:val="20"/>
          <w:szCs w:val="20"/>
          <w:color w:val="auto"/>
        </w:rPr>
      </w:pPr>
    </w:p>
    <w:p>
      <w:pPr>
        <w:ind w:left="10"/>
        <w:spacing w:after="0"/>
        <w:tabs>
          <w:tab w:leader="none" w:pos="509" w:val="left"/>
        </w:tabs>
        <w:rPr>
          <w:sz w:val="20"/>
          <w:szCs w:val="20"/>
          <w:color w:val="auto"/>
        </w:rPr>
      </w:pPr>
      <w:r>
        <w:rPr>
          <w:rFonts w:ascii="Courier New" w:cs="Courier New" w:eastAsia="Courier New" w:hAnsi="Courier New"/>
          <w:sz w:val="15"/>
          <w:szCs w:val="15"/>
          <w:color w:val="auto"/>
        </w:rPr>
        <w:t>/s/</w:t>
        <w:tab/>
        <w:t>Philippe P. Dauman</w:t>
      </w:r>
    </w:p>
    <w:p>
      <w:pPr>
        <w:ind w:left="170" w:hanging="170"/>
        <w:spacing w:after="0"/>
        <w:tabs>
          <w:tab w:leader="none" w:pos="17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Philippe P. Dauman</w:t>
      </w:r>
    </w:p>
    <w:p>
      <w:pPr>
        <w:sectPr>
          <w:pgSz w:w="11900" w:h="16838" w:orient="portrait"/>
          <w:cols w:equalWidth="0" w:num="1">
            <w:col w:w="10229"/>
          </w:cols>
          <w:pgMar w:left="230" w:top="622" w:right="1440" w:bottom="1440" w:gutter="0" w:footer="0" w:header="0"/>
        </w:sectPr>
      </w:pPr>
    </w:p>
    <w:bookmarkStart w:id="339" w:name="page340"/>
    <w:bookmarkEnd w:id="339"/>
    <w:p>
      <w:pPr>
        <w:jc w:val="right"/>
        <w:ind w:right="3179"/>
        <w:spacing w:after="0"/>
        <w:rPr>
          <w:sz w:val="20"/>
          <w:szCs w:val="20"/>
          <w:color w:val="auto"/>
        </w:rPr>
      </w:pPr>
      <w:r>
        <w:rPr>
          <w:rFonts w:ascii="Courier New" w:cs="Courier New" w:eastAsia="Courier New" w:hAnsi="Courier New"/>
          <w:sz w:val="15"/>
          <w:szCs w:val="15"/>
          <w:color w:val="auto"/>
        </w:rPr>
        <w:t>As of January 1, 1996</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Thomas E. Dooley</w:t>
      </w:r>
    </w:p>
    <w:p>
      <w:pPr>
        <w:spacing w:after="0"/>
        <w:rPr>
          <w:sz w:val="20"/>
          <w:szCs w:val="20"/>
          <w:color w:val="auto"/>
        </w:rPr>
      </w:pPr>
      <w:r>
        <w:rPr>
          <w:rFonts w:ascii="Courier New" w:cs="Courier New" w:eastAsia="Courier New" w:hAnsi="Courier New"/>
          <w:sz w:val="15"/>
          <w:szCs w:val="15"/>
          <w:color w:val="auto"/>
        </w:rPr>
        <w:t>147 Oxford Boulevard</w:t>
      </w:r>
    </w:p>
    <w:p>
      <w:pPr>
        <w:spacing w:after="0"/>
        <w:rPr>
          <w:sz w:val="20"/>
          <w:szCs w:val="20"/>
          <w:color w:val="auto"/>
        </w:rPr>
      </w:pPr>
      <w:r>
        <w:rPr>
          <w:rFonts w:ascii="Courier New" w:cs="Courier New" w:eastAsia="Courier New" w:hAnsi="Courier New"/>
          <w:sz w:val="15"/>
          <w:szCs w:val="15"/>
          <w:color w:val="auto"/>
        </w:rPr>
        <w:t>Garden City, NY 11530</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Mr. Dooley:</w:t>
      </w:r>
    </w:p>
    <w:p>
      <w:pPr>
        <w:spacing w:after="0" w:line="344"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Viacom Inc. ("Viacom"), having an address at 1515 Broadway, New York, New York 10036, agrees to employ you and you agree to accept such employment upon the following terms and conditions:</w:t>
      </w:r>
    </w:p>
    <w:p>
      <w:pPr>
        <w:spacing w:after="0" w:line="175"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l. Term. The term of your employment hereunder shall commence on January 1, 1996 and, unless terminated by Viacom or you pursuant to paragraph 8 hereof, shall continue through and until December 31, 2000. The period from January 1, 1996 through December 31, 2000 shall hereinafter be referred to as the "Employment Term" notwithstanding any earlier termination pursuant to paragraph 8.</w:t>
      </w:r>
    </w:p>
    <w:p>
      <w:pPr>
        <w:spacing w:after="0" w:line="176" w:lineRule="exact"/>
        <w:rPr>
          <w:sz w:val="20"/>
          <w:szCs w:val="20"/>
          <w:color w:val="auto"/>
        </w:rPr>
      </w:pPr>
    </w:p>
    <w:p>
      <w:pPr>
        <w:ind w:right="3179" w:firstLine="519"/>
        <w:spacing w:after="0" w:line="238" w:lineRule="auto"/>
        <w:tabs>
          <w:tab w:leader="none" w:pos="793"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During the Employment Term, you agree to devote your entire business time, attention and energies to the business of Viacom and its subsidiaries. This is not intended to prevent you from engaging in other activities that do not conflict with or interfere with the performance of your duties and responsibilities hereunder. You will be Deputy Chairman and Executive Vice President - Finance, Corporate Development and Communications of Viacom reporting directly and solely to the Chairman of the Board of Viacom (the "Chairman"), and you agree to perform such duties, and such other duties reasonable and consistent with such office as may be assigned to you from time to time by the Chairman. You will have such authority as is necessary for the performance of your obligations hereunder. You shall serve as a member of the Board of Directors of Viacom. Your principal place of business shall be at Viacom's headquarters in the New York City metropolitan area and you shall not be required to relocate outside of the New York City metropolitan area.</w:t>
      </w:r>
    </w:p>
    <w:p>
      <w:pPr>
        <w:spacing w:after="0" w:line="178" w:lineRule="exact"/>
        <w:rPr>
          <w:rFonts w:ascii="Courier New" w:cs="Courier New" w:eastAsia="Courier New" w:hAnsi="Courier New"/>
          <w:sz w:val="15"/>
          <w:szCs w:val="15"/>
          <w:color w:val="auto"/>
        </w:rPr>
      </w:pPr>
    </w:p>
    <w:p>
      <w:pPr>
        <w:ind w:left="1040" w:hanging="521"/>
        <w:spacing w:after="0"/>
        <w:tabs>
          <w:tab w:leader="none" w:pos="104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w:t>
      </w:r>
    </w:p>
    <w:p>
      <w:pPr>
        <w:spacing w:after="0" w:line="174" w:lineRule="exact"/>
        <w:rPr>
          <w:rFonts w:ascii="Courier New" w:cs="Courier New" w:eastAsia="Courier New" w:hAnsi="Courier New"/>
          <w:sz w:val="15"/>
          <w:szCs w:val="15"/>
          <w:color w:val="auto"/>
        </w:rPr>
      </w:pPr>
    </w:p>
    <w:p>
      <w:pPr>
        <w:ind w:right="3179" w:firstLine="1048"/>
        <w:spacing w:after="0" w:line="237" w:lineRule="auto"/>
        <w:tabs>
          <w:tab w:leader="none" w:pos="1410"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Salary: For all the services rendered by you in any capacity hereunder, Viacom agrees to pay you the sum of One Million Dollars ($1,000,000) per annum ("Salary"), payable in accordance with Viacom's then effective payroll practices.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Thomas E. Dooley</w:t>
      </w:r>
    </w:p>
    <w:p>
      <w:pPr>
        <w:spacing w:after="0"/>
        <w:rPr>
          <w:sz w:val="20"/>
          <w:szCs w:val="20"/>
          <w:color w:val="auto"/>
        </w:rPr>
      </w:pPr>
      <w:r>
        <w:rPr>
          <w:rFonts w:ascii="Courier New" w:cs="Courier New" w:eastAsia="Courier New" w:hAnsi="Courier New"/>
          <w:sz w:val="15"/>
          <w:szCs w:val="15"/>
          <w:color w:val="auto"/>
        </w:rPr>
        <w:t>January 1, 1996</w:t>
      </w:r>
    </w:p>
    <w:p>
      <w:pPr>
        <w:spacing w:after="0"/>
        <w:rPr>
          <w:sz w:val="20"/>
          <w:szCs w:val="20"/>
          <w:color w:val="auto"/>
        </w:rPr>
      </w:pPr>
      <w:r>
        <w:rPr>
          <w:rFonts w:ascii="Courier New" w:cs="Courier New" w:eastAsia="Courier New" w:hAnsi="Courier New"/>
          <w:sz w:val="15"/>
          <w:szCs w:val="15"/>
          <w:color w:val="auto"/>
        </w:rPr>
        <w:t>Page 2</w:t>
      </w:r>
    </w:p>
    <w:p>
      <w:pPr>
        <w:spacing w:after="0" w:line="343" w:lineRule="exact"/>
        <w:rPr>
          <w:sz w:val="20"/>
          <w:szCs w:val="20"/>
          <w:color w:val="auto"/>
        </w:rPr>
      </w:pPr>
    </w:p>
    <w:p>
      <w:pPr>
        <w:ind w:right="3179" w:firstLine="1048"/>
        <w:spacing w:after="0" w:line="237" w:lineRule="auto"/>
        <w:tabs>
          <w:tab w:leader="none" w:pos="141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 Compensation: In addition to your Salary, you shall be entitled to receive bonus compensation for each of the calendar years during the Employment Term, determined and payable as follows ("Bonus"):</w:t>
      </w:r>
    </w:p>
    <w:p>
      <w:pPr>
        <w:spacing w:after="0" w:line="175" w:lineRule="exact"/>
        <w:rPr>
          <w:sz w:val="20"/>
          <w:szCs w:val="20"/>
          <w:color w:val="auto"/>
        </w:rPr>
      </w:pPr>
    </w:p>
    <w:p>
      <w:pPr>
        <w:ind w:left="1580" w:right="3179" w:hanging="532"/>
        <w:spacing w:after="0" w:line="238" w:lineRule="auto"/>
        <w:tabs>
          <w:tab w:leader="none" w:pos="158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Bonus for each of the calendar years during the Employment Term will be based upon a measurement of performance against objectives in accordance with Viacom's Short-Term Incentive Plan and its Senior Executive Short-Term Incentive Plan, as the same may be amended from time to time (collectively, the "STIP"), which objectives shall be no less favorable to you than the objectives used to determine the amount of bonus payable to any other executive of Viacom whose bonus is based in whole or in part on corporate performance and who participates in the STIP.</w:t>
      </w:r>
    </w:p>
    <w:p>
      <w:pPr>
        <w:spacing w:after="0" w:line="179" w:lineRule="exact"/>
        <w:rPr>
          <w:rFonts w:ascii="Courier New" w:cs="Courier New" w:eastAsia="Courier New" w:hAnsi="Courier New"/>
          <w:sz w:val="15"/>
          <w:szCs w:val="15"/>
          <w:color w:val="auto"/>
        </w:rPr>
      </w:pPr>
    </w:p>
    <w:p>
      <w:pPr>
        <w:ind w:left="1580" w:right="3259" w:hanging="532"/>
        <w:spacing w:after="0" w:line="237" w:lineRule="auto"/>
        <w:tabs>
          <w:tab w:leader="none" w:pos="158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Target Bonus for each of the calendar years during the Employment Term shall be 250% of Salary and Deferred Compensation (as defined in paragraph 3(c)) for such calendar year.</w:t>
      </w:r>
    </w:p>
    <w:p>
      <w:pPr>
        <w:spacing w:after="0" w:line="176" w:lineRule="exact"/>
        <w:rPr>
          <w:rFonts w:ascii="Courier New" w:cs="Courier New" w:eastAsia="Courier New" w:hAnsi="Courier New"/>
          <w:sz w:val="15"/>
          <w:szCs w:val="15"/>
          <w:color w:val="auto"/>
        </w:rPr>
      </w:pPr>
    </w:p>
    <w:p>
      <w:pPr>
        <w:ind w:left="1580" w:right="3259" w:hanging="532"/>
        <w:spacing w:after="0" w:line="235" w:lineRule="auto"/>
        <w:tabs>
          <w:tab w:leader="none" w:pos="158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Bonus for any calendar year shall be payable by February 28 of the following year.</w:t>
      </w:r>
    </w:p>
    <w:p>
      <w:pPr>
        <w:spacing w:after="0" w:line="176" w:lineRule="exact"/>
        <w:rPr>
          <w:sz w:val="20"/>
          <w:szCs w:val="20"/>
          <w:color w:val="auto"/>
        </w:rPr>
      </w:pPr>
    </w:p>
    <w:p>
      <w:pPr>
        <w:ind w:right="3179" w:firstLine="1048"/>
        <w:spacing w:after="0" w:line="256" w:lineRule="auto"/>
        <w:tabs>
          <w:tab w:leader="none" w:pos="141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Compensation: In addition to your Salary and Bonus, you shall earn, in respect of calendar year 1997 and each calendar year during the Employment Term after 1997, an additional amount ("Deferred Compensation"), the payment of which (together with the return thereon as provided in this paragraph 3(c)) shall be deferred until January of the first calendar year following the year in which you cease to be an executive officer of Viacom for purposes of the Securities Exchange Act of 1934, as amended. The amount of Deferred Compensation for calendar year 1997 shall be One Hundred Thousand Dollars ($100,000); for each subsequent calendar year during the Employment Term, the amount of Deferred Compensation shall be the excess of (X) 110% of the aggregate amount of the Salary and Deferred Compensation earned during the immediately preceding calendar year over (Y) $1,000,000 (e.g. the Deferred Compensation for the 1998 calendar year shall be ((110% x ($1,000,000 + 100,000)) - $1,000,000) = $210,000). Deferred Compensation shall be credited to a bookkeeping account maintained by Viacom on your behalf, the balance of which account shall periodically be credited (or debited) with deemed positive (or negative) return calculated in the same manner, and at the same times, as the deemed return on your account under the excess 401(k) plan of Viacom (as such plan may be amended from time to time) is determined. Viacom's obligation to pay the Deferred Compensation (including the return thereon provided for in this paragraph 3(c)) shall be an unfunded obligation to be satisfied from the general funds of</w:t>
      </w:r>
    </w:p>
    <w:p>
      <w:pPr>
        <w:sectPr>
          <w:pgSz w:w="11900" w:h="16838" w:orient="portrait"/>
          <w:cols w:equalWidth="0" w:num="1">
            <w:col w:w="10219"/>
          </w:cols>
          <w:pgMar w:left="240" w:top="475" w:right="1440" w:bottom="0" w:gutter="0" w:footer="0" w:header="0"/>
        </w:sectPr>
      </w:pPr>
    </w:p>
    <w:bookmarkStart w:id="340" w:name="page341"/>
    <w:bookmarkEnd w:id="340"/>
    <w:p>
      <w:pPr>
        <w:spacing w:after="0"/>
        <w:rPr>
          <w:sz w:val="20"/>
          <w:szCs w:val="20"/>
          <w:color w:val="auto"/>
        </w:rPr>
      </w:pPr>
      <w:r>
        <w:rPr>
          <w:rFonts w:ascii="Courier New" w:cs="Courier New" w:eastAsia="Courier New" w:hAnsi="Courier New"/>
          <w:sz w:val="14"/>
          <w:szCs w:val="14"/>
          <w:color w:val="auto"/>
        </w:rPr>
        <w:t>Viacom.</w:t>
      </w:r>
    </w:p>
    <w:p>
      <w:pPr>
        <w:sectPr>
          <w:pgSz w:w="11900" w:h="16838" w:orient="portrait"/>
          <w:cols w:equalWidth="0" w:num="1">
            <w:col w:w="10219"/>
          </w:cols>
          <w:pgMar w:left="240" w:top="142" w:right="1440" w:bottom="1440" w:gutter="0" w:footer="0" w:header="0"/>
        </w:sectPr>
      </w:pPr>
    </w:p>
    <w:bookmarkStart w:id="341" w:name="page342"/>
    <w:bookmarkEnd w:id="341"/>
    <w:p>
      <w:pPr>
        <w:spacing w:after="0"/>
        <w:rPr>
          <w:sz w:val="20"/>
          <w:szCs w:val="20"/>
          <w:color w:val="auto"/>
        </w:rPr>
      </w:pPr>
      <w:r>
        <w:rPr>
          <w:rFonts w:ascii="Courier New" w:cs="Courier New" w:eastAsia="Courier New" w:hAnsi="Courier New"/>
          <w:sz w:val="15"/>
          <w:szCs w:val="15"/>
          <w:color w:val="auto"/>
        </w:rPr>
        <w:t>Thomas E. Dooley</w:t>
      </w:r>
    </w:p>
    <w:p>
      <w:pPr>
        <w:spacing w:after="0"/>
        <w:rPr>
          <w:sz w:val="20"/>
          <w:szCs w:val="20"/>
          <w:color w:val="auto"/>
        </w:rPr>
      </w:pPr>
      <w:r>
        <w:rPr>
          <w:rFonts w:ascii="Courier New" w:cs="Courier New" w:eastAsia="Courier New" w:hAnsi="Courier New"/>
          <w:sz w:val="15"/>
          <w:szCs w:val="15"/>
          <w:color w:val="auto"/>
        </w:rPr>
        <w:t>January 1, 1996</w:t>
      </w:r>
    </w:p>
    <w:p>
      <w:pPr>
        <w:spacing w:after="0"/>
        <w:rPr>
          <w:sz w:val="20"/>
          <w:szCs w:val="20"/>
          <w:color w:val="auto"/>
        </w:rPr>
      </w:pPr>
      <w:r>
        <w:rPr>
          <w:rFonts w:ascii="Courier New" w:cs="Courier New" w:eastAsia="Courier New" w:hAnsi="Courier New"/>
          <w:sz w:val="15"/>
          <w:szCs w:val="15"/>
          <w:color w:val="auto"/>
        </w:rPr>
        <w:t>Page 3</w:t>
      </w:r>
    </w:p>
    <w:p>
      <w:pPr>
        <w:spacing w:after="0" w:line="338" w:lineRule="exact"/>
        <w:rPr>
          <w:sz w:val="20"/>
          <w:szCs w:val="20"/>
          <w:color w:val="auto"/>
        </w:rPr>
      </w:pPr>
    </w:p>
    <w:p>
      <w:pPr>
        <w:ind w:left="1580" w:hanging="532"/>
        <w:spacing w:after="0"/>
        <w:tabs>
          <w:tab w:leader="none" w:pos="158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Incentive Plans.</w:t>
      </w:r>
    </w:p>
    <w:p>
      <w:pPr>
        <w:spacing w:after="0" w:line="175" w:lineRule="exact"/>
        <w:rPr>
          <w:sz w:val="20"/>
          <w:szCs w:val="20"/>
          <w:color w:val="auto"/>
        </w:rPr>
      </w:pPr>
    </w:p>
    <w:p>
      <w:pPr>
        <w:ind w:left="1580" w:right="3179" w:hanging="532"/>
        <w:spacing w:after="0" w:line="238" w:lineRule="auto"/>
        <w:tabs>
          <w:tab w:leader="none" w:pos="1580"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Grant: You have been awarded a special grant (the "Special Grant") under Viacom's 1994 Long-Term Management Incentive Plan (the "1994 LTMIP") of stock options to purchase Two Hundred Fifty Thousand (250,000) shares of Viacom's Class B Common Stock, effective as of January 29, 1996 (the "Date of Special Grant"), with an exercise price of $40 for each share. The Special Grant shall vest in three equal installments on the second, third and fourth anniversaries of the Date of Special Grant.</w:t>
      </w:r>
    </w:p>
    <w:p>
      <w:pPr>
        <w:spacing w:after="0" w:line="178" w:lineRule="exact"/>
        <w:rPr>
          <w:rFonts w:ascii="Courier New" w:cs="Courier New" w:eastAsia="Courier New" w:hAnsi="Courier New"/>
          <w:sz w:val="15"/>
          <w:szCs w:val="15"/>
          <w:color w:val="auto"/>
        </w:rPr>
      </w:pPr>
    </w:p>
    <w:p>
      <w:pPr>
        <w:ind w:left="1580" w:right="3179" w:hanging="532"/>
        <w:spacing w:after="0" w:line="238" w:lineRule="auto"/>
        <w:tabs>
          <w:tab w:leader="none" w:pos="1580"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Grants: In addition to the Special Grant, you shall receive an annual grant (the "Annual Grant") for each calendar year during the Employment Term under the 1994 LTMIP or any successor plans (collectively, the "LTMIP") of stock options to purchase One Hundred Fifty Thousand (150,000) shares of Class B Common Stock; provided, that the amount of the Annual Grant shall be adjusted in the event of a stock split or a stock dividend. Each Annual Grant shall be made as of August 1st or the date as of which the Compensation Committee of the Viacom Board of Directors shall award the major stock option grant under the LTMIP to Viacom's senior executives for such calendar year. Each Annual Grant shall vest in three equal installments on the second, third and fourth anniversaries of the date of grant.</w:t>
      </w:r>
    </w:p>
    <w:p>
      <w:pPr>
        <w:spacing w:after="0" w:line="347" w:lineRule="exact"/>
        <w:rPr>
          <w:rFonts w:ascii="Courier New" w:cs="Courier New" w:eastAsia="Courier New" w:hAnsi="Courier New"/>
          <w:sz w:val="15"/>
          <w:szCs w:val="15"/>
          <w:color w:val="auto"/>
        </w:rPr>
      </w:pPr>
    </w:p>
    <w:p>
      <w:pPr>
        <w:ind w:left="1040" w:hanging="521"/>
        <w:spacing w:after="0"/>
        <w:tabs>
          <w:tab w:leader="none" w:pos="104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Benefits.</w:t>
      </w:r>
    </w:p>
    <w:p>
      <w:pPr>
        <w:spacing w:after="0" w:line="175" w:lineRule="exact"/>
        <w:rPr>
          <w:sz w:val="20"/>
          <w:szCs w:val="20"/>
          <w:color w:val="auto"/>
        </w:rPr>
      </w:pPr>
    </w:p>
    <w:p>
      <w:pPr>
        <w:ind w:right="3179" w:firstLine="1048"/>
        <w:spacing w:after="0" w:line="238" w:lineRule="auto"/>
        <w:tabs>
          <w:tab w:leader="none" w:pos="141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shall be entitled to participate in such medical, dental and life insurance, 401(k), pension and other plans as Viacom may have or establish from time to time and in which you would be entitled to participate pursuant to the terms thereof. The foregoing, however, shall not be construed to require Viacom to establish any such plans or to prevent the modification or termination of such plans once established, and no such action or failure thereof shall affect this Agreement; provided, however, that no modification of any plans in which you participate shall be made which results in treating you less favorably than other senior executives of Viacom. It is further understood and agreed that all benefits you may be entitled to as an employee of Viacom shall be based upon your Salary, as set forth in paragraph 3(a) hereof, and not upon any bonus compensation due, payable or paid to you hereunder, except where the benefit plan expressly provides otherwise. You shall be entitled to four (4) weeks vacation.</w:t>
      </w:r>
    </w:p>
    <w:p>
      <w:pPr>
        <w:sectPr>
          <w:pgSz w:w="11900" w:h="16838" w:orient="portrait"/>
          <w:cols w:equalWidth="0" w:num="1">
            <w:col w:w="10219"/>
          </w:cols>
          <w:pgMar w:left="240" w:top="622" w:right="1440" w:bottom="1440" w:gutter="0" w:footer="0" w:header="0"/>
        </w:sectPr>
      </w:pPr>
    </w:p>
    <w:bookmarkStart w:id="342" w:name="page343"/>
    <w:bookmarkEnd w:id="342"/>
    <w:p>
      <w:pPr>
        <w:ind w:left="10"/>
        <w:spacing w:after="0"/>
        <w:rPr>
          <w:sz w:val="20"/>
          <w:szCs w:val="20"/>
          <w:color w:val="auto"/>
        </w:rPr>
      </w:pPr>
      <w:r>
        <w:rPr>
          <w:rFonts w:ascii="Courier New" w:cs="Courier New" w:eastAsia="Courier New" w:hAnsi="Courier New"/>
          <w:sz w:val="15"/>
          <w:szCs w:val="15"/>
          <w:color w:val="auto"/>
        </w:rPr>
        <w:t>Thomas E. Dooley</w:t>
      </w:r>
    </w:p>
    <w:p>
      <w:pPr>
        <w:ind w:left="10"/>
        <w:spacing w:after="0"/>
        <w:rPr>
          <w:sz w:val="20"/>
          <w:szCs w:val="20"/>
          <w:color w:val="auto"/>
        </w:rPr>
      </w:pPr>
      <w:r>
        <w:rPr>
          <w:rFonts w:ascii="Courier New" w:cs="Courier New" w:eastAsia="Courier New" w:hAnsi="Courier New"/>
          <w:sz w:val="15"/>
          <w:szCs w:val="15"/>
          <w:color w:val="auto"/>
        </w:rPr>
        <w:t>January 1, 1996</w:t>
      </w:r>
    </w:p>
    <w:p>
      <w:pPr>
        <w:ind w:left="10"/>
        <w:spacing w:after="0"/>
        <w:rPr>
          <w:sz w:val="20"/>
          <w:szCs w:val="20"/>
          <w:color w:val="auto"/>
        </w:rPr>
      </w:pPr>
      <w:r>
        <w:rPr>
          <w:rFonts w:ascii="Courier New" w:cs="Courier New" w:eastAsia="Courier New" w:hAnsi="Courier New"/>
          <w:sz w:val="15"/>
          <w:szCs w:val="15"/>
          <w:color w:val="auto"/>
        </w:rPr>
        <w:t>Page 4</w:t>
      </w:r>
    </w:p>
    <w:p>
      <w:pPr>
        <w:spacing w:after="0" w:line="343" w:lineRule="exact"/>
        <w:rPr>
          <w:sz w:val="20"/>
          <w:szCs w:val="20"/>
          <w:color w:val="auto"/>
        </w:rPr>
      </w:pPr>
    </w:p>
    <w:p>
      <w:pPr>
        <w:ind w:left="10" w:right="3179" w:firstLine="1048"/>
        <w:spacing w:after="0" w:line="259" w:lineRule="auto"/>
        <w:tabs>
          <w:tab w:leader="none" w:pos="1420" w:val="left"/>
        </w:tabs>
        <w:numPr>
          <w:ilvl w:val="2"/>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shall provide you with no less than Five Million Dollars ($5,000,000) of life insurance during the Employment Term. You shall have the right to assign the policy for such life insurance to your spouse or issue or to a trust or trusts primarily for the benefit of your spouse and/or issue.</w:t>
      </w:r>
    </w:p>
    <w:p>
      <w:pPr>
        <w:spacing w:after="0" w:line="332" w:lineRule="exact"/>
        <w:rPr>
          <w:rFonts w:ascii="Courier New" w:cs="Courier New" w:eastAsia="Courier New" w:hAnsi="Courier New"/>
          <w:sz w:val="14"/>
          <w:szCs w:val="14"/>
          <w:color w:val="auto"/>
        </w:rPr>
      </w:pPr>
    </w:p>
    <w:p>
      <w:pPr>
        <w:ind w:left="10" w:right="3259" w:firstLine="519"/>
        <w:spacing w:after="0" w:line="237" w:lineRule="auto"/>
        <w:tabs>
          <w:tab w:leader="none" w:pos="803"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Expenses. During the Employment Term, you shall be reimbursed for such reasonable travel and other expenses incurred in the performance of your duties hereunder as are customarily reimbursed to senior executives of Viacom. You shall be entitled to a car allowance and insurance in accordance with Viacom's policy.</w:t>
      </w:r>
    </w:p>
    <w:p>
      <w:pPr>
        <w:spacing w:after="0" w:line="172" w:lineRule="exact"/>
        <w:rPr>
          <w:rFonts w:ascii="Courier New" w:cs="Courier New" w:eastAsia="Courier New" w:hAnsi="Courier New"/>
          <w:sz w:val="15"/>
          <w:szCs w:val="15"/>
          <w:color w:val="auto"/>
        </w:rPr>
      </w:pPr>
    </w:p>
    <w:p>
      <w:pPr>
        <w:ind w:left="1050" w:hanging="521"/>
        <w:spacing w:after="0"/>
        <w:tabs>
          <w:tab w:leader="none" w:pos="1050"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Exclusive Employment, Confidential Information, Etc.</w:t>
      </w:r>
    </w:p>
    <w:p>
      <w:pPr>
        <w:spacing w:after="0" w:line="174" w:lineRule="exact"/>
        <w:rPr>
          <w:rFonts w:ascii="Courier New" w:cs="Courier New" w:eastAsia="Courier New" w:hAnsi="Courier New"/>
          <w:sz w:val="15"/>
          <w:szCs w:val="15"/>
          <w:color w:val="auto"/>
        </w:rPr>
      </w:pPr>
    </w:p>
    <w:p>
      <w:pPr>
        <w:ind w:left="10" w:right="3259" w:firstLine="1048"/>
        <w:spacing w:after="0" w:line="256" w:lineRule="auto"/>
        <w:tabs>
          <w:tab w:leader="none" w:pos="1420" w:val="left"/>
        </w:tabs>
        <w:numPr>
          <w:ilvl w:val="2"/>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Non-Competition. You agree that your employment hereunder is on an exclusive basis, and that during the shorter of (x) the Employment Term and</w:t>
      </w:r>
    </w:p>
    <w:p>
      <w:pPr>
        <w:ind w:left="10" w:right="3179" w:hanging="10"/>
        <w:spacing w:after="0" w:line="238" w:lineRule="auto"/>
        <w:tabs>
          <w:tab w:leader="none" w:pos="362"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(1) year after the termination of your employment pursuant to paragraph 8(b) or 8(c) hereof or eighteen (18) months after the termination of your employment pursuant to paragraph 8(a) hereof (the "Non-Compete Period"), you will not engage in any other business activity which is in conflict with your duties and obligations hereunder. You agree that during the Non-Compete Period you shall not directly or indirectly engage in or participate as an officer, employee, director, agent of or consultant for any business directly competitive with that of Viacom, nor shall you make any investments in any company or business competing with Viacom; provided, however, that nothing herein shall prevent you from investing as less than a one (1%) percent shareholder in the securities of any company listed on a national securities exchange or quoted on an automated quotation system.</w:t>
      </w:r>
    </w:p>
    <w:p>
      <w:pPr>
        <w:spacing w:after="0" w:line="181" w:lineRule="exact"/>
        <w:rPr>
          <w:rFonts w:ascii="Courier New" w:cs="Courier New" w:eastAsia="Courier New" w:hAnsi="Courier New"/>
          <w:sz w:val="15"/>
          <w:szCs w:val="15"/>
          <w:color w:val="auto"/>
        </w:rPr>
      </w:pPr>
    </w:p>
    <w:p>
      <w:pPr>
        <w:ind w:left="10" w:right="3179" w:firstLine="1048"/>
        <w:spacing w:after="0" w:line="238" w:lineRule="auto"/>
        <w:tabs>
          <w:tab w:leader="none" w:pos="1420" w:val="left"/>
        </w:tabs>
        <w:numPr>
          <w:ilvl w:val="2"/>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You agree that you shall not, during the Employment Term or at any time thereafter, use for your own purposes, or disclose to or for the benefit of any third party, any trade secret or other confidential information of Viacom or any of its affiliates (except as may be required by law or in the performance of your duties hereunder consistent with Viacom's policies) and that you will comply with any confidentiality obligations of Viacom to a third party, whether under agreement or otherwise. Notwithstanding the foregoing, confidential information shall be deemed not to include information which (i) is or becomes generally available to the public other than as a result of a disclosure by you or any other person who directly or indirectly receives such information from you or at your direction or (ii) is or becomes available to you on a non-confidential basis from a source which is entitled to disclose it to you.</w:t>
      </w:r>
    </w:p>
    <w:p>
      <w:pPr>
        <w:spacing w:after="0" w:line="182" w:lineRule="exact"/>
        <w:rPr>
          <w:rFonts w:ascii="Courier New" w:cs="Courier New" w:eastAsia="Courier New" w:hAnsi="Courier New"/>
          <w:sz w:val="15"/>
          <w:szCs w:val="15"/>
          <w:color w:val="auto"/>
        </w:rPr>
      </w:pPr>
    </w:p>
    <w:p>
      <w:pPr>
        <w:ind w:left="10" w:right="3259" w:firstLine="1048"/>
        <w:spacing w:after="0" w:line="265" w:lineRule="auto"/>
        <w:tabs>
          <w:tab w:leader="none" w:pos="1420" w:val="left"/>
        </w:tabs>
        <w:numPr>
          <w:ilvl w:val="2"/>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Employee Solicitation. You agree that, during the Employment Term and for one (1) year thereafter, you shall not, directly or indirectly,</w:t>
      </w:r>
    </w:p>
    <w:p>
      <w:pPr>
        <w:sectPr>
          <w:pgSz w:w="11900" w:h="16838" w:orient="portrait"/>
          <w:cols w:equalWidth="0" w:num="1">
            <w:col w:w="10229"/>
          </w:cols>
          <w:pgMar w:left="230" w:top="622" w:right="1440" w:bottom="1440" w:gutter="0" w:footer="0" w:header="0"/>
        </w:sectPr>
      </w:pPr>
    </w:p>
    <w:bookmarkStart w:id="343" w:name="page344"/>
    <w:bookmarkEnd w:id="343"/>
    <w:p>
      <w:pPr>
        <w:ind w:left="10"/>
        <w:spacing w:after="0"/>
        <w:rPr>
          <w:sz w:val="20"/>
          <w:szCs w:val="20"/>
          <w:color w:val="auto"/>
        </w:rPr>
      </w:pPr>
      <w:r>
        <w:rPr>
          <w:rFonts w:ascii="Courier New" w:cs="Courier New" w:eastAsia="Courier New" w:hAnsi="Courier New"/>
          <w:sz w:val="15"/>
          <w:szCs w:val="15"/>
          <w:color w:val="auto"/>
        </w:rPr>
        <w:t>Thomas E. Dooley</w:t>
      </w:r>
    </w:p>
    <w:p>
      <w:pPr>
        <w:ind w:left="10"/>
        <w:spacing w:after="0"/>
        <w:rPr>
          <w:sz w:val="20"/>
          <w:szCs w:val="20"/>
          <w:color w:val="auto"/>
        </w:rPr>
      </w:pPr>
      <w:r>
        <w:rPr>
          <w:rFonts w:ascii="Courier New" w:cs="Courier New" w:eastAsia="Courier New" w:hAnsi="Courier New"/>
          <w:sz w:val="15"/>
          <w:szCs w:val="15"/>
          <w:color w:val="auto"/>
        </w:rPr>
        <w:t>January 1, 1996</w:t>
      </w:r>
    </w:p>
    <w:p>
      <w:pPr>
        <w:ind w:left="10"/>
        <w:spacing w:after="0"/>
        <w:rPr>
          <w:sz w:val="20"/>
          <w:szCs w:val="20"/>
          <w:color w:val="auto"/>
        </w:rPr>
      </w:pPr>
      <w:r>
        <w:rPr>
          <w:rFonts w:ascii="Courier New" w:cs="Courier New" w:eastAsia="Courier New" w:hAnsi="Courier New"/>
          <w:sz w:val="15"/>
          <w:szCs w:val="15"/>
          <w:color w:val="auto"/>
        </w:rPr>
        <w:t>Page 5</w:t>
      </w:r>
    </w:p>
    <w:p>
      <w:pPr>
        <w:spacing w:after="0" w:line="343"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engage, employ, or solicit the employment of any person who is then or has been within six (6) months prior thereto, an employee of Viacom or any of Viacom's affiliates.</w:t>
      </w:r>
    </w:p>
    <w:p>
      <w:pPr>
        <w:spacing w:after="0" w:line="175" w:lineRule="exact"/>
        <w:rPr>
          <w:sz w:val="20"/>
          <w:szCs w:val="20"/>
          <w:color w:val="auto"/>
        </w:rPr>
      </w:pPr>
    </w:p>
    <w:p>
      <w:pPr>
        <w:ind w:left="10" w:right="3179" w:firstLine="1048"/>
        <w:spacing w:after="0" w:line="256" w:lineRule="auto"/>
        <w:tabs>
          <w:tab w:leader="none" w:pos="1420" w:val="left"/>
        </w:tabs>
        <w:numPr>
          <w:ilvl w:val="1"/>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Ownership. The results and proceeds of your services hereunder, including, without limitation, any works of authorship resulting from your services during your employment with Viacom and/or any of its affiliates and any works in progress, shall be works-made-for-hire and Viacom shall be deemed the sole owner throughout the universe of any and all rights of whatsoever nature therein, whether or not now or hereafter known, existing, contemplated, recognized or developed, with the right to use the same in perpetuity in any manner Viacom determines in its sole discretion without any further payment to you whatsoever. If, for any reason, any of such results and proceeds shall not legally be a work-for-hire and/or there are any rights which do not accrue to Viacom under the preceding sentence, then you hereby irrevocably assign and agree to assign any and all of your right, title and interest thereto, including, without limitation, any and all copyrights, patents, trade secrets, trademarks and/or other rights of whatsoever nature therein, whether or not now or hereafter known, existing, contemplated, recognized or developed to Viacom, and Viacom shall have the right to use the same in perpetuity throughout the universe in any manner Viacom determines without any further payment to you whatsoever. You shall, from time to time, as may be requested by Viacom, do any and all things which Viacom may deem useful or desirable to establish or document Viacom's exclusive ownership of any and all rights in any such results and proceeds, including, without limitation, the execution of appropriate copyright and/or patent applications or assignments. To the extent you have any rights in the results and proceeds of your services that cannot be assigned in the manner described above, you unconditionally and irrevocably waive the enforcement of such rights. This paragraph 6(d) is subject to, and shall not be deemed to limit, restrict, or constitute any waiver by Viacom of any rights of ownership to which Viacom may be entitled by operation of law by virtue of Viacom or any of its affiliates being your employer.</w:t>
      </w:r>
    </w:p>
    <w:p>
      <w:pPr>
        <w:spacing w:after="0" w:line="348" w:lineRule="exact"/>
        <w:rPr>
          <w:rFonts w:ascii="Courier New" w:cs="Courier New" w:eastAsia="Courier New" w:hAnsi="Courier New"/>
          <w:sz w:val="14"/>
          <w:szCs w:val="14"/>
          <w:color w:val="auto"/>
        </w:rPr>
      </w:pPr>
    </w:p>
    <w:p>
      <w:pPr>
        <w:ind w:left="1410" w:hanging="352"/>
        <w:spacing w:after="0"/>
        <w:tabs>
          <w:tab w:leader="none" w:pos="1410" w:val="left"/>
        </w:tabs>
        <w:numPr>
          <w:ilvl w:val="1"/>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Litigation. You agree that, during the Employment Term, for one</w:t>
      </w:r>
    </w:p>
    <w:p>
      <w:pPr>
        <w:spacing w:after="0" w:line="5" w:lineRule="exact"/>
        <w:rPr>
          <w:rFonts w:ascii="Courier New" w:cs="Courier New" w:eastAsia="Courier New" w:hAnsi="Courier New"/>
          <w:sz w:val="14"/>
          <w:szCs w:val="14"/>
          <w:color w:val="auto"/>
        </w:rPr>
      </w:pPr>
    </w:p>
    <w:p>
      <w:pPr>
        <w:ind w:left="350" w:hanging="350"/>
        <w:spacing w:after="0"/>
        <w:tabs>
          <w:tab w:leader="none" w:pos="35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 thereafter and, if longer, during the pendancy of any litigation or</w:t>
      </w:r>
    </w:p>
    <w:p>
      <w:pPr>
        <w:spacing w:after="0" w:line="4" w:lineRule="exact"/>
        <w:rPr>
          <w:rFonts w:ascii="Courier New" w:cs="Courier New" w:eastAsia="Courier New" w:hAnsi="Courier New"/>
          <w:sz w:val="15"/>
          <w:szCs w:val="15"/>
          <w:color w:val="auto"/>
        </w:rPr>
      </w:pPr>
    </w:p>
    <w:p>
      <w:pPr>
        <w:ind w:left="1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other proceeding, (i) you shall not communicate with anyone (other than your own attorneys and tax advisors and, except to the extent necessary in the performance of your duties hereunder) with respect to the facts or subject matter of any pending or potential litigation, or regulatory or administrative proceeding involving any of Viacom's affiliates, other than any litigation or other proceeding in which you are a party-in-opposition, without giving prior notice to Viacom or Viacom's counsel, and (ii) in the event that any other party attempts to obtain information or documents from you with respect to matters possibly related to such litigation or other proceeding, you shall promptly so notify Viacom's counsel.</w:t>
      </w:r>
    </w:p>
    <w:p>
      <w:pPr>
        <w:sectPr>
          <w:pgSz w:w="11900" w:h="16838" w:orient="portrait"/>
          <w:cols w:equalWidth="0" w:num="1">
            <w:col w:w="10229"/>
          </w:cols>
          <w:pgMar w:left="230" w:top="622" w:right="1440" w:bottom="1440" w:gutter="0" w:footer="0" w:header="0"/>
        </w:sectPr>
      </w:pPr>
    </w:p>
    <w:bookmarkStart w:id="344" w:name="page345"/>
    <w:bookmarkEnd w:id="344"/>
    <w:p>
      <w:pPr>
        <w:spacing w:after="0"/>
        <w:rPr>
          <w:sz w:val="20"/>
          <w:szCs w:val="20"/>
          <w:color w:val="auto"/>
        </w:rPr>
      </w:pPr>
      <w:r>
        <w:rPr>
          <w:rFonts w:ascii="Courier New" w:cs="Courier New" w:eastAsia="Courier New" w:hAnsi="Courier New"/>
          <w:sz w:val="15"/>
          <w:szCs w:val="15"/>
          <w:color w:val="auto"/>
        </w:rPr>
        <w:t>Thomas E. Dooley</w:t>
      </w:r>
    </w:p>
    <w:p>
      <w:pPr>
        <w:spacing w:after="0"/>
        <w:rPr>
          <w:sz w:val="20"/>
          <w:szCs w:val="20"/>
          <w:color w:val="auto"/>
        </w:rPr>
      </w:pPr>
      <w:r>
        <w:rPr>
          <w:rFonts w:ascii="Courier New" w:cs="Courier New" w:eastAsia="Courier New" w:hAnsi="Courier New"/>
          <w:sz w:val="15"/>
          <w:szCs w:val="15"/>
          <w:color w:val="auto"/>
        </w:rPr>
        <w:t>January 1, 1996</w:t>
      </w:r>
    </w:p>
    <w:p>
      <w:pPr>
        <w:spacing w:after="0"/>
        <w:rPr>
          <w:sz w:val="20"/>
          <w:szCs w:val="20"/>
          <w:color w:val="auto"/>
        </w:rPr>
      </w:pPr>
      <w:r>
        <w:rPr>
          <w:rFonts w:ascii="Courier New" w:cs="Courier New" w:eastAsia="Courier New" w:hAnsi="Courier New"/>
          <w:sz w:val="15"/>
          <w:szCs w:val="15"/>
          <w:color w:val="auto"/>
        </w:rPr>
        <w:t>Page 6</w:t>
      </w:r>
    </w:p>
    <w:p>
      <w:pPr>
        <w:spacing w:after="0" w:line="343" w:lineRule="exact"/>
        <w:rPr>
          <w:sz w:val="20"/>
          <w:szCs w:val="20"/>
          <w:color w:val="auto"/>
        </w:rPr>
      </w:pPr>
    </w:p>
    <w:p>
      <w:pPr>
        <w:ind w:right="3179" w:firstLine="1048"/>
        <w:spacing w:after="0" w:line="238" w:lineRule="auto"/>
        <w:tabs>
          <w:tab w:leader="none" w:pos="141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 to Write Books, Articles, Etc. During the Employment Term, except as authorized by Viacom, you shall not prepare or assist any person or entity in the preparation of any books, articles, television or motion picture productions or other creations, concerning Viacom or any of Viacom's affiliates or any of their officers, directors, agents, employees, suppliers or customers.</w:t>
      </w:r>
    </w:p>
    <w:p>
      <w:pPr>
        <w:spacing w:after="0" w:line="175" w:lineRule="exact"/>
        <w:rPr>
          <w:rFonts w:ascii="Courier New" w:cs="Courier New" w:eastAsia="Courier New" w:hAnsi="Courier New"/>
          <w:sz w:val="15"/>
          <w:szCs w:val="15"/>
          <w:color w:val="auto"/>
        </w:rPr>
      </w:pPr>
    </w:p>
    <w:p>
      <w:pPr>
        <w:ind w:right="3179" w:firstLine="1048"/>
        <w:spacing w:after="0" w:line="238" w:lineRule="auto"/>
        <w:tabs>
          <w:tab w:leader="none" w:pos="141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of Property. All documents, data, recordings, or other property, whether tangible or intangible, including all information stored in electronic form, obtained or prepared by or for you and utilized by you in the course of your employment with Viacom or any of its affiliates shall remain the exclusive property of Viacom. In the event of the termination of your employment for any reason, Viacom reserves the right, to the extent permitted by law and in addition to any other remedy Viacom may have, to deduct from any monies otherwise payable to you the following: (i) the full amount of any debt you owe to Viacom or any of its affiliates at the time of or subsequent to the termination of your employment with Viacom, and (ii) the value of the Viacom property which you retain in your possession after the termination of your employment with Viacom. In the event that the law of any state or other jurisdiction requires the consent of an employee for such deductions, this Agreement shall serve as such consent.</w:t>
      </w:r>
    </w:p>
    <w:p>
      <w:pPr>
        <w:spacing w:after="0" w:line="183" w:lineRule="exact"/>
        <w:rPr>
          <w:rFonts w:ascii="Courier New" w:cs="Courier New" w:eastAsia="Courier New" w:hAnsi="Courier New"/>
          <w:sz w:val="15"/>
          <w:szCs w:val="15"/>
          <w:color w:val="auto"/>
        </w:rPr>
      </w:pPr>
    </w:p>
    <w:p>
      <w:pPr>
        <w:ind w:right="3179" w:firstLine="1048"/>
        <w:spacing w:after="0" w:line="238" w:lineRule="auto"/>
        <w:tabs>
          <w:tab w:leader="none" w:pos="141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Non-Disparagement. You and, to the extent set forth in the next sentence, Viacom agree that each party shall not, during the Employment Term and for one (1) year thereafter criticize, ridicule or make any statement which disparages or is derogatory of the other party in any communications with any customer or client. Viacom's obligations under the preceding sentence shall be limited to communications by its senior corporate executives having the rank of Senior Vice President or above.</w:t>
      </w:r>
    </w:p>
    <w:p>
      <w:pPr>
        <w:spacing w:after="0" w:line="176" w:lineRule="exact"/>
        <w:rPr>
          <w:rFonts w:ascii="Courier New" w:cs="Courier New" w:eastAsia="Courier New" w:hAnsi="Courier New"/>
          <w:sz w:val="15"/>
          <w:szCs w:val="15"/>
          <w:color w:val="auto"/>
        </w:rPr>
      </w:pPr>
    </w:p>
    <w:p>
      <w:pPr>
        <w:ind w:right="3179" w:firstLine="1048"/>
        <w:spacing w:after="0" w:line="258" w:lineRule="auto"/>
        <w:tabs>
          <w:tab w:leader="none" w:pos="141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Injunctive Relief. Viacom has entered into this Agreement in order to obtain the benefit of your unique skills, talent, and experience. You acknowledge and agree that any violation of paragraphs 6(a) through (h) hereof will result in irreparable damage to Viacom, and, accordingly, Viacom may obtain injunctive and other equitable relief for any breach or threatened breach of such paragraphs, in addition to any other remedies available to Viacom.</w:t>
      </w:r>
    </w:p>
    <w:p>
      <w:pPr>
        <w:spacing w:after="0" w:line="163" w:lineRule="exact"/>
        <w:rPr>
          <w:rFonts w:ascii="Courier New" w:cs="Courier New" w:eastAsia="Courier New" w:hAnsi="Courier New"/>
          <w:sz w:val="14"/>
          <w:szCs w:val="14"/>
          <w:color w:val="auto"/>
        </w:rPr>
      </w:pPr>
    </w:p>
    <w:p>
      <w:pPr>
        <w:ind w:right="3179" w:firstLine="1048"/>
        <w:spacing w:after="0" w:line="257" w:lineRule="auto"/>
        <w:tabs>
          <w:tab w:leader="none" w:pos="141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Survival; Modification of Terms. Your obligations under paragraphs 6(a) through (i) hereof shall remain in full force and effect for the entire period provided therein notwithstanding the termination of the Employment Term pursuant to paragraph 8 hereof or otherwise; provided, however, that your obligations under paragraph 6(a) shall cease if you terminate your employment for "Good Reason" or Viacom terminates your employment without "cause" (as such terms are defined in paragraph 8) and you notify Viacom in writing that you have elected to waive your right to receive, or to continue to receive, payments and benefits pursuant to clauses (i), (ii), (iii), (iv), (v) and (vi) of paragraph 8(d). You and Viacom agree that the restrictions and remedies contained in</w:t>
      </w:r>
    </w:p>
    <w:p>
      <w:pPr>
        <w:sectPr>
          <w:pgSz w:w="11900" w:h="16838" w:orient="portrait"/>
          <w:cols w:equalWidth="0" w:num="1">
            <w:col w:w="10219"/>
          </w:cols>
          <w:pgMar w:left="240" w:top="622" w:right="1440" w:bottom="1440" w:gutter="0" w:footer="0" w:header="0"/>
        </w:sectPr>
      </w:pPr>
    </w:p>
    <w:bookmarkStart w:id="345" w:name="page346"/>
    <w:bookmarkEnd w:id="345"/>
    <w:p>
      <w:pPr>
        <w:spacing w:after="0"/>
        <w:rPr>
          <w:sz w:val="20"/>
          <w:szCs w:val="20"/>
          <w:color w:val="auto"/>
        </w:rPr>
      </w:pPr>
      <w:r>
        <w:rPr>
          <w:rFonts w:ascii="Courier New" w:cs="Courier New" w:eastAsia="Courier New" w:hAnsi="Courier New"/>
          <w:sz w:val="15"/>
          <w:szCs w:val="15"/>
          <w:color w:val="auto"/>
        </w:rPr>
        <w:t>Thomas E. Dooley</w:t>
      </w:r>
    </w:p>
    <w:p>
      <w:pPr>
        <w:spacing w:after="0"/>
        <w:rPr>
          <w:sz w:val="20"/>
          <w:szCs w:val="20"/>
          <w:color w:val="auto"/>
        </w:rPr>
      </w:pPr>
      <w:r>
        <w:rPr>
          <w:rFonts w:ascii="Courier New" w:cs="Courier New" w:eastAsia="Courier New" w:hAnsi="Courier New"/>
          <w:sz w:val="15"/>
          <w:szCs w:val="15"/>
          <w:color w:val="auto"/>
        </w:rPr>
        <w:t>January 1, 1996</w:t>
      </w:r>
    </w:p>
    <w:p>
      <w:pPr>
        <w:spacing w:after="0"/>
        <w:rPr>
          <w:sz w:val="20"/>
          <w:szCs w:val="20"/>
          <w:color w:val="auto"/>
        </w:rPr>
      </w:pPr>
      <w:r>
        <w:rPr>
          <w:rFonts w:ascii="Courier New" w:cs="Courier New" w:eastAsia="Courier New" w:hAnsi="Courier New"/>
          <w:sz w:val="15"/>
          <w:szCs w:val="15"/>
          <w:color w:val="auto"/>
        </w:rPr>
        <w:t>Page 7</w:t>
      </w:r>
    </w:p>
    <w:p>
      <w:pPr>
        <w:spacing w:after="0" w:line="343"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paragraphs 6(a) through (i) are reasonable and that it is your intention and the intention of Viacom that such restrictions and remedies shall be enforceable to the fullest extent permissible by law. If it shall be found by a court of competent jurisdiction that any such restriction or remedy is unenforceable but would be enforceable if some part thereof were deleted or the period or area of application reduced, then such restriction or remedy shall apply with such modification as shall be necessary to make it enforceable.</w:t>
      </w:r>
    </w:p>
    <w:p>
      <w:pPr>
        <w:spacing w:after="0" w:line="167" w:lineRule="exact"/>
        <w:rPr>
          <w:sz w:val="20"/>
          <w:szCs w:val="20"/>
          <w:color w:val="auto"/>
        </w:rPr>
      </w:pPr>
    </w:p>
    <w:p>
      <w:pPr>
        <w:ind w:right="3179" w:firstLine="519"/>
        <w:spacing w:after="0" w:line="238" w:lineRule="auto"/>
        <w:tabs>
          <w:tab w:leader="none" w:pos="793"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Incapacity. In the event you become totally medically disabled at any time during the Employment Term and are not expected to be able to substantially perform your duties for a six (6) month period, the Chairman, at any time after such disability has in fact continued for 60 consecutive days, may determine that Viacom requires such duties and responsibilities be performed by another executive. In the event you become disabled, you will first receive benefits under Viacom's short-term disability program for the first 26 weeks of consecutive absence. Thereafter, you will be eligible to receive benefits under Viacom's Long-Term Disability ("LTD") program in accordance with its terms. Upon receipt of benefits under the LTD program, you will also be entitled to receive, subject to applicable withholding taxes:</w:t>
      </w:r>
    </w:p>
    <w:p>
      <w:pPr>
        <w:spacing w:after="0" w:line="181" w:lineRule="exact"/>
        <w:rPr>
          <w:sz w:val="20"/>
          <w:szCs w:val="20"/>
          <w:color w:val="auto"/>
        </w:rPr>
      </w:pPr>
    </w:p>
    <w:p>
      <w:pPr>
        <w:ind w:left="1040" w:right="3359" w:hanging="521"/>
        <w:spacing w:after="0" w:line="237" w:lineRule="auto"/>
        <w:tabs>
          <w:tab w:leader="none" w:pos="104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pro-rated Target Bonus for the calendar year in which such benefits commence, payable at the time the Bonus for such calendar year would otherwise be paid;</w:t>
      </w:r>
    </w:p>
    <w:p>
      <w:pPr>
        <w:spacing w:after="0" w:line="174" w:lineRule="exact"/>
        <w:rPr>
          <w:rFonts w:ascii="Courier New" w:cs="Courier New" w:eastAsia="Courier New" w:hAnsi="Courier New"/>
          <w:sz w:val="15"/>
          <w:szCs w:val="15"/>
          <w:color w:val="auto"/>
        </w:rPr>
      </w:pPr>
    </w:p>
    <w:p>
      <w:pPr>
        <w:ind w:left="1040" w:right="3179" w:hanging="521"/>
        <w:spacing w:after="0" w:line="258" w:lineRule="auto"/>
        <w:tabs>
          <w:tab w:leader="none" w:pos="104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pro-rated Deferred Compensation for the calendar year in which such benefits commence and Deferred Compensation attributable to prior calendar years, payable, together with the return thereon as provided in paragraph 3(c), prior to January 31 of the calendar year following the calendar year in which such benefits commence; and</w:t>
      </w:r>
    </w:p>
    <w:p>
      <w:pPr>
        <w:spacing w:after="0" w:line="164" w:lineRule="exact"/>
        <w:rPr>
          <w:rFonts w:ascii="Courier New" w:cs="Courier New" w:eastAsia="Courier New" w:hAnsi="Courier New"/>
          <w:sz w:val="14"/>
          <w:szCs w:val="14"/>
          <w:color w:val="auto"/>
        </w:rPr>
      </w:pPr>
    </w:p>
    <w:p>
      <w:pPr>
        <w:ind w:left="1040" w:right="3179" w:hanging="521"/>
        <w:spacing w:after="0" w:line="237" w:lineRule="auto"/>
        <w:tabs>
          <w:tab w:leader="none" w:pos="104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with respect to grants to you under Viacom's 1989 Long-Term Management Incentive Plan (the "1989 LTMIP") and the LTMIP (the 1989 LTMIP and the LTMIP are collectively referred to as the "LTMIP Plans"):</w:t>
      </w:r>
    </w:p>
    <w:p>
      <w:pPr>
        <w:spacing w:after="0" w:line="176" w:lineRule="exact"/>
        <w:rPr>
          <w:rFonts w:ascii="Courier New" w:cs="Courier New" w:eastAsia="Courier New" w:hAnsi="Courier New"/>
          <w:sz w:val="15"/>
          <w:szCs w:val="15"/>
          <w:color w:val="auto"/>
        </w:rPr>
      </w:pPr>
    </w:p>
    <w:p>
      <w:pPr>
        <w:ind w:left="1580" w:right="3179" w:hanging="532"/>
        <w:spacing w:after="0" w:line="238" w:lineRule="auto"/>
        <w:tabs>
          <w:tab w:leader="none" w:pos="1580" w:val="left"/>
        </w:tabs>
        <w:numPr>
          <w:ilvl w:val="1"/>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granted to you under the LTMIP Plans which are exercisable on or prior to the date as of which benefits commence under the LTD program or that would have vested and become exercisable on or before the last day of the Employment Term will be exercisable for one (1) year after the date as of which such benefits commence or, if earlier, the expiration date of the stock options;</w:t>
      </w:r>
    </w:p>
    <w:p>
      <w:pPr>
        <w:sectPr>
          <w:pgSz w:w="11900" w:h="16838" w:orient="portrait"/>
          <w:cols w:equalWidth="0" w:num="1">
            <w:col w:w="10219"/>
          </w:cols>
          <w:pgMar w:left="240" w:top="622" w:right="1440" w:bottom="1440" w:gutter="0" w:footer="0" w:header="0"/>
        </w:sectPr>
      </w:pPr>
    </w:p>
    <w:bookmarkStart w:id="346" w:name="page347"/>
    <w:bookmarkEnd w:id="346"/>
    <w:p>
      <w:pPr>
        <w:ind w:left="10"/>
        <w:spacing w:after="0"/>
        <w:rPr>
          <w:sz w:val="20"/>
          <w:szCs w:val="20"/>
          <w:color w:val="auto"/>
        </w:rPr>
      </w:pPr>
      <w:r>
        <w:rPr>
          <w:rFonts w:ascii="Courier New" w:cs="Courier New" w:eastAsia="Courier New" w:hAnsi="Courier New"/>
          <w:sz w:val="15"/>
          <w:szCs w:val="15"/>
          <w:color w:val="auto"/>
        </w:rPr>
        <w:t>Thomas E. Dooley</w:t>
      </w:r>
    </w:p>
    <w:p>
      <w:pPr>
        <w:ind w:left="10"/>
        <w:spacing w:after="0"/>
        <w:rPr>
          <w:sz w:val="20"/>
          <w:szCs w:val="20"/>
          <w:color w:val="auto"/>
        </w:rPr>
      </w:pPr>
      <w:r>
        <w:rPr>
          <w:rFonts w:ascii="Courier New" w:cs="Courier New" w:eastAsia="Courier New" w:hAnsi="Courier New"/>
          <w:sz w:val="15"/>
          <w:szCs w:val="15"/>
          <w:color w:val="auto"/>
        </w:rPr>
        <w:t>January 1, 1996</w:t>
      </w:r>
    </w:p>
    <w:p>
      <w:pPr>
        <w:ind w:left="10"/>
        <w:spacing w:after="0"/>
        <w:rPr>
          <w:sz w:val="20"/>
          <w:szCs w:val="20"/>
          <w:color w:val="auto"/>
        </w:rPr>
      </w:pPr>
      <w:r>
        <w:rPr>
          <w:rFonts w:ascii="Courier New" w:cs="Courier New" w:eastAsia="Courier New" w:hAnsi="Courier New"/>
          <w:sz w:val="15"/>
          <w:szCs w:val="15"/>
          <w:color w:val="auto"/>
        </w:rPr>
        <w:t>Page 8</w:t>
      </w:r>
    </w:p>
    <w:p>
      <w:pPr>
        <w:spacing w:after="0" w:line="343" w:lineRule="exact"/>
        <w:rPr>
          <w:sz w:val="20"/>
          <w:szCs w:val="20"/>
          <w:color w:val="auto"/>
        </w:rPr>
      </w:pPr>
    </w:p>
    <w:p>
      <w:pPr>
        <w:ind w:left="1590" w:right="3179" w:hanging="532"/>
        <w:spacing w:after="0" w:line="256" w:lineRule="auto"/>
        <w:tabs>
          <w:tab w:leader="none" w:pos="159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that would have been granted to you under the LTMIP Plans pursuant to paragraph 3(d)(ii) shall be granted with an exercise price equal to the closing price of the Class B Common Stock on the date of grant and such options will be exercisable during the period commencing six (6) months after the date of grant (or such earlier date as may be permitted under the LTMIP Plans) and ending on the earlier of (A) two</w:t>
      </w:r>
    </w:p>
    <w:p>
      <w:pPr>
        <w:spacing w:after="0" w:line="2" w:lineRule="exact"/>
        <w:rPr>
          <w:rFonts w:ascii="Courier New" w:cs="Courier New" w:eastAsia="Courier New" w:hAnsi="Courier New"/>
          <w:sz w:val="14"/>
          <w:szCs w:val="14"/>
          <w:color w:val="auto"/>
        </w:rPr>
      </w:pPr>
    </w:p>
    <w:p>
      <w:pPr>
        <w:ind w:left="1590" w:right="3179" w:hanging="3"/>
        <w:spacing w:after="0" w:line="237" w:lineRule="auto"/>
        <w:tabs>
          <w:tab w:leader="none" w:pos="1942" w:val="left"/>
        </w:tabs>
        <w:numPr>
          <w:ilvl w:val="1"/>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after the date of grant, or (B) the later of the end of the Employment Term or one (1) year after the date of grant; and</w:t>
      </w:r>
    </w:p>
    <w:p>
      <w:pPr>
        <w:spacing w:after="0" w:line="174" w:lineRule="exact"/>
        <w:rPr>
          <w:rFonts w:ascii="Courier New" w:cs="Courier New" w:eastAsia="Courier New" w:hAnsi="Courier New"/>
          <w:sz w:val="15"/>
          <w:szCs w:val="15"/>
          <w:color w:val="auto"/>
        </w:rPr>
      </w:pPr>
    </w:p>
    <w:p>
      <w:pPr>
        <w:ind w:left="1590" w:right="3359" w:hanging="532"/>
        <w:spacing w:after="0" w:line="237" w:lineRule="auto"/>
        <w:tabs>
          <w:tab w:leader="none" w:pos="159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on the phantom shares granted to you under the 1989 LTMIP in 1989 will be calculated in the manner and made at such times as provided in the 1989 LTMIP.</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In the event that you thereafter become able to substantially perform your duties, you will then be entitled to receive from Viacom your Salary and Deferred Compensation at the rate being paid to you immediately prior to the commencement of such disability, and your Bonus calculated pursuant to paragraph 3(b) hereof, through the remainder of the Employment Term reduced by any employment compensation earned by you for any work or service performed for any other person.</w:t>
      </w:r>
    </w:p>
    <w:p>
      <w:pPr>
        <w:spacing w:after="0" w:line="171" w:lineRule="exact"/>
        <w:rPr>
          <w:sz w:val="20"/>
          <w:szCs w:val="20"/>
          <w:color w:val="auto"/>
        </w:rPr>
      </w:pPr>
    </w:p>
    <w:p>
      <w:pPr>
        <w:ind w:left="530" w:hanging="530"/>
        <w:spacing w:after="0"/>
        <w:tabs>
          <w:tab w:leader="none" w:pos="53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w:t>
      </w:r>
    </w:p>
    <w:p>
      <w:pPr>
        <w:spacing w:after="0" w:line="174" w:lineRule="exact"/>
        <w:rPr>
          <w:rFonts w:ascii="Courier New" w:cs="Courier New" w:eastAsia="Courier New" w:hAnsi="Courier New"/>
          <w:sz w:val="15"/>
          <w:szCs w:val="15"/>
          <w:color w:val="auto"/>
        </w:rPr>
      </w:pPr>
    </w:p>
    <w:p>
      <w:pPr>
        <w:ind w:left="10" w:right="3179" w:firstLine="1048"/>
        <w:spacing w:after="0" w:line="238" w:lineRule="auto"/>
        <w:tabs>
          <w:tab w:leader="none" w:pos="1420"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for Cause. Viacom may, at its option, terminate this Agreement forthwith for "cause", and Viacom shall thereafter have no further obligations under this Agreement, including, without limitation, any obligation to pay Salary or Bonus or provide benefits under this Agreement. For purposes of this Agreement, termination of this Agreement for "cause" shall mean termination for embezzlement, fraud or other conduct which would constitute a felony, conviction of a felony, or willful unauthorized disclosure of confidential information, or if you at any time materially breach this Agreement (including, without limitation, your failure, neglect of or refusal to substantially perform your obligations hereunder as set forth in paragraphs 2 and 11 hereof), except in the event of your disability as set forth in paragraph 7. Anything herein to the contrary notwithstanding, Viacom will give you written notice prior to terminating this Agreement for your material breach setting forth the exact nature of any alleged breach and the conduct required to cure such breach. You shall have ten (10) business days from the giving of such notice within which to cure and within which period Viacom cannot terminate this Agreement for the stated reasons.</w:t>
      </w:r>
    </w:p>
    <w:p>
      <w:pPr>
        <w:spacing w:after="0" w:line="186" w:lineRule="exact"/>
        <w:rPr>
          <w:rFonts w:ascii="Courier New" w:cs="Courier New" w:eastAsia="Courier New" w:hAnsi="Courier New"/>
          <w:sz w:val="15"/>
          <w:szCs w:val="15"/>
          <w:color w:val="auto"/>
        </w:rPr>
      </w:pPr>
    </w:p>
    <w:p>
      <w:pPr>
        <w:ind w:left="10" w:right="3439" w:firstLine="1048"/>
        <w:spacing w:after="0" w:line="260" w:lineRule="auto"/>
        <w:tabs>
          <w:tab w:leader="none" w:pos="1420" w:val="left"/>
        </w:tabs>
        <w:numPr>
          <w:ilvl w:val="1"/>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Good Reason Termination. You may terminate your employment hereunder for "Good Reason" at any time during the Employment Term by written notice to Viacom not more than thirty (30) days after the occurrence of the</w:t>
      </w:r>
    </w:p>
    <w:p>
      <w:pPr>
        <w:sectPr>
          <w:pgSz w:w="11900" w:h="16838" w:orient="portrait"/>
          <w:cols w:equalWidth="0" w:num="1">
            <w:col w:w="10229"/>
          </w:cols>
          <w:pgMar w:left="230" w:top="622" w:right="1440" w:bottom="1440" w:gutter="0" w:footer="0" w:header="0"/>
        </w:sectPr>
      </w:pPr>
    </w:p>
    <w:bookmarkStart w:id="347" w:name="page348"/>
    <w:bookmarkEnd w:id="347"/>
    <w:p>
      <w:pPr>
        <w:spacing w:after="0"/>
        <w:rPr>
          <w:sz w:val="20"/>
          <w:szCs w:val="20"/>
          <w:color w:val="auto"/>
        </w:rPr>
      </w:pPr>
      <w:r>
        <w:rPr>
          <w:rFonts w:ascii="Courier New" w:cs="Courier New" w:eastAsia="Courier New" w:hAnsi="Courier New"/>
          <w:sz w:val="15"/>
          <w:szCs w:val="15"/>
          <w:color w:val="auto"/>
        </w:rPr>
        <w:t>Thomas E. Dooley</w:t>
      </w:r>
    </w:p>
    <w:p>
      <w:pPr>
        <w:spacing w:after="0"/>
        <w:rPr>
          <w:sz w:val="20"/>
          <w:szCs w:val="20"/>
          <w:color w:val="auto"/>
        </w:rPr>
      </w:pPr>
      <w:r>
        <w:rPr>
          <w:rFonts w:ascii="Courier New" w:cs="Courier New" w:eastAsia="Courier New" w:hAnsi="Courier New"/>
          <w:sz w:val="15"/>
          <w:szCs w:val="15"/>
          <w:color w:val="auto"/>
        </w:rPr>
        <w:t>January 1, 1996</w:t>
      </w:r>
    </w:p>
    <w:p>
      <w:pPr>
        <w:spacing w:after="0"/>
        <w:rPr>
          <w:sz w:val="20"/>
          <w:szCs w:val="20"/>
          <w:color w:val="auto"/>
        </w:rPr>
      </w:pPr>
      <w:r>
        <w:rPr>
          <w:rFonts w:ascii="Courier New" w:cs="Courier New" w:eastAsia="Courier New" w:hAnsi="Courier New"/>
          <w:sz w:val="15"/>
          <w:szCs w:val="15"/>
          <w:color w:val="auto"/>
        </w:rPr>
        <w:t>Page 9</w:t>
      </w:r>
    </w:p>
    <w:p>
      <w:pPr>
        <w:spacing w:after="0" w:line="343"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event constituting "Good Reason". Such notice shall state an effective date no later than ten (10) business days after the date it is given. Good Reason shall mean any of the following, without your prior written consent, other than in connection with the termination of your employment for "cause" (as defined above) or in connection with your permanent disability:</w:t>
      </w:r>
    </w:p>
    <w:p>
      <w:pPr>
        <w:spacing w:after="0" w:line="178" w:lineRule="exact"/>
        <w:rPr>
          <w:sz w:val="20"/>
          <w:szCs w:val="20"/>
          <w:color w:val="auto"/>
        </w:rPr>
      </w:pPr>
    </w:p>
    <w:p>
      <w:pPr>
        <w:ind w:left="1480" w:right="3179" w:hanging="432"/>
        <w:spacing w:after="0" w:line="237" w:lineRule="auto"/>
        <w:tabs>
          <w:tab w:leader="none" w:pos="148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assignment to you by Viacom of duties substantially inconsistent with your positions, duties, responsibilities, titles or offices or the withdrawal of a material part of your responsibilities or a change in your reporting relationship, as set forth in paragraph 2;</w:t>
      </w:r>
    </w:p>
    <w:p>
      <w:pPr>
        <w:spacing w:after="0" w:line="178" w:lineRule="exact"/>
        <w:rPr>
          <w:rFonts w:ascii="Courier New" w:cs="Courier New" w:eastAsia="Courier New" w:hAnsi="Courier New"/>
          <w:sz w:val="15"/>
          <w:szCs w:val="15"/>
          <w:color w:val="auto"/>
        </w:rPr>
      </w:pPr>
    </w:p>
    <w:p>
      <w:pPr>
        <w:ind w:left="1480" w:right="3259" w:hanging="432"/>
        <w:spacing w:after="0" w:line="237" w:lineRule="auto"/>
        <w:tabs>
          <w:tab w:leader="none" w:pos="148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reduction by Viacom in your Salary or Target Bonus as in effect at the date hereof or as the same may be increased from time to time during the Employment Term;</w:t>
      </w:r>
    </w:p>
    <w:p>
      <w:pPr>
        <w:spacing w:after="0" w:line="174" w:lineRule="exact"/>
        <w:rPr>
          <w:rFonts w:ascii="Courier New" w:cs="Courier New" w:eastAsia="Courier New" w:hAnsi="Courier New"/>
          <w:sz w:val="15"/>
          <w:szCs w:val="15"/>
          <w:color w:val="auto"/>
        </w:rPr>
      </w:pPr>
    </w:p>
    <w:p>
      <w:pPr>
        <w:ind w:left="1480" w:right="3259" w:hanging="520"/>
        <w:spacing w:after="0" w:line="237" w:lineRule="auto"/>
        <w:tabs>
          <w:tab w:leader="none" w:pos="1480" w:val="left"/>
        </w:tabs>
        <w:numPr>
          <w:ilvl w:val="1"/>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Viacom's requiring you to be based anywhere other than the New York City metropolitan area, except for required travel on Viacom's business to any extent substantially consistent with business travel obligations of other senior executives of Viacom;</w:t>
      </w:r>
    </w:p>
    <w:p>
      <w:pPr>
        <w:spacing w:after="0" w:line="178" w:lineRule="exact"/>
        <w:rPr>
          <w:rFonts w:ascii="Courier New" w:cs="Courier New" w:eastAsia="Courier New" w:hAnsi="Courier New"/>
          <w:sz w:val="15"/>
          <w:szCs w:val="15"/>
          <w:color w:val="auto"/>
        </w:rPr>
      </w:pPr>
    </w:p>
    <w:p>
      <w:pPr>
        <w:ind w:left="1480" w:right="3699" w:hanging="432"/>
        <w:spacing w:after="0" w:line="235" w:lineRule="auto"/>
        <w:tabs>
          <w:tab w:leader="none" w:pos="1480" w:val="left"/>
        </w:tabs>
        <w:numPr>
          <w:ilvl w:val="1"/>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failure to receive the Annual Grants under the LTMIP Plans pursuant to paragraph 3(d)(ii); or</w:t>
      </w:r>
    </w:p>
    <w:p>
      <w:pPr>
        <w:spacing w:after="0" w:line="175" w:lineRule="exact"/>
        <w:rPr>
          <w:rFonts w:ascii="Courier New" w:cs="Courier New" w:eastAsia="Courier New" w:hAnsi="Courier New"/>
          <w:sz w:val="15"/>
          <w:szCs w:val="15"/>
          <w:color w:val="auto"/>
        </w:rPr>
      </w:pPr>
    </w:p>
    <w:p>
      <w:pPr>
        <w:ind w:left="1480" w:right="3699" w:hanging="344"/>
        <w:spacing w:after="0" w:line="235" w:lineRule="auto"/>
        <w:tabs>
          <w:tab w:leader="none" w:pos="1480" w:val="left"/>
        </w:tabs>
        <w:numPr>
          <w:ilvl w:val="1"/>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material breach by Viacom of its material obligations hereunder.</w:t>
      </w:r>
    </w:p>
    <w:p>
      <w:pPr>
        <w:spacing w:after="0" w:line="175" w:lineRule="exact"/>
        <w:rPr>
          <w:rFonts w:ascii="Courier New" w:cs="Courier New" w:eastAsia="Courier New" w:hAnsi="Courier New"/>
          <w:sz w:val="15"/>
          <w:szCs w:val="15"/>
          <w:color w:val="auto"/>
        </w:rPr>
      </w:pPr>
    </w:p>
    <w:p>
      <w:pPr>
        <w:ind w:right="3359" w:firstLine="1048"/>
        <w:spacing w:after="0" w:line="237" w:lineRule="auto"/>
        <w:tabs>
          <w:tab w:leader="none" w:pos="1587"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Without Cause. Viacom may terminate your employment hereunder without "cause" (as defined above) at any time during the Employment Term by written notice to you.</w:t>
      </w:r>
    </w:p>
    <w:p>
      <w:pPr>
        <w:spacing w:after="0" w:line="174" w:lineRule="exact"/>
        <w:rPr>
          <w:rFonts w:ascii="Courier New" w:cs="Courier New" w:eastAsia="Courier New" w:hAnsi="Courier New"/>
          <w:sz w:val="15"/>
          <w:szCs w:val="15"/>
          <w:color w:val="auto"/>
        </w:rPr>
      </w:pPr>
    </w:p>
    <w:p>
      <w:pPr>
        <w:jc w:val="both"/>
        <w:ind w:right="3359" w:firstLine="1048"/>
        <w:spacing w:after="0" w:line="237" w:lineRule="auto"/>
        <w:tabs>
          <w:tab w:leader="none" w:pos="1587"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Payments, Etc. In the event that your employment terminates pursuant to paragraph 8(b) or 8(c) hereof, you shall be entitled to receive, subject to applicable withholding taxes:</w:t>
      </w:r>
    </w:p>
    <w:p>
      <w:pPr>
        <w:spacing w:after="0" w:line="174" w:lineRule="exact"/>
        <w:rPr>
          <w:rFonts w:ascii="Courier New" w:cs="Courier New" w:eastAsia="Courier New" w:hAnsi="Courier New"/>
          <w:sz w:val="15"/>
          <w:szCs w:val="15"/>
          <w:color w:val="auto"/>
        </w:rPr>
      </w:pPr>
    </w:p>
    <w:p>
      <w:pPr>
        <w:ind w:left="1580" w:right="3179" w:hanging="532"/>
        <w:spacing w:after="0" w:line="237" w:lineRule="auto"/>
        <w:tabs>
          <w:tab w:leader="none" w:pos="158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Salary as provided in paragraph 3(a) until the end of the Employment Term, payable in accordance with Viacom's then effective payroll practices;</w:t>
      </w:r>
    </w:p>
    <w:p>
      <w:pPr>
        <w:spacing w:after="0" w:line="174" w:lineRule="exact"/>
        <w:rPr>
          <w:rFonts w:ascii="Courier New" w:cs="Courier New" w:eastAsia="Courier New" w:hAnsi="Courier New"/>
          <w:sz w:val="15"/>
          <w:szCs w:val="15"/>
          <w:color w:val="auto"/>
        </w:rPr>
      </w:pPr>
    </w:p>
    <w:p>
      <w:pPr>
        <w:ind w:left="1580" w:right="3539" w:hanging="532"/>
        <w:spacing w:after="0" w:line="237" w:lineRule="auto"/>
        <w:tabs>
          <w:tab w:leader="none" w:pos="158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 compensation for each calendar year during the Employment Term equal to your Target Bonus as set forth in paragraph 3(b);</w:t>
      </w:r>
    </w:p>
    <w:p>
      <w:pPr>
        <w:spacing w:after="0" w:line="174" w:lineRule="exact"/>
        <w:rPr>
          <w:rFonts w:ascii="Courier New" w:cs="Courier New" w:eastAsia="Courier New" w:hAnsi="Courier New"/>
          <w:sz w:val="15"/>
          <w:szCs w:val="15"/>
          <w:color w:val="auto"/>
        </w:rPr>
      </w:pPr>
    </w:p>
    <w:p>
      <w:pPr>
        <w:ind w:left="1580" w:right="3539" w:hanging="532"/>
        <w:spacing w:after="0" w:line="265" w:lineRule="auto"/>
        <w:tabs>
          <w:tab w:leader="none" w:pos="158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Compensation for each calendar year during the Employment Term after 1996 as set forth in paragraph 3(c);</w:t>
      </w:r>
    </w:p>
    <w:p>
      <w:pPr>
        <w:sectPr>
          <w:pgSz w:w="11900" w:h="16838" w:orient="portrait"/>
          <w:cols w:equalWidth="0" w:num="1">
            <w:col w:w="10219"/>
          </w:cols>
          <w:pgMar w:left="240" w:top="621" w:right="1440" w:bottom="1440" w:gutter="0" w:footer="0" w:header="0"/>
        </w:sectPr>
      </w:pPr>
    </w:p>
    <w:bookmarkStart w:id="348" w:name="page349"/>
    <w:bookmarkEnd w:id="348"/>
    <w:p>
      <w:pPr>
        <w:spacing w:after="0"/>
        <w:rPr>
          <w:sz w:val="20"/>
          <w:szCs w:val="20"/>
          <w:color w:val="auto"/>
        </w:rPr>
      </w:pPr>
      <w:r>
        <w:rPr>
          <w:rFonts w:ascii="Courier New" w:cs="Courier New" w:eastAsia="Courier New" w:hAnsi="Courier New"/>
          <w:sz w:val="15"/>
          <w:szCs w:val="15"/>
          <w:color w:val="auto"/>
        </w:rPr>
        <w:t>Thomas E. Dooley</w:t>
      </w:r>
    </w:p>
    <w:p>
      <w:pPr>
        <w:spacing w:after="0"/>
        <w:rPr>
          <w:sz w:val="20"/>
          <w:szCs w:val="20"/>
          <w:color w:val="auto"/>
        </w:rPr>
      </w:pPr>
      <w:r>
        <w:rPr>
          <w:rFonts w:ascii="Courier New" w:cs="Courier New" w:eastAsia="Courier New" w:hAnsi="Courier New"/>
          <w:sz w:val="15"/>
          <w:szCs w:val="15"/>
          <w:color w:val="auto"/>
        </w:rPr>
        <w:t>January 1, 1996</w:t>
      </w:r>
    </w:p>
    <w:p>
      <w:pPr>
        <w:spacing w:after="0"/>
        <w:rPr>
          <w:sz w:val="20"/>
          <w:szCs w:val="20"/>
          <w:color w:val="auto"/>
        </w:rPr>
      </w:pPr>
      <w:r>
        <w:rPr>
          <w:rFonts w:ascii="Courier New" w:cs="Courier New" w:eastAsia="Courier New" w:hAnsi="Courier New"/>
          <w:sz w:val="15"/>
          <w:szCs w:val="15"/>
          <w:color w:val="auto"/>
        </w:rPr>
        <w:t>Page 10</w:t>
      </w:r>
    </w:p>
    <w:p>
      <w:pPr>
        <w:spacing w:after="0" w:line="343" w:lineRule="exact"/>
        <w:rPr>
          <w:sz w:val="20"/>
          <w:szCs w:val="20"/>
          <w:color w:val="auto"/>
        </w:rPr>
      </w:pPr>
    </w:p>
    <w:p>
      <w:pPr>
        <w:ind w:left="1580" w:right="3439"/>
        <w:spacing w:after="0" w:line="256" w:lineRule="auto"/>
        <w:rPr>
          <w:sz w:val="20"/>
          <w:szCs w:val="20"/>
          <w:color w:val="auto"/>
        </w:rPr>
      </w:pPr>
      <w:r>
        <w:rPr>
          <w:rFonts w:ascii="Courier New" w:cs="Courier New" w:eastAsia="Courier New" w:hAnsi="Courier New"/>
          <w:sz w:val="14"/>
          <w:szCs w:val="14"/>
          <w:color w:val="auto"/>
        </w:rPr>
        <w:t>Deferred Compensation attributable to the calendar year in which the termination pursuant to paragraph 8(b) or 8(c) hereof occurs and to prior calendar years shall be payable, together with the return thereon as provided in paragraph</w:t>
      </w:r>
    </w:p>
    <w:p>
      <w:pPr>
        <w:spacing w:after="0" w:line="1" w:lineRule="exact"/>
        <w:rPr>
          <w:sz w:val="20"/>
          <w:szCs w:val="20"/>
          <w:color w:val="auto"/>
        </w:rPr>
      </w:pPr>
    </w:p>
    <w:p>
      <w:pPr>
        <w:ind w:left="1580" w:right="3179"/>
        <w:spacing w:after="0" w:line="237" w:lineRule="auto"/>
        <w:rPr>
          <w:sz w:val="20"/>
          <w:szCs w:val="20"/>
          <w:color w:val="auto"/>
        </w:rPr>
      </w:pPr>
      <w:r>
        <w:rPr>
          <w:rFonts w:ascii="Courier New" w:cs="Courier New" w:eastAsia="Courier New" w:hAnsi="Courier New"/>
          <w:sz w:val="15"/>
          <w:szCs w:val="15"/>
          <w:color w:val="auto"/>
        </w:rPr>
        <w:t>3(c), prior to January 31 of the calendar year following such termination; and Deferred Compensation attributable to subsequent calendar years shall be payable, [together with the return thereon as provided in paragraph 3(c), prior to January 31 of the following calendar year;</w:t>
      </w:r>
    </w:p>
    <w:p>
      <w:pPr>
        <w:spacing w:after="0" w:line="178" w:lineRule="exact"/>
        <w:rPr>
          <w:sz w:val="20"/>
          <w:szCs w:val="20"/>
          <w:color w:val="auto"/>
        </w:rPr>
      </w:pPr>
    </w:p>
    <w:p>
      <w:pPr>
        <w:jc w:val="both"/>
        <w:ind w:left="1580" w:right="3439" w:hanging="532"/>
        <w:spacing w:after="0" w:line="260" w:lineRule="auto"/>
        <w:tabs>
          <w:tab w:leader="none" w:pos="158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your car allowance and insurance as provided in paragraph 5 until the end of the Employment Term, payable in accordance with Viacom's then effective payroll practices;</w:t>
      </w:r>
    </w:p>
    <w:p>
      <w:pPr>
        <w:spacing w:after="0" w:line="162" w:lineRule="exact"/>
        <w:rPr>
          <w:rFonts w:ascii="Courier New" w:cs="Courier New" w:eastAsia="Courier New" w:hAnsi="Courier New"/>
          <w:sz w:val="14"/>
          <w:szCs w:val="14"/>
          <w:color w:val="auto"/>
        </w:rPr>
      </w:pPr>
    </w:p>
    <w:p>
      <w:pPr>
        <w:ind w:left="1580" w:right="3179" w:hanging="532"/>
        <w:spacing w:after="0" w:line="238" w:lineRule="auto"/>
        <w:tabs>
          <w:tab w:leader="none" w:pos="158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medical and dental insurance coverage under COBRA until the end of the Employment Term or, if earlier, the date on which you become eligible for medical and dental coverage from a third party employer; during this period, Viacom will pay an amount equal to the applicable COBRA premiums (or such other amounts as may be required by applicable law) (which amount will be included in your income for tax purposes to the extent required by applicable law); at the end of such period, you may elect to continue your medical and dental insurance coverage at your own expense for the balance, if any, of the period required by law;</w:t>
      </w:r>
    </w:p>
    <w:p>
      <w:pPr>
        <w:spacing w:after="0" w:line="180" w:lineRule="exact"/>
        <w:rPr>
          <w:rFonts w:ascii="Courier New" w:cs="Courier New" w:eastAsia="Courier New" w:hAnsi="Courier New"/>
          <w:sz w:val="15"/>
          <w:szCs w:val="15"/>
          <w:color w:val="auto"/>
        </w:rPr>
      </w:pPr>
    </w:p>
    <w:p>
      <w:pPr>
        <w:ind w:left="1580" w:right="3179" w:hanging="532"/>
        <w:spacing w:after="0" w:line="237" w:lineRule="auto"/>
        <w:tabs>
          <w:tab w:leader="none" w:pos="158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life insurance coverage as set forth in paragraph 4(b) until the end of the Employment Term (the amount of such insurance to be reduced by the amount of any insurance provided by a new employer);</w:t>
      </w:r>
    </w:p>
    <w:p>
      <w:pPr>
        <w:spacing w:after="0" w:line="176" w:lineRule="exact"/>
        <w:rPr>
          <w:rFonts w:ascii="Courier New" w:cs="Courier New" w:eastAsia="Courier New" w:hAnsi="Courier New"/>
          <w:sz w:val="15"/>
          <w:szCs w:val="15"/>
          <w:color w:val="auto"/>
        </w:rPr>
      </w:pPr>
    </w:p>
    <w:p>
      <w:pPr>
        <w:ind w:left="1580" w:right="3439" w:hanging="532"/>
        <w:spacing w:after="0" w:line="235" w:lineRule="auto"/>
        <w:tabs>
          <w:tab w:leader="none" w:pos="158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with respect to grants to you under the LTMIP Plans:</w:t>
      </w:r>
    </w:p>
    <w:p>
      <w:pPr>
        <w:spacing w:after="0" w:line="175" w:lineRule="exact"/>
        <w:rPr>
          <w:rFonts w:ascii="Courier New" w:cs="Courier New" w:eastAsia="Courier New" w:hAnsi="Courier New"/>
          <w:sz w:val="15"/>
          <w:szCs w:val="15"/>
          <w:color w:val="auto"/>
        </w:rPr>
      </w:pPr>
    </w:p>
    <w:p>
      <w:pPr>
        <w:ind w:left="2100" w:right="3179" w:hanging="523"/>
        <w:spacing w:after="0" w:line="238" w:lineRule="auto"/>
        <w:tabs>
          <w:tab w:leader="none" w:pos="2100" w:val="left"/>
        </w:tabs>
        <w:numPr>
          <w:ilvl w:val="1"/>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granted to you under the LTMIP Plans which are exercisable on or prior to the date of the termination of your employment under paragraph 8(b) or 8(c) or that would have vested and become exercisable on or before the last day of the Employment Term will be exercisable until six (6) months after the date of such termination or, if earlier, the expiration date of the stock options;</w:t>
      </w:r>
    </w:p>
    <w:p>
      <w:pPr>
        <w:spacing w:after="0" w:line="177" w:lineRule="exact"/>
        <w:rPr>
          <w:rFonts w:ascii="Courier New" w:cs="Courier New" w:eastAsia="Courier New" w:hAnsi="Courier New"/>
          <w:sz w:val="15"/>
          <w:szCs w:val="15"/>
          <w:color w:val="auto"/>
        </w:rPr>
      </w:pPr>
    </w:p>
    <w:p>
      <w:pPr>
        <w:ind w:left="2100" w:right="3179" w:hanging="523"/>
        <w:spacing w:after="0" w:line="259" w:lineRule="auto"/>
        <w:tabs>
          <w:tab w:leader="none" w:pos="2100" w:val="left"/>
        </w:tabs>
        <w:numPr>
          <w:ilvl w:val="1"/>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that would have been granted to you under the LTMIP Plans pursuant to paragraph 3(d)(ii) shall be granted as of the date of termination of your employment with an exercise price equal to the closing price of the</w:t>
      </w:r>
    </w:p>
    <w:p>
      <w:pPr>
        <w:sectPr>
          <w:pgSz w:w="11900" w:h="16838" w:orient="portrait"/>
          <w:cols w:equalWidth="0" w:num="1">
            <w:col w:w="10219"/>
          </w:cols>
          <w:pgMar w:left="240" w:top="621" w:right="1440" w:bottom="1440" w:gutter="0" w:footer="0" w:header="0"/>
        </w:sectPr>
      </w:pPr>
    </w:p>
    <w:bookmarkStart w:id="349" w:name="page350"/>
    <w:bookmarkEnd w:id="349"/>
    <w:p>
      <w:pPr>
        <w:ind w:left="10"/>
        <w:spacing w:after="0"/>
        <w:rPr>
          <w:sz w:val="20"/>
          <w:szCs w:val="20"/>
          <w:color w:val="auto"/>
        </w:rPr>
      </w:pPr>
      <w:r>
        <w:rPr>
          <w:rFonts w:ascii="Courier New" w:cs="Courier New" w:eastAsia="Courier New" w:hAnsi="Courier New"/>
          <w:sz w:val="15"/>
          <w:szCs w:val="15"/>
          <w:color w:val="auto"/>
        </w:rPr>
        <w:t>Thomas E. Dooley</w:t>
      </w:r>
    </w:p>
    <w:p>
      <w:pPr>
        <w:ind w:left="10"/>
        <w:spacing w:after="0"/>
        <w:rPr>
          <w:sz w:val="20"/>
          <w:szCs w:val="20"/>
          <w:color w:val="auto"/>
        </w:rPr>
      </w:pPr>
      <w:r>
        <w:rPr>
          <w:rFonts w:ascii="Courier New" w:cs="Courier New" w:eastAsia="Courier New" w:hAnsi="Courier New"/>
          <w:sz w:val="15"/>
          <w:szCs w:val="15"/>
          <w:color w:val="auto"/>
        </w:rPr>
        <w:t>January 1, 1996</w:t>
      </w:r>
    </w:p>
    <w:p>
      <w:pPr>
        <w:ind w:left="10"/>
        <w:spacing w:after="0"/>
        <w:rPr>
          <w:sz w:val="20"/>
          <w:szCs w:val="20"/>
          <w:color w:val="auto"/>
        </w:rPr>
      </w:pPr>
      <w:r>
        <w:rPr>
          <w:rFonts w:ascii="Courier New" w:cs="Courier New" w:eastAsia="Courier New" w:hAnsi="Courier New"/>
          <w:sz w:val="15"/>
          <w:szCs w:val="15"/>
          <w:color w:val="auto"/>
        </w:rPr>
        <w:t>Page 11</w:t>
      </w:r>
    </w:p>
    <w:p>
      <w:pPr>
        <w:spacing w:after="0" w:line="338" w:lineRule="exact"/>
        <w:rPr>
          <w:sz w:val="20"/>
          <w:szCs w:val="20"/>
          <w:color w:val="auto"/>
        </w:rPr>
      </w:pPr>
    </w:p>
    <w:p>
      <w:pPr>
        <w:ind w:left="2110"/>
        <w:spacing w:after="0"/>
        <w:rPr>
          <w:sz w:val="20"/>
          <w:szCs w:val="20"/>
          <w:color w:val="auto"/>
        </w:rPr>
      </w:pPr>
      <w:r>
        <w:rPr>
          <w:rFonts w:ascii="Courier New" w:cs="Courier New" w:eastAsia="Courier New" w:hAnsi="Courier New"/>
          <w:sz w:val="15"/>
          <w:szCs w:val="15"/>
          <w:color w:val="auto"/>
        </w:rPr>
        <w:t>Class B Common Stock on the date of grant and such</w:t>
      </w:r>
    </w:p>
    <w:p>
      <w:pPr>
        <w:spacing w:after="0" w:line="5" w:lineRule="exact"/>
        <w:rPr>
          <w:sz w:val="20"/>
          <w:szCs w:val="20"/>
          <w:color w:val="auto"/>
        </w:rPr>
      </w:pPr>
    </w:p>
    <w:p>
      <w:pPr>
        <w:ind w:left="2110"/>
        <w:spacing w:after="0"/>
        <w:rPr>
          <w:sz w:val="20"/>
          <w:szCs w:val="20"/>
          <w:color w:val="auto"/>
        </w:rPr>
      </w:pPr>
      <w:r>
        <w:rPr>
          <w:rFonts w:ascii="Courier New" w:cs="Courier New" w:eastAsia="Courier New" w:hAnsi="Courier New"/>
          <w:sz w:val="14"/>
          <w:szCs w:val="14"/>
          <w:color w:val="auto"/>
        </w:rPr>
        <w:t>options will be exercisable during the period commencing</w:t>
      </w:r>
    </w:p>
    <w:p>
      <w:pPr>
        <w:spacing w:after="0" w:line="11" w:lineRule="exact"/>
        <w:rPr>
          <w:sz w:val="20"/>
          <w:szCs w:val="20"/>
          <w:color w:val="auto"/>
        </w:rPr>
      </w:pPr>
    </w:p>
    <w:p>
      <w:pPr>
        <w:ind w:left="2110"/>
        <w:spacing w:after="0"/>
        <w:rPr>
          <w:sz w:val="20"/>
          <w:szCs w:val="20"/>
          <w:color w:val="auto"/>
        </w:rPr>
      </w:pPr>
      <w:r>
        <w:rPr>
          <w:rFonts w:ascii="Courier New" w:cs="Courier New" w:eastAsia="Courier New" w:hAnsi="Courier New"/>
          <w:sz w:val="14"/>
          <w:szCs w:val="14"/>
          <w:color w:val="auto"/>
        </w:rPr>
        <w:t>six (6) months after the date of grant (or such earlier</w:t>
      </w:r>
    </w:p>
    <w:p>
      <w:pPr>
        <w:spacing w:after="0" w:line="5" w:lineRule="exact"/>
        <w:rPr>
          <w:sz w:val="20"/>
          <w:szCs w:val="20"/>
          <w:color w:val="auto"/>
        </w:rPr>
      </w:pPr>
    </w:p>
    <w:p>
      <w:pPr>
        <w:ind w:left="2110"/>
        <w:spacing w:after="0"/>
        <w:rPr>
          <w:sz w:val="20"/>
          <w:szCs w:val="20"/>
          <w:color w:val="auto"/>
        </w:rPr>
      </w:pPr>
      <w:r>
        <w:rPr>
          <w:rFonts w:ascii="Courier New" w:cs="Courier New" w:eastAsia="Courier New" w:hAnsi="Courier New"/>
          <w:sz w:val="15"/>
          <w:szCs w:val="15"/>
          <w:color w:val="auto"/>
        </w:rPr>
        <w:t>date as may be permitted under the LTMIP Plans) and</w:t>
      </w:r>
    </w:p>
    <w:p>
      <w:pPr>
        <w:ind w:left="2110"/>
        <w:spacing w:after="0"/>
        <w:rPr>
          <w:sz w:val="20"/>
          <w:szCs w:val="20"/>
          <w:color w:val="auto"/>
        </w:rPr>
      </w:pPr>
      <w:r>
        <w:rPr>
          <w:rFonts w:ascii="Courier New" w:cs="Courier New" w:eastAsia="Courier New" w:hAnsi="Courier New"/>
          <w:sz w:val="15"/>
          <w:szCs w:val="15"/>
          <w:color w:val="auto"/>
        </w:rPr>
        <w:t>ending one (1) year after the date of grant; and</w:t>
      </w:r>
    </w:p>
    <w:p>
      <w:pPr>
        <w:spacing w:after="0" w:line="174" w:lineRule="exact"/>
        <w:rPr>
          <w:sz w:val="20"/>
          <w:szCs w:val="20"/>
          <w:color w:val="auto"/>
        </w:rPr>
      </w:pPr>
    </w:p>
    <w:p>
      <w:pPr>
        <w:jc w:val="both"/>
        <w:ind w:left="2110" w:right="3259" w:hanging="523"/>
        <w:spacing w:after="0" w:line="260" w:lineRule="auto"/>
        <w:tabs>
          <w:tab w:leader="none" w:pos="2110" w:val="left"/>
        </w:tabs>
        <w:numPr>
          <w:ilvl w:val="1"/>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on the phantom shares granted to you under the 1989 LTMIP in 1989 will be calculated in the manner and made at such times as provided in the 1989 LTMIP;</w:t>
      </w:r>
    </w:p>
    <w:p>
      <w:pPr>
        <w:spacing w:after="0" w:line="162" w:lineRule="exact"/>
        <w:rPr>
          <w:rFonts w:ascii="Courier New" w:cs="Courier New" w:eastAsia="Courier New" w:hAnsi="Courier New"/>
          <w:sz w:val="14"/>
          <w:szCs w:val="14"/>
          <w:color w:val="auto"/>
        </w:rPr>
      </w:pPr>
    </w:p>
    <w:p>
      <w:pPr>
        <w:ind w:left="1590" w:right="3359" w:hanging="620"/>
        <w:spacing w:after="0" w:line="237" w:lineRule="auto"/>
        <w:tabs>
          <w:tab w:leader="none" w:pos="159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supplemental pension benefit calculated in accordance with the terms of the Excess Pension Plan as though you were employed through the end of the Employment Term; and</w:t>
      </w:r>
    </w:p>
    <w:p>
      <w:pPr>
        <w:spacing w:after="0" w:line="175" w:lineRule="exact"/>
        <w:rPr>
          <w:sz w:val="20"/>
          <w:szCs w:val="20"/>
          <w:color w:val="auto"/>
        </w:rPr>
      </w:pPr>
    </w:p>
    <w:p>
      <w:pPr>
        <w:ind w:left="1590" w:right="3259" w:hanging="532"/>
        <w:spacing w:after="0" w:line="237" w:lineRule="auto"/>
        <w:tabs>
          <w:tab w:leader="none" w:pos="159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 of an appropriate office and secretarial assistance for up to six (6) months after the termination of your employment;</w:t>
      </w:r>
    </w:p>
    <w:p>
      <w:pPr>
        <w:spacing w:after="0" w:line="175" w:lineRule="exact"/>
        <w:rPr>
          <w:sz w:val="20"/>
          <w:szCs w:val="20"/>
          <w:color w:val="auto"/>
        </w:rPr>
      </w:pPr>
    </w:p>
    <w:p>
      <w:pPr>
        <w:ind w:left="10" w:right="3359"/>
        <w:spacing w:after="0" w:line="256" w:lineRule="auto"/>
        <w:rPr>
          <w:sz w:val="20"/>
          <w:szCs w:val="20"/>
          <w:color w:val="auto"/>
        </w:rPr>
      </w:pPr>
      <w:r>
        <w:rPr>
          <w:rFonts w:ascii="Courier New" w:cs="Courier New" w:eastAsia="Courier New" w:hAnsi="Courier New"/>
          <w:sz w:val="14"/>
          <w:szCs w:val="14"/>
          <w:color w:val="auto"/>
        </w:rPr>
        <w:t>provided, however, you shall be required to mitigate the amount of any payment provided for in (i), (ii), (iii) and (iv) of this paragraph 8(d) by seeking other employment and the amount of any such payment provided for in (i), (ii),</w:t>
      </w:r>
    </w:p>
    <w:p>
      <w:pPr>
        <w:spacing w:after="0" w:line="1" w:lineRule="exact"/>
        <w:rPr>
          <w:sz w:val="20"/>
          <w:szCs w:val="20"/>
          <w:color w:val="auto"/>
        </w:rPr>
      </w:pPr>
    </w:p>
    <w:p>
      <w:pPr>
        <w:ind w:left="10" w:right="3179" w:hanging="10"/>
        <w:spacing w:after="0" w:line="256" w:lineRule="auto"/>
        <w:tabs>
          <w:tab w:leader="none" w:pos="538"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(iv) (but only with respect to Deferred Compensation attributable to the period after the termination occurs) shall be reduced by any employment compensation earned by you except that mitigation shall not be required for twenty-four (24) months after the termination of your employment or for the period commencing with the termination of your employment and ending on the last day of the Employment Term, whichever is shorter. The payments provided for in</w:t>
      </w:r>
    </w:p>
    <w:p>
      <w:pPr>
        <w:spacing w:after="0" w:line="2" w:lineRule="exact"/>
        <w:rPr>
          <w:rFonts w:ascii="Courier New" w:cs="Courier New" w:eastAsia="Courier New" w:hAnsi="Courier New"/>
          <w:sz w:val="14"/>
          <w:szCs w:val="14"/>
          <w:color w:val="auto"/>
        </w:rPr>
      </w:pPr>
    </w:p>
    <w:p>
      <w:pPr>
        <w:ind w:left="10" w:right="3179" w:hanging="10"/>
        <w:spacing w:after="0" w:line="237" w:lineRule="auto"/>
        <w:tabs>
          <w:tab w:leader="none" w:pos="362"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are in lieu of any severance or income continuation or protection under any Viacom plan that may now or hereafter exist. The payments and benefits to be provided pursuant to this paragraph 8(d) shall constitute liquidated damages, and shall be deemed to satisfy and be in full and final settlement of all obligations of Viacom to you under this Agreement.</w:t>
      </w:r>
    </w:p>
    <w:p>
      <w:pPr>
        <w:spacing w:after="0" w:line="178" w:lineRule="exact"/>
        <w:rPr>
          <w:rFonts w:ascii="Courier New" w:cs="Courier New" w:eastAsia="Courier New" w:hAnsi="Courier New"/>
          <w:sz w:val="15"/>
          <w:szCs w:val="15"/>
          <w:color w:val="auto"/>
        </w:rPr>
      </w:pPr>
    </w:p>
    <w:p>
      <w:pPr>
        <w:ind w:left="10" w:right="3179" w:firstLine="519"/>
        <w:spacing w:after="0" w:line="238" w:lineRule="auto"/>
        <w:tabs>
          <w:tab w:leader="none" w:pos="891" w:val="left"/>
        </w:tabs>
        <w:numPr>
          <w:ilvl w:val="1"/>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Benefits. Notwithstanding anything in this Agreement to the contrary (except as otherwise provided in paragraph 8(d) with respect to medical, dental and life insurance and Excess Pension Plan benefits), coverage under all Viacom benefit plans and programs (including, without limitation, vacation, 401(k), excess 401(k) and pension plans, LTD and accidental death and dismemberment and business travel and accident insurance) will terminate upon the termination of your employment except to the extent otherwise expressly provided in such plans or programs.</w:t>
      </w:r>
    </w:p>
    <w:p>
      <w:pPr>
        <w:spacing w:after="0" w:line="177" w:lineRule="exact"/>
        <w:rPr>
          <w:rFonts w:ascii="Courier New" w:cs="Courier New" w:eastAsia="Courier New" w:hAnsi="Courier New"/>
          <w:sz w:val="15"/>
          <w:szCs w:val="15"/>
          <w:color w:val="auto"/>
        </w:rPr>
      </w:pPr>
    </w:p>
    <w:p>
      <w:pPr>
        <w:ind w:left="10" w:right="3439" w:firstLine="519"/>
        <w:spacing w:after="0" w:line="260" w:lineRule="auto"/>
        <w:tabs>
          <w:tab w:leader="none" w:pos="891" w:val="left"/>
        </w:tabs>
        <w:numPr>
          <w:ilvl w:val="1"/>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Non-Renewal. In the event that Viacom does not extend or renew this Agreement at the end of the Employment Term on no less favorable terms, the vesting of all stock options granted under the LTMIP Plans that are not</w:t>
      </w:r>
    </w:p>
    <w:p>
      <w:pPr>
        <w:sectPr>
          <w:pgSz w:w="11900" w:h="16838" w:orient="portrait"/>
          <w:cols w:equalWidth="0" w:num="1">
            <w:col w:w="10229"/>
          </w:cols>
          <w:pgMar w:left="230" w:top="622" w:right="1440" w:bottom="1440" w:gutter="0" w:footer="0" w:header="0"/>
        </w:sectPr>
      </w:pPr>
    </w:p>
    <w:bookmarkStart w:id="350" w:name="page351"/>
    <w:bookmarkEnd w:id="350"/>
    <w:p>
      <w:pPr>
        <w:spacing w:after="0"/>
        <w:rPr>
          <w:sz w:val="20"/>
          <w:szCs w:val="20"/>
          <w:color w:val="auto"/>
        </w:rPr>
      </w:pPr>
      <w:r>
        <w:rPr>
          <w:rFonts w:ascii="Courier New" w:cs="Courier New" w:eastAsia="Courier New" w:hAnsi="Courier New"/>
          <w:sz w:val="15"/>
          <w:szCs w:val="15"/>
          <w:color w:val="auto"/>
        </w:rPr>
        <w:t>Thomas E. Dooley</w:t>
      </w:r>
    </w:p>
    <w:p>
      <w:pPr>
        <w:spacing w:after="0"/>
        <w:rPr>
          <w:sz w:val="20"/>
          <w:szCs w:val="20"/>
          <w:color w:val="auto"/>
        </w:rPr>
      </w:pPr>
      <w:r>
        <w:rPr>
          <w:rFonts w:ascii="Courier New" w:cs="Courier New" w:eastAsia="Courier New" w:hAnsi="Courier New"/>
          <w:sz w:val="15"/>
          <w:szCs w:val="15"/>
          <w:color w:val="auto"/>
        </w:rPr>
        <w:t>January 1, 1996</w:t>
      </w:r>
    </w:p>
    <w:p>
      <w:pPr>
        <w:spacing w:after="0"/>
        <w:rPr>
          <w:sz w:val="20"/>
          <w:szCs w:val="20"/>
          <w:color w:val="auto"/>
        </w:rPr>
      </w:pPr>
      <w:r>
        <w:rPr>
          <w:rFonts w:ascii="Courier New" w:cs="Courier New" w:eastAsia="Courier New" w:hAnsi="Courier New"/>
          <w:sz w:val="15"/>
          <w:szCs w:val="15"/>
          <w:color w:val="auto"/>
        </w:rPr>
        <w:t>Page 12</w:t>
      </w:r>
    </w:p>
    <w:p>
      <w:pPr>
        <w:spacing w:after="0" w:line="343"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exercisable as of the end of the Employment Term shall be accelerated and such stock options, together with all stock options granted under the LTMIP Plans which are exercisable at the end of the Employment Term, will be exercisable until six (6) months after the end of the Employment Term or, if earlier, the expiration date of the stock options.</w:t>
      </w:r>
    </w:p>
    <w:p>
      <w:pPr>
        <w:spacing w:after="0" w:line="178" w:lineRule="exact"/>
        <w:rPr>
          <w:sz w:val="20"/>
          <w:szCs w:val="20"/>
          <w:color w:val="auto"/>
        </w:rPr>
      </w:pPr>
    </w:p>
    <w:p>
      <w:pPr>
        <w:ind w:right="3179" w:firstLine="519"/>
        <w:spacing w:after="0" w:line="238" w:lineRule="auto"/>
        <w:tabs>
          <w:tab w:leader="none" w:pos="793"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If you die prior to the end of the Employment Term, your beneficiary or estate shall be entitled to receive your Salary up to the date on which the death occurs, a pro-rated Target Bonus and pro-rated Deferred Compensation for the calendar year in which the death occurs and Deferred Compensation attributable to prior calendar years payable, together with the return thereon as provided in paragraph 3(c), prior to January 31 of the following calendar year. In addition, the vesting of all stock options granted under the LTMIP Plans that are not exercisable as of the date on which the death occurs shall be accelerated, and your beneficiary or estate shall be entitled to exercise such stock options, together with all stock options that are exercisable as of the date of death, for one (1) year after the date of death or, if earlier, the expiration date of the stock options.</w:t>
      </w:r>
    </w:p>
    <w:p>
      <w:pPr>
        <w:spacing w:after="0" w:line="181" w:lineRule="exact"/>
        <w:rPr>
          <w:rFonts w:ascii="Courier New" w:cs="Courier New" w:eastAsia="Courier New" w:hAnsi="Courier New"/>
          <w:sz w:val="15"/>
          <w:szCs w:val="15"/>
          <w:color w:val="auto"/>
        </w:rPr>
      </w:pPr>
    </w:p>
    <w:p>
      <w:pPr>
        <w:ind w:right="3179" w:firstLine="519"/>
        <w:spacing w:after="0" w:line="238" w:lineRule="auto"/>
        <w:tabs>
          <w:tab w:leader="none" w:pos="881"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317 and 507 of the Federal Communications Act. You represent that you have not accepted or given nor will you accept or give, directly or indirectly, any money, services or other valuable consideration from or to anyone other than Viacom for the inclusion of any matter as part of any film, television program or other production produced, distributed and/or developed by Viacom and/or any of its affiliates.</w:t>
      </w:r>
    </w:p>
    <w:p>
      <w:pPr>
        <w:spacing w:after="0" w:line="175" w:lineRule="exact"/>
        <w:rPr>
          <w:rFonts w:ascii="Courier New" w:cs="Courier New" w:eastAsia="Courier New" w:hAnsi="Courier New"/>
          <w:sz w:val="15"/>
          <w:szCs w:val="15"/>
          <w:color w:val="auto"/>
        </w:rPr>
      </w:pPr>
    </w:p>
    <w:p>
      <w:pPr>
        <w:ind w:right="3179" w:firstLine="519"/>
        <w:spacing w:after="0" w:line="237" w:lineRule="auto"/>
        <w:tabs>
          <w:tab w:leader="none" w:pos="881"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Equal Opportunity Employer. You acknowledge that Viacom is an equal opportunity employer. You agree that you will comply with Viacom policies regarding employment practices and with applicable federal, state and local laws prohibiting discrimination on the basis of race, color, creed, national origin, age, sex or disability.</w:t>
      </w:r>
    </w:p>
    <w:p>
      <w:pPr>
        <w:spacing w:after="0" w:line="172" w:lineRule="exact"/>
        <w:rPr>
          <w:rFonts w:ascii="Courier New" w:cs="Courier New" w:eastAsia="Courier New" w:hAnsi="Courier New"/>
          <w:sz w:val="15"/>
          <w:szCs w:val="15"/>
          <w:color w:val="auto"/>
        </w:rPr>
      </w:pPr>
    </w:p>
    <w:p>
      <w:pPr>
        <w:ind w:left="1040" w:hanging="521"/>
        <w:spacing w:after="0"/>
        <w:tabs>
          <w:tab w:leader="none" w:pos="104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w:t>
      </w:r>
    </w:p>
    <w:p>
      <w:pPr>
        <w:spacing w:after="0" w:line="174" w:lineRule="exact"/>
        <w:rPr>
          <w:rFonts w:ascii="Courier New" w:cs="Courier New" w:eastAsia="Courier New" w:hAnsi="Courier New"/>
          <w:sz w:val="15"/>
          <w:szCs w:val="15"/>
          <w:color w:val="auto"/>
        </w:rPr>
      </w:pPr>
    </w:p>
    <w:p>
      <w:pPr>
        <w:ind w:right="3259" w:firstLine="1048"/>
        <w:spacing w:after="0" w:line="238" w:lineRule="auto"/>
        <w:tabs>
          <w:tab w:leader="none" w:pos="1410" w:val="left"/>
        </w:tabs>
        <w:numPr>
          <w:ilvl w:val="1"/>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shall indemnify and hold you harmless, to the maximum extent permitted by law and by the Restated Certificate of Incorporation and/or the Bylaws of Viacom, against judgments, fines, amounts paid in settlement of and reasonable expenses incurred by you in connection with the defense of any action or proceeding (or any appeal therefrom) in which you are a party by reason of your position as Deputy Chairman and Executive Vice President - Finance, Corporate Development and Communications of Viacom or by reason of any prior positions held by you with Viacom, or for any acts or omissions made by you in good faith in the performance of any of your duties as an officer of Viacom.</w:t>
      </w:r>
    </w:p>
    <w:p>
      <w:pPr>
        <w:spacing w:after="0" w:line="179" w:lineRule="exact"/>
        <w:rPr>
          <w:rFonts w:ascii="Courier New" w:cs="Courier New" w:eastAsia="Courier New" w:hAnsi="Courier New"/>
          <w:sz w:val="15"/>
          <w:szCs w:val="15"/>
          <w:color w:val="auto"/>
        </w:rPr>
      </w:pPr>
    </w:p>
    <w:p>
      <w:pPr>
        <w:ind w:right="3539" w:firstLine="1048"/>
        <w:spacing w:after="0" w:line="235" w:lineRule="auto"/>
        <w:tabs>
          <w:tab w:leader="none" w:pos="1410" w:val="left"/>
        </w:tabs>
        <w:numPr>
          <w:ilvl w:val="1"/>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Viacom maintains officers' and directors' liability insurance, you will be covered under such policy.</w:t>
      </w:r>
    </w:p>
    <w:p>
      <w:pPr>
        <w:sectPr>
          <w:pgSz w:w="11900" w:h="16838" w:orient="portrait"/>
          <w:cols w:equalWidth="0" w:num="1">
            <w:col w:w="10219"/>
          </w:cols>
          <w:pgMar w:left="240" w:top="622" w:right="1440" w:bottom="1440" w:gutter="0" w:footer="0" w:header="0"/>
        </w:sectPr>
      </w:pPr>
    </w:p>
    <w:bookmarkStart w:id="351" w:name="page352"/>
    <w:bookmarkEnd w:id="351"/>
    <w:p>
      <w:pPr>
        <w:spacing w:after="0"/>
        <w:rPr>
          <w:sz w:val="20"/>
          <w:szCs w:val="20"/>
          <w:color w:val="auto"/>
        </w:rPr>
      </w:pPr>
      <w:r>
        <w:rPr>
          <w:rFonts w:ascii="Courier New" w:cs="Courier New" w:eastAsia="Courier New" w:hAnsi="Courier New"/>
          <w:sz w:val="15"/>
          <w:szCs w:val="15"/>
          <w:color w:val="auto"/>
        </w:rPr>
        <w:t>Thomas E. Dooley</w:t>
      </w:r>
    </w:p>
    <w:p>
      <w:pPr>
        <w:spacing w:after="0"/>
        <w:rPr>
          <w:sz w:val="20"/>
          <w:szCs w:val="20"/>
          <w:color w:val="auto"/>
        </w:rPr>
      </w:pPr>
      <w:r>
        <w:rPr>
          <w:rFonts w:ascii="Courier New" w:cs="Courier New" w:eastAsia="Courier New" w:hAnsi="Courier New"/>
          <w:sz w:val="15"/>
          <w:szCs w:val="15"/>
          <w:color w:val="auto"/>
        </w:rPr>
        <w:t>January 1, 1996</w:t>
      </w:r>
    </w:p>
    <w:p>
      <w:pPr>
        <w:spacing w:after="0"/>
        <w:rPr>
          <w:sz w:val="20"/>
          <w:szCs w:val="20"/>
          <w:color w:val="auto"/>
        </w:rPr>
      </w:pPr>
      <w:r>
        <w:rPr>
          <w:rFonts w:ascii="Courier New" w:cs="Courier New" w:eastAsia="Courier New" w:hAnsi="Courier New"/>
          <w:sz w:val="15"/>
          <w:szCs w:val="15"/>
          <w:color w:val="auto"/>
        </w:rPr>
        <w:t>Page 13</w:t>
      </w:r>
    </w:p>
    <w:p>
      <w:pPr>
        <w:spacing w:after="0" w:line="343" w:lineRule="exact"/>
        <w:rPr>
          <w:sz w:val="20"/>
          <w:szCs w:val="20"/>
          <w:color w:val="auto"/>
        </w:rPr>
      </w:pPr>
    </w:p>
    <w:p>
      <w:pPr>
        <w:ind w:right="3179" w:firstLine="519"/>
        <w:spacing w:after="0" w:line="237" w:lineRule="auto"/>
        <w:tabs>
          <w:tab w:leader="none" w:pos="881"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required to be given hereunder shall be given in writing, by personal delivery or by mail at the respective addresses of the parties hereto set forth above, or at such other address as may be designated in writing by either party. Any notice given by mail shall be deemed to have been given three days following such mailing.</w:t>
      </w:r>
    </w:p>
    <w:p>
      <w:pPr>
        <w:spacing w:after="0" w:line="178" w:lineRule="exact"/>
        <w:rPr>
          <w:rFonts w:ascii="Courier New" w:cs="Courier New" w:eastAsia="Courier New" w:hAnsi="Courier New"/>
          <w:sz w:val="15"/>
          <w:szCs w:val="15"/>
          <w:color w:val="auto"/>
        </w:rPr>
      </w:pPr>
    </w:p>
    <w:p>
      <w:pPr>
        <w:ind w:right="3259" w:firstLine="519"/>
        <w:spacing w:after="0" w:line="237" w:lineRule="auto"/>
        <w:tabs>
          <w:tab w:leader="none" w:pos="881"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This is an Agreement for the performance of personal services by you and may not be assigned by you or Viacom except that Viacom may assign this Agreement to any affiliate of or any successor in interest to Viacom.</w:t>
      </w:r>
    </w:p>
    <w:p>
      <w:pPr>
        <w:spacing w:after="0" w:line="176" w:lineRule="exact"/>
        <w:rPr>
          <w:rFonts w:ascii="Courier New" w:cs="Courier New" w:eastAsia="Courier New" w:hAnsi="Courier New"/>
          <w:sz w:val="15"/>
          <w:szCs w:val="15"/>
          <w:color w:val="auto"/>
        </w:rPr>
      </w:pPr>
    </w:p>
    <w:p>
      <w:pPr>
        <w:ind w:right="3179" w:firstLine="519"/>
        <w:spacing w:after="0" w:line="237" w:lineRule="auto"/>
        <w:tabs>
          <w:tab w:leader="none" w:pos="881"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York Law, Etc. This Agreement and all matters or issues collateral thereto shall be governed by the laws of the State of New York applicable to contracts entered into and performed entirely therein. Any action to enforce this Agreement shall be brought in the state or federal courts located in the City of New York.</w:t>
      </w:r>
    </w:p>
    <w:p>
      <w:pPr>
        <w:spacing w:after="0" w:line="178" w:lineRule="exact"/>
        <w:rPr>
          <w:rFonts w:ascii="Courier New" w:cs="Courier New" w:eastAsia="Courier New" w:hAnsi="Courier New"/>
          <w:sz w:val="15"/>
          <w:szCs w:val="15"/>
          <w:color w:val="auto"/>
        </w:rPr>
      </w:pPr>
    </w:p>
    <w:p>
      <w:pPr>
        <w:ind w:right="3179" w:firstLine="519"/>
        <w:spacing w:after="0" w:line="238" w:lineRule="auto"/>
        <w:tabs>
          <w:tab w:leader="none" w:pos="881"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Implied Contract. Nothing contained in this Agreement shall be construed to impose any obligation on Viacom to renew this Agreement or any portion thereof. The parties intend to be bound only upon execution of a written agreement and no negotiation, exchange of draft or partial performance shall be deemed to imply an agreement. Neither the continuation of employment nor any other conduct shall be deemed to imply a continuing agreement upon the expiration of this Agreement.</w:t>
      </w:r>
    </w:p>
    <w:p>
      <w:pPr>
        <w:spacing w:after="0" w:line="176" w:lineRule="exact"/>
        <w:rPr>
          <w:rFonts w:ascii="Courier New" w:cs="Courier New" w:eastAsia="Courier New" w:hAnsi="Courier New"/>
          <w:sz w:val="15"/>
          <w:szCs w:val="15"/>
          <w:color w:val="auto"/>
        </w:rPr>
      </w:pPr>
    </w:p>
    <w:p>
      <w:pPr>
        <w:ind w:right="3179" w:firstLine="519"/>
        <w:spacing w:after="0" w:line="237" w:lineRule="auto"/>
        <w:tabs>
          <w:tab w:leader="none" w:pos="881"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Understanding. This Agreement contains the entire understanding of the parties hereto relating to the subject matter herein contained, and can be changed only by a writing signed by both parties hereto.</w:t>
      </w:r>
    </w:p>
    <w:p>
      <w:pPr>
        <w:spacing w:after="0" w:line="174" w:lineRule="exact"/>
        <w:rPr>
          <w:rFonts w:ascii="Courier New" w:cs="Courier New" w:eastAsia="Courier New" w:hAnsi="Courier New"/>
          <w:sz w:val="15"/>
          <w:szCs w:val="15"/>
          <w:color w:val="auto"/>
        </w:rPr>
      </w:pPr>
    </w:p>
    <w:p>
      <w:pPr>
        <w:ind w:right="3179" w:firstLine="519"/>
        <w:spacing w:after="0" w:line="237" w:lineRule="auto"/>
        <w:tabs>
          <w:tab w:leader="none" w:pos="881"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Void Provisions. If any provision of this Agreement, as applied to either party or to any circumstances, shall be adjudged by a court to be void or unenforceable, the same shall be deemed stricken from this Agreement and shall in no way affect any other provision of this Agreement or the validity or enforceability of this Agreement.</w:t>
      </w:r>
    </w:p>
    <w:p>
      <w:pPr>
        <w:spacing w:after="0" w:line="178" w:lineRule="exact"/>
        <w:rPr>
          <w:rFonts w:ascii="Courier New" w:cs="Courier New" w:eastAsia="Courier New" w:hAnsi="Courier New"/>
          <w:sz w:val="15"/>
          <w:szCs w:val="15"/>
          <w:color w:val="auto"/>
        </w:rPr>
      </w:pPr>
    </w:p>
    <w:p>
      <w:pPr>
        <w:ind w:right="3179" w:firstLine="519"/>
        <w:spacing w:after="0" w:line="238" w:lineRule="auto"/>
        <w:tabs>
          <w:tab w:leader="none" w:pos="881"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Supersedes Previous Agreement. This Agreement supersedes and cancels all prior agreements relating to your employment by Viacom or any of its affiliates, including, without limitation, the employment agreement with Viacom, dated as of April 1, 1994. Notwithstanding the preceding sentence, this Agreement is not intended, and shall not be construed, to affect your rights in any compensation or benefits that have been granted or accrued prior to the beginning of the Employment Term .</w:t>
      </w:r>
    </w:p>
    <w:p>
      <w:pPr>
        <w:sectPr>
          <w:pgSz w:w="11900" w:h="16838" w:orient="portrait"/>
          <w:cols w:equalWidth="0" w:num="1">
            <w:col w:w="10219"/>
          </w:cols>
          <w:pgMar w:left="240" w:top="622" w:right="1440" w:bottom="1440" w:gutter="0" w:footer="0" w:header="0"/>
        </w:sectPr>
      </w:pPr>
    </w:p>
    <w:bookmarkStart w:id="352" w:name="page353"/>
    <w:bookmarkEnd w:id="352"/>
    <w:p>
      <w:pPr>
        <w:ind w:left="10"/>
        <w:spacing w:after="0"/>
        <w:rPr>
          <w:sz w:val="20"/>
          <w:szCs w:val="20"/>
          <w:color w:val="auto"/>
        </w:rPr>
      </w:pPr>
      <w:r>
        <w:rPr>
          <w:rFonts w:ascii="Courier New" w:cs="Courier New" w:eastAsia="Courier New" w:hAnsi="Courier New"/>
          <w:sz w:val="15"/>
          <w:szCs w:val="15"/>
          <w:color w:val="auto"/>
        </w:rPr>
        <w:t>Thomas E. Dooley</w:t>
      </w:r>
    </w:p>
    <w:p>
      <w:pPr>
        <w:ind w:left="10"/>
        <w:spacing w:after="0"/>
        <w:rPr>
          <w:sz w:val="20"/>
          <w:szCs w:val="20"/>
          <w:color w:val="auto"/>
        </w:rPr>
      </w:pPr>
      <w:r>
        <w:rPr>
          <w:rFonts w:ascii="Courier New" w:cs="Courier New" w:eastAsia="Courier New" w:hAnsi="Courier New"/>
          <w:sz w:val="15"/>
          <w:szCs w:val="15"/>
          <w:color w:val="auto"/>
        </w:rPr>
        <w:t>January 1, 1996</w:t>
      </w:r>
    </w:p>
    <w:p>
      <w:pPr>
        <w:ind w:left="10"/>
        <w:spacing w:after="0"/>
        <w:rPr>
          <w:sz w:val="20"/>
          <w:szCs w:val="20"/>
          <w:color w:val="auto"/>
        </w:rPr>
      </w:pPr>
      <w:r>
        <w:rPr>
          <w:rFonts w:ascii="Courier New" w:cs="Courier New" w:eastAsia="Courier New" w:hAnsi="Courier New"/>
          <w:sz w:val="15"/>
          <w:szCs w:val="15"/>
          <w:color w:val="auto"/>
        </w:rPr>
        <w:t>Page 14</w:t>
      </w:r>
    </w:p>
    <w:p>
      <w:pPr>
        <w:spacing w:after="0" w:line="343" w:lineRule="exact"/>
        <w:rPr>
          <w:sz w:val="20"/>
          <w:szCs w:val="20"/>
          <w:color w:val="auto"/>
        </w:rPr>
      </w:pPr>
    </w:p>
    <w:p>
      <w:pPr>
        <w:ind w:left="10" w:right="3359" w:firstLine="529"/>
        <w:spacing w:after="0" w:line="237" w:lineRule="auto"/>
        <w:rPr>
          <w:sz w:val="20"/>
          <w:szCs w:val="20"/>
          <w:color w:val="auto"/>
        </w:rPr>
      </w:pPr>
      <w:r>
        <w:rPr>
          <w:rFonts w:ascii="Courier New" w:cs="Courier New" w:eastAsia="Courier New" w:hAnsi="Courier New"/>
          <w:sz w:val="15"/>
          <w:szCs w:val="15"/>
          <w:color w:val="auto"/>
        </w:rPr>
        <w:t>If the foregoing correctly sets forth our understanding, please sign one copy of this letter and return it to the undersigned, whereupon this letter shall constitute a binding agreement between us.</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Very truly yours,</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VIACOM INC.</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By: /s/ Sumner M. Redstone</w:t>
      </w:r>
    </w:p>
    <w:p>
      <w:pPr>
        <w:ind w:left="3710"/>
        <w:spacing w:after="0"/>
        <w:rPr>
          <w:sz w:val="20"/>
          <w:szCs w:val="20"/>
          <w:color w:val="auto"/>
        </w:rPr>
      </w:pPr>
      <w:r>
        <w:rPr>
          <w:rFonts w:ascii="Courier New" w:cs="Courier New" w:eastAsia="Courier New" w:hAnsi="Courier New"/>
          <w:sz w:val="15"/>
          <w:szCs w:val="15"/>
          <w:color w:val="auto"/>
        </w:rPr>
        <w:t>--------------------------------</w:t>
      </w:r>
    </w:p>
    <w:p>
      <w:pPr>
        <w:ind w:left="3710"/>
        <w:spacing w:after="0"/>
        <w:tabs>
          <w:tab w:leader="none" w:pos="4289" w:val="left"/>
        </w:tabs>
        <w:rPr>
          <w:sz w:val="20"/>
          <w:szCs w:val="20"/>
          <w:color w:val="auto"/>
        </w:rPr>
      </w:pPr>
      <w:r>
        <w:rPr>
          <w:rFonts w:ascii="Courier New" w:cs="Courier New" w:eastAsia="Courier New" w:hAnsi="Courier New"/>
          <w:sz w:val="15"/>
          <w:szCs w:val="15"/>
          <w:color w:val="auto"/>
        </w:rPr>
        <w:t>Name:</w:t>
        <w:tab/>
        <w:t>Sumner M. Redstone</w:t>
      </w:r>
    </w:p>
    <w:p>
      <w:pPr>
        <w:ind w:left="3710"/>
        <w:spacing w:after="0" w:line="238" w:lineRule="auto"/>
        <w:rPr>
          <w:sz w:val="20"/>
          <w:szCs w:val="20"/>
          <w:color w:val="auto"/>
        </w:rPr>
      </w:pPr>
      <w:r>
        <w:rPr>
          <w:rFonts w:ascii="Courier New" w:cs="Courier New" w:eastAsia="Courier New" w:hAnsi="Courier New"/>
          <w:sz w:val="15"/>
          <w:szCs w:val="15"/>
          <w:color w:val="auto"/>
        </w:rPr>
        <w:t>Title: Chairman of the Board and</w:t>
      </w:r>
    </w:p>
    <w:p>
      <w:pPr>
        <w:ind w:left="4310"/>
        <w:spacing w:after="0"/>
        <w:rPr>
          <w:sz w:val="20"/>
          <w:szCs w:val="20"/>
          <w:color w:val="auto"/>
        </w:rPr>
      </w:pPr>
      <w:r>
        <w:rPr>
          <w:rFonts w:ascii="Courier New" w:cs="Courier New" w:eastAsia="Courier New" w:hAnsi="Courier New"/>
          <w:sz w:val="15"/>
          <w:szCs w:val="15"/>
          <w:color w:val="auto"/>
        </w:rPr>
        <w:t>Chief Executive Officer</w:t>
      </w: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ACCEPTED AND AGREED:</w:t>
      </w:r>
    </w:p>
    <w:p>
      <w:pPr>
        <w:spacing w:after="0" w:line="339" w:lineRule="exact"/>
        <w:rPr>
          <w:sz w:val="20"/>
          <w:szCs w:val="20"/>
          <w:color w:val="auto"/>
        </w:rPr>
      </w:pPr>
    </w:p>
    <w:p>
      <w:pPr>
        <w:ind w:left="450"/>
        <w:spacing w:after="0"/>
        <w:tabs>
          <w:tab w:leader="none" w:pos="869"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Thomas E. Dooley</w:t>
      </w:r>
    </w:p>
    <w:p>
      <w:pPr>
        <w:ind w:left="170" w:hanging="170"/>
        <w:spacing w:after="0"/>
        <w:tabs>
          <w:tab w:leader="none" w:pos="17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Thomas E. Dooley</w:t>
      </w:r>
    </w:p>
    <w:p>
      <w:pPr>
        <w:sectPr>
          <w:pgSz w:w="11900" w:h="16838" w:orient="portrait"/>
          <w:cols w:equalWidth="0" w:num="1">
            <w:col w:w="10229"/>
          </w:cols>
          <w:pgMar w:left="230" w:top="622" w:right="1440" w:bottom="1440" w:gutter="0" w:footer="0" w:header="0"/>
        </w:sectPr>
      </w:pPr>
    </w:p>
    <w:bookmarkStart w:id="353" w:name="page354"/>
    <w:bookmarkEnd w:id="353"/>
    <w:p>
      <w:pPr>
        <w:ind w:left="6170"/>
        <w:spacing w:after="0"/>
        <w:rPr>
          <w:sz w:val="20"/>
          <w:szCs w:val="20"/>
          <w:color w:val="auto"/>
        </w:rPr>
      </w:pPr>
      <w:r>
        <w:rPr>
          <w:rFonts w:ascii="Courier New" w:cs="Courier New" w:eastAsia="Courier New" w:hAnsi="Courier New"/>
          <w:sz w:val="15"/>
          <w:szCs w:val="15"/>
          <w:color w:val="auto"/>
        </w:rPr>
        <w:t>Exhibit 11</w:t>
      </w:r>
    </w:p>
    <w:p>
      <w:pPr>
        <w:spacing w:after="0" w:line="169" w:lineRule="exact"/>
        <w:rPr>
          <w:sz w:val="20"/>
          <w:szCs w:val="20"/>
          <w:color w:val="auto"/>
        </w:rPr>
      </w:pPr>
    </w:p>
    <w:p>
      <w:pPr>
        <w:ind w:left="2830"/>
        <w:spacing w:after="0"/>
        <w:rPr>
          <w:sz w:val="20"/>
          <w:szCs w:val="20"/>
          <w:color w:val="auto"/>
        </w:rPr>
      </w:pPr>
      <w:r>
        <w:rPr>
          <w:rFonts w:ascii="Courier New" w:cs="Courier New" w:eastAsia="Courier New" w:hAnsi="Courier New"/>
          <w:sz w:val="15"/>
          <w:szCs w:val="15"/>
          <w:color w:val="auto"/>
        </w:rPr>
        <w:t>Viacom Inc. and Subsidiaries</w:t>
      </w:r>
    </w:p>
    <w:p>
      <w:pPr>
        <w:ind w:left="2470"/>
        <w:spacing w:after="0"/>
        <w:rPr>
          <w:sz w:val="20"/>
          <w:szCs w:val="20"/>
          <w:color w:val="auto"/>
        </w:rPr>
      </w:pPr>
      <w:r>
        <w:rPr>
          <w:rFonts w:ascii="Courier New" w:cs="Courier New" w:eastAsia="Courier New" w:hAnsi="Courier New"/>
          <w:sz w:val="15"/>
          <w:szCs w:val="15"/>
          <w:color w:val="auto"/>
        </w:rPr>
        <w:t>Computation of Net Earnings Per Share</w:t>
      </w:r>
    </w:p>
    <w:p>
      <w:pPr>
        <w:spacing w:after="0" w:line="33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60" w:type="dxa"/>
            <w:vAlign w:val="bottom"/>
            <w:gridSpan w:val="4"/>
          </w:tcPr>
          <w:p>
            <w:pPr>
              <w:jc w:val="right"/>
              <w:ind w:right="46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4480" w:type="dxa"/>
            <w:vAlign w:val="bottom"/>
          </w:tcPr>
          <w:p>
            <w:pPr>
              <w:spacing w:after="0"/>
              <w:rPr>
                <w:sz w:val="14"/>
                <w:szCs w:val="14"/>
                <w:color w:val="auto"/>
              </w:rPr>
            </w:pPr>
          </w:p>
        </w:tc>
        <w:tc>
          <w:tcPr>
            <w:tcW w:w="3540" w:type="dxa"/>
            <w:vAlign w:val="bottom"/>
            <w:gridSpan w:val="6"/>
          </w:tcPr>
          <w:p>
            <w:pPr>
              <w:ind w:left="280"/>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4"/>
              </w:rPr>
              <w:t>1995</w:t>
            </w:r>
          </w:p>
        </w:tc>
        <w:tc>
          <w:tcPr>
            <w:tcW w:w="54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1994</w:t>
            </w:r>
          </w:p>
        </w:tc>
        <w:tc>
          <w:tcPr>
            <w:tcW w:w="44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4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4"/>
              </w:rPr>
              <w:t>----</w:t>
            </w:r>
          </w:p>
        </w:tc>
        <w:tc>
          <w:tcPr>
            <w:tcW w:w="54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(In millions, except per share amounts)</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Earnings:</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9"/>
        </w:trPr>
        <w:tc>
          <w:tcPr>
            <w:tcW w:w="4480" w:type="dxa"/>
            <w:vAlign w:val="bottom"/>
          </w:tcPr>
          <w:p>
            <w:pPr>
              <w:spacing w:after="0"/>
              <w:rPr>
                <w:sz w:val="20"/>
                <w:szCs w:val="20"/>
                <w:color w:val="auto"/>
              </w:rPr>
            </w:pPr>
            <w:r>
              <w:rPr>
                <w:rFonts w:ascii="Courier New" w:cs="Courier New" w:eastAsia="Courier New" w:hAnsi="Courier New"/>
                <w:sz w:val="15"/>
                <w:szCs w:val="15"/>
                <w:color w:val="auto"/>
              </w:rPr>
              <w:t>Net earnings from continuing operations.........</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$214.9</w:t>
            </w:r>
          </w:p>
        </w:tc>
        <w:tc>
          <w:tcPr>
            <w:tcW w:w="540" w:type="dxa"/>
            <w:vAlign w:val="bottom"/>
          </w:tcPr>
          <w:p>
            <w:pPr>
              <w:spacing w:after="0"/>
              <w:rPr>
                <w:sz w:val="24"/>
                <w:szCs w:val="2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2"/>
              </w:rPr>
              <w:t>$130.5</w:t>
            </w: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$ 169.5</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Cumulative convertible preferred stock dividend</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requirement...................................</w:t>
            </w:r>
          </w:p>
        </w:tc>
        <w:tc>
          <w:tcPr>
            <w:tcW w:w="36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60.0</w:t>
            </w:r>
          </w:p>
        </w:tc>
        <w:tc>
          <w:tcPr>
            <w:tcW w:w="54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75.0</w:t>
            </w:r>
          </w:p>
        </w:tc>
        <w:tc>
          <w:tcPr>
            <w:tcW w:w="44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12.8</w:t>
            </w:r>
          </w:p>
        </w:tc>
      </w:tr>
      <w:tr>
        <w:trPr>
          <w:trHeight w:val="170"/>
        </w:trPr>
        <w:tc>
          <w:tcPr>
            <w:tcW w:w="4480" w:type="dxa"/>
            <w:vAlign w:val="bottom"/>
          </w:tcPr>
          <w:p>
            <w:pPr>
              <w:spacing w:after="0"/>
              <w:rPr>
                <w:sz w:val="14"/>
                <w:szCs w:val="14"/>
                <w:color w:val="auto"/>
              </w:rPr>
            </w:pP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2"/>
              </w:rPr>
              <w:t>------</w:t>
            </w: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Earnings from continuing operations attributable</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 common stock...............................</w:t>
            </w:r>
          </w:p>
        </w:tc>
        <w:tc>
          <w:tcPr>
            <w:tcW w:w="36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154.9</w:t>
            </w:r>
          </w:p>
        </w:tc>
        <w:tc>
          <w:tcPr>
            <w:tcW w:w="54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55.5</w:t>
            </w:r>
          </w:p>
        </w:tc>
        <w:tc>
          <w:tcPr>
            <w:tcW w:w="44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156.7</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Earnings (loss) from discontinued operations, net</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of tax........................................</w:t>
            </w:r>
          </w:p>
        </w:tc>
        <w:tc>
          <w:tcPr>
            <w:tcW w:w="36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w:t>
            </w:r>
          </w:p>
        </w:tc>
        <w:tc>
          <w:tcPr>
            <w:tcW w:w="5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(20.5)</w:t>
            </w:r>
          </w:p>
        </w:tc>
        <w:tc>
          <w:tcPr>
            <w:tcW w:w="44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Extraordinary loss, net of tax..................</w:t>
            </w:r>
          </w:p>
        </w:tc>
        <w:tc>
          <w:tcPr>
            <w:tcW w:w="36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(20.4)</w:t>
            </w:r>
          </w:p>
        </w:tc>
        <w:tc>
          <w:tcPr>
            <w:tcW w:w="44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(8.9)</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accounting</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principle.....................................</w:t>
            </w:r>
          </w:p>
        </w:tc>
        <w:tc>
          <w:tcPr>
            <w:tcW w:w="36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10.4</w:t>
            </w:r>
          </w:p>
        </w:tc>
      </w:tr>
      <w:tr>
        <w:trPr>
          <w:trHeight w:val="170"/>
        </w:trPr>
        <w:tc>
          <w:tcPr>
            <w:tcW w:w="44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Net earnings attributable to common stock.......</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$162.5</w:t>
            </w:r>
          </w:p>
        </w:tc>
        <w:tc>
          <w:tcPr>
            <w:tcW w:w="54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2"/>
              </w:rPr>
              <w:t>$ 14.6</w:t>
            </w: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$ 158.2</w:t>
            </w:r>
          </w:p>
        </w:tc>
      </w:tr>
      <w:tr>
        <w:trPr>
          <w:trHeight w:val="339"/>
        </w:trPr>
        <w:tc>
          <w:tcPr>
            <w:tcW w:w="4480" w:type="dxa"/>
            <w:vAlign w:val="bottom"/>
          </w:tcPr>
          <w:p>
            <w:pPr>
              <w:spacing w:after="0"/>
              <w:rPr>
                <w:sz w:val="20"/>
                <w:szCs w:val="20"/>
                <w:color w:val="auto"/>
              </w:rPr>
            </w:pPr>
            <w:r>
              <w:rPr>
                <w:rFonts w:ascii="Courier New" w:cs="Courier New" w:eastAsia="Courier New" w:hAnsi="Courier New"/>
                <w:sz w:val="15"/>
                <w:szCs w:val="15"/>
                <w:color w:val="auto"/>
              </w:rPr>
              <w:t>Primary Computation:</w:t>
            </w: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480" w:type="dxa"/>
            <w:vAlign w:val="bottom"/>
          </w:tcPr>
          <w:p>
            <w:pPr>
              <w:jc w:val="right"/>
              <w:ind w:right="3707"/>
              <w:spacing w:after="0"/>
              <w:rPr>
                <w:sz w:val="20"/>
                <w:szCs w:val="20"/>
                <w:color w:val="auto"/>
              </w:rPr>
            </w:pPr>
            <w:r>
              <w:rPr>
                <w:rFonts w:ascii="Courier New" w:cs="Courier New" w:eastAsia="Courier New" w:hAnsi="Courier New"/>
                <w:sz w:val="15"/>
                <w:szCs w:val="15"/>
                <w:color w:val="auto"/>
              </w:rPr>
              <w:t>Shares:</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Weighted average number of common shares.....</w:t>
            </w:r>
          </w:p>
        </w:tc>
        <w:tc>
          <w:tcPr>
            <w:tcW w:w="36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362.4</w:t>
            </w:r>
          </w:p>
        </w:tc>
        <w:tc>
          <w:tcPr>
            <w:tcW w:w="54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207.6</w:t>
            </w:r>
          </w:p>
        </w:tc>
        <w:tc>
          <w:tcPr>
            <w:tcW w:w="44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120.6</w:t>
            </w:r>
          </w:p>
        </w:tc>
      </w:tr>
      <w:tr>
        <w:trPr>
          <w:trHeight w:val="170"/>
        </w:trPr>
        <w:tc>
          <w:tcPr>
            <w:tcW w:w="4480" w:type="dxa"/>
            <w:vAlign w:val="bottom"/>
          </w:tcPr>
          <w:p>
            <w:pPr>
              <w:ind w:left="260"/>
              <w:spacing w:after="0"/>
              <w:rPr>
                <w:sz w:val="20"/>
                <w:szCs w:val="20"/>
                <w:color w:val="auto"/>
              </w:rPr>
            </w:pPr>
            <w:r>
              <w:rPr>
                <w:rFonts w:ascii="Courier New" w:cs="Courier New" w:eastAsia="Courier New" w:hAnsi="Courier New"/>
                <w:sz w:val="15"/>
                <w:szCs w:val="15"/>
                <w:color w:val="auto"/>
              </w:rPr>
              <w:t>Common shares potentially issuable in</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480" w:type="dxa"/>
            <w:vAlign w:val="bottom"/>
          </w:tcPr>
          <w:p>
            <w:pPr>
              <w:ind w:left="520"/>
              <w:spacing w:after="0"/>
              <w:rPr>
                <w:sz w:val="20"/>
                <w:szCs w:val="20"/>
                <w:color w:val="auto"/>
              </w:rPr>
            </w:pPr>
            <w:r>
              <w:rPr>
                <w:rFonts w:ascii="Courier New" w:cs="Courier New" w:eastAsia="Courier New" w:hAnsi="Courier New"/>
                <w:sz w:val="15"/>
                <w:szCs w:val="15"/>
                <w:color w:val="auto"/>
              </w:rPr>
              <w:t>connection with:</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Stock options and warrants................</w:t>
            </w:r>
          </w:p>
        </w:tc>
        <w:tc>
          <w:tcPr>
            <w:tcW w:w="36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w:t>
            </w:r>
          </w:p>
        </w:tc>
        <w:tc>
          <w:tcPr>
            <w:tcW w:w="54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w:t>
            </w:r>
          </w:p>
        </w:tc>
        <w:tc>
          <w:tcPr>
            <w:tcW w:w="44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Contingent value rights (a)...............</w:t>
            </w:r>
          </w:p>
        </w:tc>
        <w:tc>
          <w:tcPr>
            <w:tcW w:w="36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5.8</w:t>
            </w:r>
          </w:p>
        </w:tc>
        <w:tc>
          <w:tcPr>
            <w:tcW w:w="44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Variable common rights (b)................</w:t>
            </w:r>
          </w:p>
        </w:tc>
        <w:tc>
          <w:tcPr>
            <w:tcW w:w="36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w:t>
            </w:r>
          </w:p>
        </w:tc>
        <w:tc>
          <w:tcPr>
            <w:tcW w:w="54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w:t>
            </w:r>
          </w:p>
        </w:tc>
        <w:tc>
          <w:tcPr>
            <w:tcW w:w="44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ind w:left="260"/>
              <w:spacing w:after="0"/>
              <w:rPr>
                <w:sz w:val="20"/>
                <w:szCs w:val="20"/>
                <w:color w:val="auto"/>
              </w:rPr>
            </w:pPr>
            <w:r>
              <w:rPr>
                <w:rFonts w:ascii="Courier New" w:cs="Courier New" w:eastAsia="Courier New" w:hAnsi="Courier New"/>
                <w:sz w:val="15"/>
                <w:szCs w:val="15"/>
                <w:color w:val="auto"/>
              </w:rPr>
              <w:t>Weighted average common shares and common</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share equivalents.........................</w:t>
            </w:r>
          </w:p>
        </w:tc>
        <w:tc>
          <w:tcPr>
            <w:tcW w:w="36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375.1</w:t>
            </w:r>
          </w:p>
        </w:tc>
        <w:tc>
          <w:tcPr>
            <w:tcW w:w="54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220.0</w:t>
            </w:r>
          </w:p>
        </w:tc>
        <w:tc>
          <w:tcPr>
            <w:tcW w:w="44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120.6</w:t>
            </w:r>
          </w:p>
        </w:tc>
      </w:tr>
      <w:tr>
        <w:trPr>
          <w:trHeight w:val="339"/>
        </w:trPr>
        <w:tc>
          <w:tcPr>
            <w:tcW w:w="4480" w:type="dxa"/>
            <w:vAlign w:val="bottom"/>
          </w:tcPr>
          <w:p>
            <w:pPr>
              <w:spacing w:after="0"/>
              <w:rPr>
                <w:sz w:val="20"/>
                <w:szCs w:val="20"/>
                <w:color w:val="auto"/>
              </w:rPr>
            </w:pPr>
            <w:r>
              <w:rPr>
                <w:rFonts w:ascii="Courier New" w:cs="Courier New" w:eastAsia="Courier New" w:hAnsi="Courier New"/>
                <w:sz w:val="15"/>
                <w:szCs w:val="15"/>
                <w:color w:val="auto"/>
              </w:rPr>
              <w:t>Net earnings per common share:</w:t>
            </w: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0"/>
        </w:trPr>
        <w:tc>
          <w:tcPr>
            <w:tcW w:w="4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Net earnings from continuing operations.....</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w:t>
            </w:r>
          </w:p>
        </w:tc>
        <w:tc>
          <w:tcPr>
            <w:tcW w:w="44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$ 1.30</w:t>
            </w:r>
          </w:p>
        </w:tc>
      </w:tr>
      <w:tr>
        <w:trPr>
          <w:trHeight w:val="170"/>
        </w:trPr>
        <w:tc>
          <w:tcPr>
            <w:tcW w:w="4480" w:type="dxa"/>
            <w:vAlign w:val="bottom"/>
          </w:tcPr>
          <w:p>
            <w:pPr>
              <w:ind w:left="340"/>
              <w:spacing w:after="0"/>
              <w:rPr>
                <w:sz w:val="20"/>
                <w:szCs w:val="20"/>
                <w:color w:val="auto"/>
              </w:rPr>
            </w:pPr>
            <w:r>
              <w:rPr>
                <w:rFonts w:ascii="Courier New" w:cs="Courier New" w:eastAsia="Courier New" w:hAnsi="Courier New"/>
                <w:sz w:val="15"/>
                <w:szCs w:val="15"/>
                <w:color w:val="auto"/>
              </w:rPr>
              <w:t>Earnings (loss) from discontinued operations,</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net of tax..................................</w:t>
            </w:r>
          </w:p>
        </w:tc>
        <w:tc>
          <w:tcPr>
            <w:tcW w:w="36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.02</w:t>
            </w:r>
          </w:p>
        </w:tc>
        <w:tc>
          <w:tcPr>
            <w:tcW w:w="5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(.09)</w:t>
            </w:r>
          </w:p>
        </w:tc>
        <w:tc>
          <w:tcPr>
            <w:tcW w:w="44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Extraordinary loss, net of tax..............</w:t>
            </w:r>
          </w:p>
        </w:tc>
        <w:tc>
          <w:tcPr>
            <w:tcW w:w="36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(.09)</w:t>
            </w:r>
          </w:p>
        </w:tc>
        <w:tc>
          <w:tcPr>
            <w:tcW w:w="44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(.07)</w:t>
            </w:r>
          </w:p>
        </w:tc>
      </w:tr>
      <w:tr>
        <w:trPr>
          <w:trHeight w:val="170"/>
        </w:trPr>
        <w:tc>
          <w:tcPr>
            <w:tcW w:w="4480" w:type="dxa"/>
            <w:vAlign w:val="bottom"/>
          </w:tcPr>
          <w:p>
            <w:pPr>
              <w:ind w:left="340"/>
              <w:spacing w:after="0"/>
              <w:rPr>
                <w:sz w:val="20"/>
                <w:szCs w:val="20"/>
                <w:color w:val="auto"/>
              </w:rPr>
            </w:pPr>
            <w:r>
              <w:rPr>
                <w:rFonts w:ascii="Courier New" w:cs="Courier New" w:eastAsia="Courier New" w:hAnsi="Courier New"/>
                <w:sz w:val="15"/>
                <w:szCs w:val="15"/>
                <w:color w:val="auto"/>
              </w:rPr>
              <w:t>Cumulative effect of change in accounting</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480" w:type="dxa"/>
            <w:vAlign w:val="bottom"/>
          </w:tcPr>
          <w:p>
            <w:pPr>
              <w:ind w:left="520"/>
              <w:spacing w:after="0"/>
              <w:rPr>
                <w:sz w:val="20"/>
                <w:szCs w:val="20"/>
                <w:color w:val="auto"/>
              </w:rPr>
            </w:pPr>
            <w:r>
              <w:rPr>
                <w:rFonts w:ascii="Courier New" w:cs="Courier New" w:eastAsia="Courier New" w:hAnsi="Courier New"/>
                <w:sz w:val="15"/>
                <w:szCs w:val="15"/>
                <w:color w:val="auto"/>
                <w:w w:val="99"/>
              </w:rPr>
              <w:t>principle...................................</w:t>
            </w:r>
          </w:p>
        </w:tc>
        <w:tc>
          <w:tcPr>
            <w:tcW w:w="36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.08</w:t>
            </w:r>
          </w:p>
        </w:tc>
      </w:tr>
      <w:tr>
        <w:trPr>
          <w:trHeight w:val="170"/>
        </w:trPr>
        <w:tc>
          <w:tcPr>
            <w:tcW w:w="4480" w:type="dxa"/>
            <w:vAlign w:val="bottom"/>
          </w:tcPr>
          <w:p>
            <w:pPr>
              <w:spacing w:after="0"/>
              <w:rPr>
                <w:sz w:val="14"/>
                <w:szCs w:val="14"/>
                <w:color w:val="auto"/>
              </w:rPr>
            </w:pP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2"/>
              </w:rPr>
              <w:t>------</w:t>
            </w:r>
          </w:p>
        </w:tc>
        <w:tc>
          <w:tcPr>
            <w:tcW w:w="44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4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Net earnings................................</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.07</w:t>
            </w:r>
          </w:p>
        </w:tc>
        <w:tc>
          <w:tcPr>
            <w:tcW w:w="44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$ 1.31</w:t>
            </w:r>
          </w:p>
        </w:tc>
      </w:tr>
      <w:tr>
        <w:trPr>
          <w:trHeight w:val="170"/>
        </w:trPr>
        <w:tc>
          <w:tcPr>
            <w:tcW w:w="4480" w:type="dxa"/>
            <w:vAlign w:val="bottom"/>
          </w:tcPr>
          <w:p>
            <w:pPr>
              <w:spacing w:after="0"/>
              <w:rPr>
                <w:sz w:val="14"/>
                <w:szCs w:val="14"/>
                <w:color w:val="auto"/>
              </w:rPr>
            </w:pP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2"/>
              </w:rPr>
              <w:t>======</w:t>
            </w:r>
          </w:p>
        </w:tc>
        <w:tc>
          <w:tcPr>
            <w:tcW w:w="44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4480" w:type="dxa"/>
            <w:vAlign w:val="bottom"/>
          </w:tcPr>
          <w:p>
            <w:pPr>
              <w:spacing w:after="0"/>
              <w:rPr>
                <w:sz w:val="20"/>
                <w:szCs w:val="20"/>
                <w:color w:val="auto"/>
              </w:rPr>
            </w:pPr>
            <w:r>
              <w:rPr>
                <w:rFonts w:ascii="Courier New" w:cs="Courier New" w:eastAsia="Courier New" w:hAnsi="Courier New"/>
                <w:sz w:val="15"/>
                <w:szCs w:val="15"/>
                <w:color w:val="auto"/>
              </w:rPr>
              <w:t>Fully Diluted Computation (c):</w:t>
            </w: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480" w:type="dxa"/>
            <w:vAlign w:val="bottom"/>
          </w:tcPr>
          <w:p>
            <w:pPr>
              <w:jc w:val="right"/>
              <w:ind w:right="3707"/>
              <w:spacing w:after="0"/>
              <w:rPr>
                <w:sz w:val="20"/>
                <w:szCs w:val="20"/>
                <w:color w:val="auto"/>
              </w:rPr>
            </w:pPr>
            <w:r>
              <w:rPr>
                <w:rFonts w:ascii="Courier New" w:cs="Courier New" w:eastAsia="Courier New" w:hAnsi="Courier New"/>
                <w:sz w:val="15"/>
                <w:szCs w:val="15"/>
                <w:color w:val="auto"/>
              </w:rPr>
              <w:t>Shares:</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480" w:type="dxa"/>
            <w:vAlign w:val="bottom"/>
          </w:tcPr>
          <w:p>
            <w:pPr>
              <w:ind w:left="260"/>
              <w:spacing w:after="0"/>
              <w:rPr>
                <w:sz w:val="20"/>
                <w:szCs w:val="20"/>
                <w:color w:val="auto"/>
              </w:rPr>
            </w:pPr>
            <w:r>
              <w:rPr>
                <w:rFonts w:ascii="Courier New" w:cs="Courier New" w:eastAsia="Courier New" w:hAnsi="Courier New"/>
                <w:sz w:val="15"/>
                <w:szCs w:val="15"/>
                <w:color w:val="auto"/>
              </w:rPr>
              <w:t>Weighted average number of common shares</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outstanding................................</w:t>
            </w:r>
          </w:p>
        </w:tc>
        <w:tc>
          <w:tcPr>
            <w:tcW w:w="36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362.4</w:t>
            </w:r>
          </w:p>
        </w:tc>
        <w:tc>
          <w:tcPr>
            <w:tcW w:w="54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207.6</w:t>
            </w:r>
          </w:p>
        </w:tc>
        <w:tc>
          <w:tcPr>
            <w:tcW w:w="44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120.6</w:t>
            </w:r>
          </w:p>
        </w:tc>
      </w:tr>
      <w:tr>
        <w:trPr>
          <w:trHeight w:val="170"/>
        </w:trPr>
        <w:tc>
          <w:tcPr>
            <w:tcW w:w="4480" w:type="dxa"/>
            <w:vAlign w:val="bottom"/>
          </w:tcPr>
          <w:p>
            <w:pPr>
              <w:ind w:left="260"/>
              <w:spacing w:after="0"/>
              <w:rPr>
                <w:sz w:val="20"/>
                <w:szCs w:val="20"/>
                <w:color w:val="auto"/>
              </w:rPr>
            </w:pPr>
            <w:r>
              <w:rPr>
                <w:rFonts w:ascii="Courier New" w:cs="Courier New" w:eastAsia="Courier New" w:hAnsi="Courier New"/>
                <w:sz w:val="15"/>
                <w:szCs w:val="15"/>
                <w:color w:val="auto"/>
              </w:rPr>
              <w:t>Common shares potentially issuable in</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480" w:type="dxa"/>
            <w:vAlign w:val="bottom"/>
          </w:tcPr>
          <w:p>
            <w:pPr>
              <w:jc w:val="right"/>
              <w:ind w:right="2567"/>
              <w:spacing w:after="0"/>
              <w:rPr>
                <w:sz w:val="20"/>
                <w:szCs w:val="20"/>
                <w:color w:val="auto"/>
              </w:rPr>
            </w:pPr>
            <w:r>
              <w:rPr>
                <w:rFonts w:ascii="Courier New" w:cs="Courier New" w:eastAsia="Courier New" w:hAnsi="Courier New"/>
                <w:sz w:val="15"/>
                <w:szCs w:val="15"/>
                <w:color w:val="auto"/>
              </w:rPr>
              <w:t>connection with:</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Stock options and warrants................</w:t>
            </w:r>
          </w:p>
        </w:tc>
        <w:tc>
          <w:tcPr>
            <w:tcW w:w="36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w:t>
            </w:r>
          </w:p>
        </w:tc>
        <w:tc>
          <w:tcPr>
            <w:tcW w:w="54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w:t>
            </w:r>
          </w:p>
        </w:tc>
        <w:tc>
          <w:tcPr>
            <w:tcW w:w="44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Contingent value rights (a)...............</w:t>
            </w:r>
          </w:p>
        </w:tc>
        <w:tc>
          <w:tcPr>
            <w:tcW w:w="36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5.8</w:t>
            </w:r>
          </w:p>
        </w:tc>
        <w:tc>
          <w:tcPr>
            <w:tcW w:w="44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Variable common rights (b)................</w:t>
            </w:r>
          </w:p>
        </w:tc>
        <w:tc>
          <w:tcPr>
            <w:tcW w:w="36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w:t>
            </w:r>
          </w:p>
        </w:tc>
        <w:tc>
          <w:tcPr>
            <w:tcW w:w="54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w:t>
            </w:r>
          </w:p>
        </w:tc>
        <w:tc>
          <w:tcPr>
            <w:tcW w:w="44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spacing w:after="0"/>
              <w:rPr>
                <w:sz w:val="14"/>
                <w:szCs w:val="14"/>
                <w:color w:val="auto"/>
              </w:rPr>
            </w:pP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2"/>
              </w:rPr>
              <w:t>------</w:t>
            </w:r>
          </w:p>
        </w:tc>
        <w:tc>
          <w:tcPr>
            <w:tcW w:w="44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4480" w:type="dxa"/>
            <w:vAlign w:val="bottom"/>
          </w:tcPr>
          <w:p>
            <w:pPr>
              <w:ind w:left="260"/>
              <w:spacing w:after="0"/>
              <w:rPr>
                <w:sz w:val="20"/>
                <w:szCs w:val="20"/>
                <w:color w:val="auto"/>
              </w:rPr>
            </w:pPr>
            <w:r>
              <w:rPr>
                <w:rFonts w:ascii="Courier New" w:cs="Courier New" w:eastAsia="Courier New" w:hAnsi="Courier New"/>
                <w:sz w:val="15"/>
                <w:szCs w:val="15"/>
                <w:color w:val="auto"/>
              </w:rPr>
              <w:t>Weighted average common shares and common</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share equivalents.........................</w:t>
            </w:r>
          </w:p>
        </w:tc>
        <w:tc>
          <w:tcPr>
            <w:tcW w:w="36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375.5</w:t>
            </w:r>
          </w:p>
        </w:tc>
        <w:tc>
          <w:tcPr>
            <w:tcW w:w="54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220.4</w:t>
            </w:r>
          </w:p>
        </w:tc>
        <w:tc>
          <w:tcPr>
            <w:tcW w:w="44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120.6</w:t>
            </w:r>
          </w:p>
        </w:tc>
      </w:tr>
      <w:tr>
        <w:trPr>
          <w:trHeight w:val="170"/>
        </w:trPr>
        <w:tc>
          <w:tcPr>
            <w:tcW w:w="4480" w:type="dxa"/>
            <w:vAlign w:val="bottom"/>
          </w:tcPr>
          <w:p>
            <w:pPr>
              <w:spacing w:after="0"/>
              <w:rPr>
                <w:sz w:val="14"/>
                <w:szCs w:val="14"/>
                <w:color w:val="auto"/>
              </w:rPr>
            </w:pP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2"/>
              </w:rPr>
              <w:t>======</w:t>
            </w:r>
          </w:p>
        </w:tc>
        <w:tc>
          <w:tcPr>
            <w:tcW w:w="44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4480" w:type="dxa"/>
            <w:vAlign w:val="bottom"/>
          </w:tcPr>
          <w:p>
            <w:pPr>
              <w:spacing w:after="0"/>
              <w:rPr>
                <w:sz w:val="20"/>
                <w:szCs w:val="20"/>
                <w:color w:val="auto"/>
              </w:rPr>
            </w:pPr>
            <w:r>
              <w:rPr>
                <w:rFonts w:ascii="Courier New" w:cs="Courier New" w:eastAsia="Courier New" w:hAnsi="Courier New"/>
                <w:sz w:val="15"/>
                <w:szCs w:val="15"/>
                <w:color w:val="auto"/>
              </w:rPr>
              <w:t>Net earnings per common share:</w:t>
            </w: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0"/>
        </w:trPr>
        <w:tc>
          <w:tcPr>
            <w:tcW w:w="4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Net earnings from continuing operations......</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1.30</w:t>
            </w:r>
          </w:p>
        </w:tc>
      </w:tr>
      <w:tr>
        <w:trPr>
          <w:trHeight w:val="170"/>
        </w:trPr>
        <w:tc>
          <w:tcPr>
            <w:tcW w:w="4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Earnings (loss) from discontinued operations,</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net of tax................................</w:t>
            </w:r>
          </w:p>
        </w:tc>
        <w:tc>
          <w:tcPr>
            <w:tcW w:w="36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.02</w:t>
            </w:r>
          </w:p>
        </w:tc>
        <w:tc>
          <w:tcPr>
            <w:tcW w:w="5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(.09)</w:t>
            </w:r>
          </w:p>
        </w:tc>
        <w:tc>
          <w:tcPr>
            <w:tcW w:w="44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Extraordinary loss, net of tax...............</w:t>
            </w:r>
          </w:p>
        </w:tc>
        <w:tc>
          <w:tcPr>
            <w:tcW w:w="36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(.09)</w:t>
            </w:r>
          </w:p>
        </w:tc>
        <w:tc>
          <w:tcPr>
            <w:tcW w:w="44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(.07)</w:t>
            </w:r>
          </w:p>
        </w:tc>
      </w:tr>
      <w:tr>
        <w:trPr>
          <w:trHeight w:val="170"/>
        </w:trPr>
        <w:tc>
          <w:tcPr>
            <w:tcW w:w="4480" w:type="dxa"/>
            <w:vAlign w:val="bottom"/>
          </w:tcPr>
          <w:p>
            <w:pPr>
              <w:ind w:left="260"/>
              <w:spacing w:after="0"/>
              <w:rPr>
                <w:sz w:val="20"/>
                <w:szCs w:val="20"/>
                <w:color w:val="auto"/>
              </w:rPr>
            </w:pPr>
            <w:r>
              <w:rPr>
                <w:rFonts w:ascii="Courier New" w:cs="Courier New" w:eastAsia="Courier New" w:hAnsi="Courier New"/>
                <w:sz w:val="15"/>
                <w:szCs w:val="15"/>
                <w:color w:val="auto"/>
              </w:rPr>
              <w:t>Cumulative effect of change in accounting</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principle.................................</w:t>
            </w:r>
          </w:p>
        </w:tc>
        <w:tc>
          <w:tcPr>
            <w:tcW w:w="36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.08</w:t>
            </w:r>
          </w:p>
        </w:tc>
      </w:tr>
      <w:tr>
        <w:trPr>
          <w:trHeight w:val="170"/>
        </w:trPr>
        <w:tc>
          <w:tcPr>
            <w:tcW w:w="4480" w:type="dxa"/>
            <w:vAlign w:val="bottom"/>
          </w:tcPr>
          <w:p>
            <w:pPr>
              <w:spacing w:after="0"/>
              <w:rPr>
                <w:sz w:val="14"/>
                <w:szCs w:val="14"/>
                <w:color w:val="auto"/>
              </w:rPr>
            </w:pP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2"/>
              </w:rPr>
              <w:t>------</w:t>
            </w:r>
          </w:p>
        </w:tc>
        <w:tc>
          <w:tcPr>
            <w:tcW w:w="44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4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Net earnings.................................</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1.31</w:t>
            </w:r>
          </w:p>
        </w:tc>
      </w:tr>
      <w:tr>
        <w:trPr>
          <w:trHeight w:val="170"/>
        </w:trPr>
        <w:tc>
          <w:tcPr>
            <w:tcW w:w="4480" w:type="dxa"/>
            <w:vAlign w:val="bottom"/>
          </w:tcPr>
          <w:p>
            <w:pPr>
              <w:spacing w:after="0"/>
              <w:rPr>
                <w:sz w:val="14"/>
                <w:szCs w:val="14"/>
                <w:color w:val="auto"/>
              </w:rPr>
            </w:pP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2"/>
              </w:rPr>
              <w:t>======</w:t>
            </w:r>
          </w:p>
        </w:tc>
        <w:tc>
          <w:tcPr>
            <w:tcW w:w="44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r>
    </w:tbl>
    <w:p>
      <w:pPr>
        <w:spacing w:after="0" w:line="344" w:lineRule="exact"/>
        <w:rPr>
          <w:sz w:val="20"/>
          <w:szCs w:val="20"/>
          <w:color w:val="auto"/>
        </w:rPr>
      </w:pPr>
    </w:p>
    <w:p>
      <w:pPr>
        <w:ind w:left="350" w:right="3619" w:hanging="350"/>
        <w:spacing w:after="0" w:line="237" w:lineRule="auto"/>
        <w:tabs>
          <w:tab w:leader="none" w:pos="35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contingent value rights (the "CVRs") matured on July 7, 1995. The Company paid approximately $81.9 million in cash of approximately $1.44 per CVR to settle is obligation.</w:t>
      </w:r>
    </w:p>
    <w:p>
      <w:pPr>
        <w:spacing w:after="0" w:line="174" w:lineRule="exact"/>
        <w:rPr>
          <w:rFonts w:ascii="Courier New" w:cs="Courier New" w:eastAsia="Courier New" w:hAnsi="Courier New"/>
          <w:sz w:val="15"/>
          <w:szCs w:val="15"/>
          <w:color w:val="auto"/>
        </w:rPr>
      </w:pPr>
    </w:p>
    <w:p>
      <w:pPr>
        <w:ind w:left="350" w:right="3699" w:hanging="350"/>
        <w:spacing w:after="0" w:line="256" w:lineRule="auto"/>
        <w:tabs>
          <w:tab w:leader="none" w:pos="35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variable common rights (the "VCRs") matured on September 29, 1995. The Company issued approximately 6.1 million shares of Viacom Inc.</w:t>
      </w:r>
    </w:p>
    <w:p>
      <w:pPr>
        <w:ind w:left="350" w:right="34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Class B Common Stock, or .022665 of a share of Viacom Inc. Class B Common Stock per VCR, to settle its obligation under the VCRs.</w:t>
      </w:r>
    </w:p>
    <w:p>
      <w:pPr>
        <w:spacing w:after="0" w:line="175" w:lineRule="exact"/>
        <w:rPr>
          <w:rFonts w:ascii="Courier New" w:cs="Courier New" w:eastAsia="Courier New" w:hAnsi="Courier New"/>
          <w:sz w:val="14"/>
          <w:szCs w:val="14"/>
          <w:color w:val="auto"/>
        </w:rPr>
      </w:pPr>
    </w:p>
    <w:p>
      <w:pPr>
        <w:ind w:left="350" w:right="3699" w:hanging="350"/>
        <w:spacing w:after="0" w:line="237" w:lineRule="auto"/>
        <w:tabs>
          <w:tab w:leader="none" w:pos="35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Preferred Stock and related dividend requirement had an anti-dilutive effect on earnings per share in 1995, 1994 and 1993 and, therefore, were excluded from the computation.</w:t>
      </w:r>
    </w:p>
    <w:p>
      <w:pPr>
        <w:sectPr>
          <w:pgSz w:w="11900" w:h="16838" w:orient="portrait"/>
          <w:cols w:equalWidth="0" w:num="1">
            <w:col w:w="10229"/>
          </w:cols>
          <w:pgMar w:left="230" w:top="306" w:right="1440" w:bottom="1051" w:gutter="0" w:footer="0" w:header="0"/>
        </w:sectPr>
      </w:pPr>
    </w:p>
    <w:bookmarkStart w:id="354" w:name="page355"/>
    <w:bookmarkEnd w:id="354"/>
    <w:p>
      <w:pPr>
        <w:ind w:left="5980"/>
        <w:spacing w:after="0"/>
        <w:rPr>
          <w:sz w:val="20"/>
          <w:szCs w:val="20"/>
          <w:color w:val="auto"/>
        </w:rPr>
      </w:pPr>
      <w:r>
        <w:rPr>
          <w:rFonts w:ascii="Courier New" w:cs="Courier New" w:eastAsia="Courier New" w:hAnsi="Courier New"/>
          <w:sz w:val="15"/>
          <w:szCs w:val="15"/>
          <w:color w:val="auto"/>
        </w:rPr>
        <w:t>Exhibit 21</w:t>
      </w:r>
    </w:p>
    <w:p>
      <w:pPr>
        <w:spacing w:after="0" w:line="200" w:lineRule="exact"/>
        <w:rPr>
          <w:sz w:val="20"/>
          <w:szCs w:val="20"/>
          <w:color w:val="auto"/>
        </w:rPr>
      </w:pPr>
    </w:p>
    <w:p>
      <w:pPr>
        <w:spacing w:after="0" w:line="314" w:lineRule="exact"/>
        <w:rPr>
          <w:sz w:val="20"/>
          <w:szCs w:val="20"/>
          <w:color w:val="auto"/>
        </w:rPr>
      </w:pPr>
    </w:p>
    <w:p>
      <w:pPr>
        <w:ind w:right="3979" w:firstLine="793"/>
        <w:spacing w:after="0" w:line="235" w:lineRule="auto"/>
        <w:rPr>
          <w:sz w:val="20"/>
          <w:szCs w:val="20"/>
          <w:color w:val="auto"/>
        </w:rPr>
      </w:pPr>
      <w:r>
        <w:rPr>
          <w:rFonts w:ascii="Courier New" w:cs="Courier New" w:eastAsia="Courier New" w:hAnsi="Courier New"/>
          <w:sz w:val="15"/>
          <w:szCs w:val="15"/>
          <w:color w:val="auto"/>
        </w:rPr>
        <w:t>The following are substantially all of the direct and indirect subsidiaries of Viacom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PERCENTAGE OF VOTING</w:t>
            </w:r>
          </w:p>
        </w:tc>
      </w:tr>
      <w:tr>
        <w:trPr>
          <w:trHeight w:val="170"/>
        </w:trPr>
        <w:tc>
          <w:tcPr>
            <w:tcW w:w="34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400" w:type="dxa"/>
            <w:vAlign w:val="bottom"/>
          </w:tcPr>
          <w:p>
            <w:pPr>
              <w:spacing w:after="0"/>
              <w:rPr>
                <w:sz w:val="14"/>
                <w:szCs w:val="14"/>
                <w:color w:val="auto"/>
              </w:rPr>
            </w:pPr>
          </w:p>
        </w:tc>
        <w:tc>
          <w:tcPr>
            <w:tcW w:w="3120" w:type="dxa"/>
            <w:vAlign w:val="bottom"/>
          </w:tcPr>
          <w:p>
            <w:pPr>
              <w:ind w:left="140"/>
              <w:spacing w:after="0"/>
              <w:rPr>
                <w:sz w:val="20"/>
                <w:szCs w:val="20"/>
                <w:color w:val="auto"/>
              </w:rPr>
            </w:pPr>
            <w:r>
              <w:rPr>
                <w:rFonts w:ascii="Courier New" w:cs="Courier New" w:eastAsia="Courier New" w:hAnsi="Courier New"/>
                <w:sz w:val="15"/>
                <w:szCs w:val="15"/>
                <w:color w:val="auto"/>
              </w:rPr>
              <w:t>STATE OR OTHER JURISDICTION OF</w:t>
            </w:r>
          </w:p>
        </w:tc>
        <w:tc>
          <w:tcPr>
            <w:tcW w:w="282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7"/>
              </w:rPr>
              <w:t>SECURITIES OWNED DIRECTLY OR</w:t>
            </w:r>
          </w:p>
        </w:tc>
      </w:tr>
      <w:tr>
        <w:trPr>
          <w:trHeight w:val="170"/>
        </w:trPr>
        <w:tc>
          <w:tcPr>
            <w:tcW w:w="3400" w:type="dxa"/>
            <w:vAlign w:val="bottom"/>
          </w:tcPr>
          <w:p>
            <w:pPr>
              <w:spacing w:after="0"/>
              <w:rPr>
                <w:sz w:val="14"/>
                <w:szCs w:val="14"/>
                <w:color w:val="auto"/>
              </w:rPr>
            </w:pPr>
          </w:p>
        </w:tc>
        <w:tc>
          <w:tcPr>
            <w:tcW w:w="31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282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400" w:type="dxa"/>
            <w:vAlign w:val="bottom"/>
          </w:tcPr>
          <w:p>
            <w:pPr>
              <w:ind w:left="800"/>
              <w:spacing w:after="0"/>
              <w:rPr>
                <w:sz w:val="20"/>
                <w:szCs w:val="20"/>
                <w:color w:val="auto"/>
              </w:rPr>
            </w:pPr>
            <w:r>
              <w:rPr>
                <w:rFonts w:ascii="Courier New" w:cs="Courier New" w:eastAsia="Courier New" w:hAnsi="Courier New"/>
                <w:sz w:val="15"/>
                <w:szCs w:val="15"/>
                <w:color w:val="auto"/>
              </w:rPr>
              <w:t>SUBSIDIARIES</w:t>
            </w:r>
          </w:p>
        </w:tc>
        <w:tc>
          <w:tcPr>
            <w:tcW w:w="3120" w:type="dxa"/>
            <w:vAlign w:val="bottom"/>
          </w:tcPr>
          <w:p>
            <w:pPr>
              <w:ind w:left="920"/>
              <w:spacing w:after="0"/>
              <w:rPr>
                <w:sz w:val="20"/>
                <w:szCs w:val="20"/>
                <w:color w:val="auto"/>
              </w:rPr>
            </w:pPr>
            <w:r>
              <w:rPr>
                <w:rFonts w:ascii="Courier New" w:cs="Courier New" w:eastAsia="Courier New" w:hAnsi="Courier New"/>
                <w:sz w:val="15"/>
                <w:szCs w:val="15"/>
                <w:color w:val="auto"/>
              </w:rPr>
              <w:t>INCORPORATION</w:t>
            </w:r>
          </w:p>
        </w:tc>
        <w:tc>
          <w:tcPr>
            <w:tcW w:w="282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INDIRECTLY</w:t>
            </w:r>
          </w:p>
        </w:tc>
      </w:tr>
      <w:tr>
        <w:trPr>
          <w:trHeight w:val="170"/>
        </w:trPr>
        <w:tc>
          <w:tcPr>
            <w:tcW w:w="3400" w:type="dxa"/>
            <w:vAlign w:val="bottom"/>
          </w:tcPr>
          <w:p>
            <w:pPr>
              <w:ind w:left="800"/>
              <w:spacing w:after="0"/>
              <w:rPr>
                <w:sz w:val="20"/>
                <w:szCs w:val="20"/>
                <w:color w:val="auto"/>
              </w:rPr>
            </w:pPr>
            <w:r>
              <w:rPr>
                <w:rFonts w:ascii="Courier New" w:cs="Courier New" w:eastAsia="Courier New" w:hAnsi="Courier New"/>
                <w:sz w:val="15"/>
                <w:szCs w:val="15"/>
                <w:color w:val="auto"/>
              </w:rPr>
              <w:t>------------</w:t>
            </w:r>
          </w:p>
        </w:tc>
        <w:tc>
          <w:tcPr>
            <w:tcW w:w="3120" w:type="dxa"/>
            <w:vAlign w:val="bottom"/>
          </w:tcPr>
          <w:p>
            <w:pPr>
              <w:ind w:left="920"/>
              <w:spacing w:after="0"/>
              <w:rPr>
                <w:sz w:val="20"/>
                <w:szCs w:val="20"/>
                <w:color w:val="auto"/>
              </w:rPr>
            </w:pPr>
            <w:r>
              <w:rPr>
                <w:rFonts w:ascii="Courier New" w:cs="Courier New" w:eastAsia="Courier New" w:hAnsi="Courier New"/>
                <w:sz w:val="15"/>
                <w:szCs w:val="15"/>
                <w:color w:val="auto"/>
              </w:rPr>
              <w:t>-------------</w:t>
            </w:r>
          </w:p>
        </w:tc>
        <w:tc>
          <w:tcPr>
            <w:tcW w:w="282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w:t>
            </w:r>
          </w:p>
        </w:tc>
      </w:tr>
      <w:tr>
        <w:trPr>
          <w:trHeight w:val="678"/>
        </w:trPr>
        <w:tc>
          <w:tcPr>
            <w:tcW w:w="3400" w:type="dxa"/>
            <w:vAlign w:val="bottom"/>
          </w:tcPr>
          <w:p>
            <w:pPr>
              <w:spacing w:after="0"/>
              <w:rPr>
                <w:sz w:val="20"/>
                <w:szCs w:val="20"/>
                <w:color w:val="auto"/>
              </w:rPr>
            </w:pPr>
            <w:r>
              <w:rPr>
                <w:rFonts w:ascii="Courier New" w:cs="Courier New" w:eastAsia="Courier New" w:hAnsi="Courier New"/>
                <w:sz w:val="15"/>
                <w:szCs w:val="15"/>
                <w:color w:val="auto"/>
              </w:rPr>
              <w:t>101 Properties Corp.</w:t>
            </w:r>
          </w:p>
        </w:tc>
        <w:tc>
          <w:tcPr>
            <w:tcW w:w="3120" w:type="dxa"/>
            <w:vAlign w:val="bottom"/>
          </w:tcPr>
          <w:p>
            <w:pPr>
              <w:ind w:left="740"/>
              <w:spacing w:after="0"/>
              <w:rPr>
                <w:sz w:val="20"/>
                <w:szCs w:val="20"/>
                <w:color w:val="auto"/>
              </w:rPr>
            </w:pPr>
            <w:r>
              <w:rPr>
                <w:rFonts w:ascii="Courier New" w:cs="Courier New" w:eastAsia="Courier New" w:hAnsi="Courier New"/>
                <w:sz w:val="15"/>
                <w:szCs w:val="15"/>
                <w:color w:val="auto"/>
              </w:rPr>
              <w:t>Florida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1020917 Ontario Inc.</w:t>
            </w:r>
          </w:p>
        </w:tc>
        <w:tc>
          <w:tcPr>
            <w:tcW w:w="3120" w:type="dxa"/>
            <w:vAlign w:val="bottom"/>
          </w:tcPr>
          <w:p>
            <w:pPr>
              <w:ind w:left="740"/>
              <w:spacing w:after="0"/>
              <w:rPr>
                <w:sz w:val="20"/>
                <w:szCs w:val="20"/>
                <w:color w:val="auto"/>
              </w:rPr>
            </w:pPr>
            <w:r>
              <w:rPr>
                <w:rFonts w:ascii="Courier New" w:cs="Courier New" w:eastAsia="Courier New" w:hAnsi="Courier New"/>
                <w:sz w:val="15"/>
                <w:szCs w:val="15"/>
                <w:color w:val="auto"/>
              </w:rPr>
              <w:t>Canada (Ontario)</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176309 Canada Inc.</w:t>
            </w:r>
          </w:p>
        </w:tc>
        <w:tc>
          <w:tcPr>
            <w:tcW w:w="3120" w:type="dxa"/>
            <w:vAlign w:val="bottom"/>
          </w:tcPr>
          <w:p>
            <w:pPr>
              <w:ind w:left="740"/>
              <w:spacing w:after="0"/>
              <w:rPr>
                <w:sz w:val="20"/>
                <w:szCs w:val="20"/>
                <w:color w:val="auto"/>
              </w:rPr>
            </w:pPr>
            <w:r>
              <w:rPr>
                <w:rFonts w:ascii="Courier New" w:cs="Courier New" w:eastAsia="Courier New" w:hAnsi="Courier New"/>
                <w:sz w:val="15"/>
                <w:szCs w:val="15"/>
                <w:color w:val="auto"/>
              </w:rPr>
              <w:t>Canada (Federal)</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200 S. Andrews, Inc.</w:t>
            </w:r>
          </w:p>
        </w:tc>
        <w:tc>
          <w:tcPr>
            <w:tcW w:w="3120" w:type="dxa"/>
            <w:vAlign w:val="bottom"/>
          </w:tcPr>
          <w:p>
            <w:pPr>
              <w:ind w:left="74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2853-5912 Quebec Inc.</w:t>
            </w:r>
          </w:p>
        </w:tc>
        <w:tc>
          <w:tcPr>
            <w:tcW w:w="3120" w:type="dxa"/>
            <w:vAlign w:val="bottom"/>
          </w:tcPr>
          <w:p>
            <w:pPr>
              <w:ind w:left="740"/>
              <w:spacing w:after="0"/>
              <w:rPr>
                <w:sz w:val="20"/>
                <w:szCs w:val="20"/>
                <w:color w:val="auto"/>
              </w:rPr>
            </w:pPr>
            <w:r>
              <w:rPr>
                <w:rFonts w:ascii="Courier New" w:cs="Courier New" w:eastAsia="Courier New" w:hAnsi="Courier New"/>
                <w:sz w:val="15"/>
                <w:szCs w:val="15"/>
                <w:color w:val="auto"/>
              </w:rPr>
              <w:t>Canada (Quebec)</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37th Floor Productions Inc.</w:t>
            </w:r>
          </w:p>
        </w:tc>
        <w:tc>
          <w:tcPr>
            <w:tcW w:w="3120" w:type="dxa"/>
            <w:vAlign w:val="bottom"/>
          </w:tcPr>
          <w:p>
            <w:pPr>
              <w:ind w:left="74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5555 Communications Inc.</w:t>
            </w:r>
          </w:p>
        </w:tc>
        <w:tc>
          <w:tcPr>
            <w:tcW w:w="3120" w:type="dxa"/>
            <w:vAlign w:val="bottom"/>
          </w:tcPr>
          <w:p>
            <w:pPr>
              <w:ind w:left="74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730995 Ontario Inc.</w:t>
            </w:r>
          </w:p>
        </w:tc>
        <w:tc>
          <w:tcPr>
            <w:tcW w:w="3120" w:type="dxa"/>
            <w:vAlign w:val="bottom"/>
          </w:tcPr>
          <w:p>
            <w:pPr>
              <w:ind w:left="740"/>
              <w:spacing w:after="0"/>
              <w:rPr>
                <w:sz w:val="20"/>
                <w:szCs w:val="20"/>
                <w:color w:val="auto"/>
              </w:rPr>
            </w:pPr>
            <w:r>
              <w:rPr>
                <w:rFonts w:ascii="Courier New" w:cs="Courier New" w:eastAsia="Courier New" w:hAnsi="Courier New"/>
                <w:sz w:val="15"/>
                <w:szCs w:val="15"/>
                <w:color w:val="auto"/>
              </w:rPr>
              <w:t>Canada (Ontario)</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779991 Ontario Inc.</w:t>
            </w:r>
          </w:p>
        </w:tc>
        <w:tc>
          <w:tcPr>
            <w:tcW w:w="3120" w:type="dxa"/>
            <w:vAlign w:val="bottom"/>
          </w:tcPr>
          <w:p>
            <w:pPr>
              <w:ind w:left="740"/>
              <w:spacing w:after="0"/>
              <w:rPr>
                <w:sz w:val="20"/>
                <w:szCs w:val="20"/>
                <w:color w:val="auto"/>
              </w:rPr>
            </w:pPr>
            <w:r>
              <w:rPr>
                <w:rFonts w:ascii="Courier New" w:cs="Courier New" w:eastAsia="Courier New" w:hAnsi="Courier New"/>
                <w:sz w:val="15"/>
                <w:szCs w:val="15"/>
                <w:color w:val="auto"/>
              </w:rPr>
              <w:t>Canada (Ontario)</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90210 Productions, Inc.</w:t>
            </w:r>
          </w:p>
        </w:tc>
        <w:tc>
          <w:tcPr>
            <w:tcW w:w="3120" w:type="dxa"/>
            <w:vAlign w:val="bottom"/>
          </w:tcPr>
          <w:p>
            <w:pPr>
              <w:ind w:left="740"/>
              <w:spacing w:after="0"/>
              <w:rPr>
                <w:sz w:val="20"/>
                <w:szCs w:val="20"/>
                <w:color w:val="auto"/>
              </w:rPr>
            </w:pPr>
            <w:r>
              <w:rPr>
                <w:rFonts w:ascii="Courier New" w:cs="Courier New" w:eastAsia="Courier New" w:hAnsi="Courier New"/>
                <w:sz w:val="15"/>
                <w:szCs w:val="15"/>
                <w:color w:val="auto"/>
              </w:rPr>
              <w:t>California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A-R Acquisition Corp.</w:t>
            </w:r>
          </w:p>
        </w:tc>
        <w:tc>
          <w:tcPr>
            <w:tcW w:w="3120" w:type="dxa"/>
            <w:vAlign w:val="bottom"/>
          </w:tcPr>
          <w:p>
            <w:pPr>
              <w:ind w:left="74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A.S. Payroll Company</w:t>
            </w:r>
          </w:p>
        </w:tc>
        <w:tc>
          <w:tcPr>
            <w:tcW w:w="3120" w:type="dxa"/>
            <w:vAlign w:val="bottom"/>
          </w:tcPr>
          <w:p>
            <w:pPr>
              <w:ind w:left="740"/>
              <w:spacing w:after="0"/>
              <w:rPr>
                <w:sz w:val="20"/>
                <w:szCs w:val="20"/>
                <w:color w:val="auto"/>
              </w:rPr>
            </w:pPr>
            <w:r>
              <w:rPr>
                <w:rFonts w:ascii="Courier New" w:cs="Courier New" w:eastAsia="Courier New" w:hAnsi="Courier New"/>
                <w:sz w:val="15"/>
                <w:szCs w:val="15"/>
                <w:color w:val="auto"/>
              </w:rPr>
              <w:t>California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A.S.P. International, Inc.</w:t>
            </w:r>
          </w:p>
        </w:tc>
        <w:tc>
          <w:tcPr>
            <w:tcW w:w="3120" w:type="dxa"/>
            <w:vAlign w:val="bottom"/>
          </w:tcPr>
          <w:p>
            <w:pPr>
              <w:ind w:left="740"/>
              <w:spacing w:after="0"/>
              <w:rPr>
                <w:sz w:val="20"/>
                <w:szCs w:val="20"/>
                <w:color w:val="auto"/>
              </w:rPr>
            </w:pPr>
            <w:r>
              <w:rPr>
                <w:rFonts w:ascii="Courier New" w:cs="Courier New" w:eastAsia="Courier New" w:hAnsi="Courier New"/>
                <w:sz w:val="15"/>
                <w:szCs w:val="15"/>
                <w:color w:val="auto"/>
              </w:rPr>
              <w:t>Virgin Islands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Aaron Spelling Productions, Inc.</w:t>
            </w:r>
          </w:p>
        </w:tc>
        <w:tc>
          <w:tcPr>
            <w:tcW w:w="3120" w:type="dxa"/>
            <w:vAlign w:val="bottom"/>
          </w:tcPr>
          <w:p>
            <w:pPr>
              <w:ind w:left="740"/>
              <w:spacing w:after="0"/>
              <w:rPr>
                <w:sz w:val="20"/>
                <w:szCs w:val="20"/>
                <w:color w:val="auto"/>
              </w:rPr>
            </w:pPr>
            <w:r>
              <w:rPr>
                <w:rFonts w:ascii="Courier New" w:cs="Courier New" w:eastAsia="Courier New" w:hAnsi="Courier New"/>
                <w:sz w:val="15"/>
                <w:szCs w:val="15"/>
                <w:color w:val="auto"/>
              </w:rPr>
              <w:t>California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Abaco Farms, Limited</w:t>
            </w:r>
          </w:p>
        </w:tc>
        <w:tc>
          <w:tcPr>
            <w:tcW w:w="3120" w:type="dxa"/>
            <w:vAlign w:val="bottom"/>
          </w:tcPr>
          <w:p>
            <w:pPr>
              <w:ind w:left="740"/>
              <w:spacing w:after="0"/>
              <w:rPr>
                <w:sz w:val="20"/>
                <w:szCs w:val="20"/>
                <w:color w:val="auto"/>
              </w:rPr>
            </w:pPr>
            <w:r>
              <w:rPr>
                <w:rFonts w:ascii="Courier New" w:cs="Courier New" w:eastAsia="Courier New" w:hAnsi="Courier New"/>
                <w:sz w:val="15"/>
                <w:szCs w:val="15"/>
                <w:color w:val="auto"/>
              </w:rPr>
              <w:t>Bahamas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Acorn Pipe Line Company</w:t>
            </w:r>
          </w:p>
        </w:tc>
        <w:tc>
          <w:tcPr>
            <w:tcW w:w="3120" w:type="dxa"/>
            <w:vAlign w:val="bottom"/>
          </w:tcPr>
          <w:p>
            <w:pPr>
              <w:ind w:left="740"/>
              <w:spacing w:after="0"/>
              <w:rPr>
                <w:sz w:val="20"/>
                <w:szCs w:val="20"/>
                <w:color w:val="auto"/>
              </w:rPr>
            </w:pPr>
            <w:r>
              <w:rPr>
                <w:rFonts w:ascii="Courier New" w:cs="Courier New" w:eastAsia="Courier New" w:hAnsi="Courier New"/>
                <w:sz w:val="15"/>
                <w:szCs w:val="15"/>
                <w:color w:val="auto"/>
              </w:rPr>
              <w:t>Texas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Acorn Properties, Inc.</w:t>
            </w:r>
          </w:p>
        </w:tc>
        <w:tc>
          <w:tcPr>
            <w:tcW w:w="3120" w:type="dxa"/>
            <w:vAlign w:val="bottom"/>
          </w:tcPr>
          <w:p>
            <w:pPr>
              <w:ind w:left="740"/>
              <w:spacing w:after="0"/>
              <w:rPr>
                <w:sz w:val="20"/>
                <w:szCs w:val="20"/>
                <w:color w:val="auto"/>
              </w:rPr>
            </w:pPr>
            <w:r>
              <w:rPr>
                <w:rFonts w:ascii="Courier New" w:cs="Courier New" w:eastAsia="Courier New" w:hAnsi="Courier New"/>
                <w:sz w:val="15"/>
                <w:szCs w:val="15"/>
                <w:color w:val="auto"/>
              </w:rPr>
              <w:t>Texas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Acorn Trading Company</w:t>
            </w:r>
          </w:p>
        </w:tc>
        <w:tc>
          <w:tcPr>
            <w:tcW w:w="3120" w:type="dxa"/>
            <w:vAlign w:val="bottom"/>
          </w:tcPr>
          <w:p>
            <w:pPr>
              <w:ind w:left="740"/>
              <w:spacing w:after="0"/>
              <w:rPr>
                <w:sz w:val="20"/>
                <w:szCs w:val="20"/>
                <w:color w:val="auto"/>
              </w:rPr>
            </w:pPr>
            <w:r>
              <w:rPr>
                <w:rFonts w:ascii="Courier New" w:cs="Courier New" w:eastAsia="Courier New" w:hAnsi="Courier New"/>
                <w:sz w:val="15"/>
                <w:szCs w:val="15"/>
                <w:color w:val="auto"/>
              </w:rPr>
              <w:t>Texas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Addax Music Co., Inc.</w:t>
            </w:r>
          </w:p>
        </w:tc>
        <w:tc>
          <w:tcPr>
            <w:tcW w:w="3120" w:type="dxa"/>
            <w:vAlign w:val="bottom"/>
          </w:tcPr>
          <w:p>
            <w:pPr>
              <w:ind w:left="74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Aetrax International Corporation</w:t>
            </w:r>
          </w:p>
        </w:tc>
        <w:tc>
          <w:tcPr>
            <w:tcW w:w="3120" w:type="dxa"/>
            <w:vAlign w:val="bottom"/>
          </w:tcPr>
          <w:p>
            <w:pPr>
              <w:ind w:left="74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Ages Electronics, Inc.</w:t>
            </w:r>
          </w:p>
        </w:tc>
        <w:tc>
          <w:tcPr>
            <w:tcW w:w="3120" w:type="dxa"/>
            <w:vAlign w:val="bottom"/>
          </w:tcPr>
          <w:p>
            <w:pPr>
              <w:ind w:left="74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Ages Entertainment Software, Inc.</w:t>
            </w:r>
          </w:p>
        </w:tc>
        <w:tc>
          <w:tcPr>
            <w:tcW w:w="3120" w:type="dxa"/>
            <w:vAlign w:val="bottom"/>
          </w:tcPr>
          <w:p>
            <w:pPr>
              <w:ind w:left="74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AHV Holding Corporation</w:t>
            </w:r>
          </w:p>
        </w:tc>
        <w:tc>
          <w:tcPr>
            <w:tcW w:w="3120" w:type="dxa"/>
            <w:vAlign w:val="bottom"/>
          </w:tcPr>
          <w:p>
            <w:pPr>
              <w:ind w:left="74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Alaska Oil Company, Inc.</w:t>
            </w:r>
          </w:p>
        </w:tc>
        <w:tc>
          <w:tcPr>
            <w:tcW w:w="3120" w:type="dxa"/>
            <w:vAlign w:val="bottom"/>
          </w:tcPr>
          <w:p>
            <w:pPr>
              <w:ind w:left="740"/>
              <w:spacing w:after="0"/>
              <w:rPr>
                <w:sz w:val="20"/>
                <w:szCs w:val="20"/>
                <w:color w:val="auto"/>
              </w:rPr>
            </w:pPr>
            <w:r>
              <w:rPr>
                <w:rFonts w:ascii="Courier New" w:cs="Courier New" w:eastAsia="Courier New" w:hAnsi="Courier New"/>
                <w:sz w:val="15"/>
                <w:szCs w:val="15"/>
                <w:color w:val="auto"/>
              </w:rPr>
              <w:t>Florida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Alaska Oil Company (Partnership)</w:t>
            </w:r>
          </w:p>
        </w:tc>
        <w:tc>
          <w:tcPr>
            <w:tcW w:w="3120" w:type="dxa"/>
            <w:vAlign w:val="bottom"/>
          </w:tcPr>
          <w:p>
            <w:pPr>
              <w:ind w:left="740"/>
              <w:spacing w:after="0"/>
              <w:rPr>
                <w:sz w:val="20"/>
                <w:szCs w:val="20"/>
                <w:color w:val="auto"/>
              </w:rPr>
            </w:pPr>
            <w:r>
              <w:rPr>
                <w:rFonts w:ascii="Courier New" w:cs="Courier New" w:eastAsia="Courier New" w:hAnsi="Courier New"/>
                <w:sz w:val="15"/>
                <w:szCs w:val="15"/>
                <w:color w:val="auto"/>
              </w:rPr>
              <w:t>Florida</w:t>
            </w:r>
          </w:p>
        </w:tc>
        <w:tc>
          <w:tcPr>
            <w:tcW w:w="282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93.3</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All Media Inc.</w:t>
            </w:r>
          </w:p>
        </w:tc>
        <w:tc>
          <w:tcPr>
            <w:tcW w:w="3120" w:type="dxa"/>
            <w:vAlign w:val="bottom"/>
          </w:tcPr>
          <w:p>
            <w:pPr>
              <w:ind w:left="74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American Teaching Aids, Inc.</w:t>
            </w:r>
          </w:p>
        </w:tc>
        <w:tc>
          <w:tcPr>
            <w:tcW w:w="3120" w:type="dxa"/>
            <w:vAlign w:val="bottom"/>
          </w:tcPr>
          <w:p>
            <w:pPr>
              <w:ind w:left="740"/>
              <w:spacing w:after="0"/>
              <w:rPr>
                <w:sz w:val="20"/>
                <w:szCs w:val="20"/>
                <w:color w:val="auto"/>
              </w:rPr>
            </w:pPr>
            <w:r>
              <w:rPr>
                <w:rFonts w:ascii="Courier New" w:cs="Courier New" w:eastAsia="Courier New" w:hAnsi="Courier New"/>
                <w:sz w:val="15"/>
                <w:szCs w:val="15"/>
                <w:color w:val="auto"/>
              </w:rPr>
              <w:t>California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Anall Pty. Limited</w:t>
            </w:r>
          </w:p>
        </w:tc>
        <w:tc>
          <w:tcPr>
            <w:tcW w:w="3120" w:type="dxa"/>
            <w:vAlign w:val="bottom"/>
          </w:tcPr>
          <w:p>
            <w:pPr>
              <w:ind w:left="740"/>
              <w:spacing w:after="0"/>
              <w:rPr>
                <w:sz w:val="20"/>
                <w:szCs w:val="20"/>
                <w:color w:val="auto"/>
              </w:rPr>
            </w:pPr>
            <w:r>
              <w:rPr>
                <w:rFonts w:ascii="Courier New" w:cs="Courier New" w:eastAsia="Courier New" w:hAnsi="Courier New"/>
                <w:sz w:val="15"/>
                <w:szCs w:val="15"/>
                <w:color w:val="auto"/>
              </w:rPr>
              <w:t>Australia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Antics G.P. Inc.</w:t>
            </w:r>
          </w:p>
        </w:tc>
        <w:tc>
          <w:tcPr>
            <w:tcW w:w="3120" w:type="dxa"/>
            <w:vAlign w:val="bottom"/>
          </w:tcPr>
          <w:p>
            <w:pPr>
              <w:ind w:left="74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Antics Inc.</w:t>
            </w:r>
          </w:p>
        </w:tc>
        <w:tc>
          <w:tcPr>
            <w:tcW w:w="3120" w:type="dxa"/>
            <w:vAlign w:val="bottom"/>
          </w:tcPr>
          <w:p>
            <w:pPr>
              <w:ind w:left="74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Antilles Oil Company, Inc.</w:t>
            </w:r>
          </w:p>
        </w:tc>
        <w:tc>
          <w:tcPr>
            <w:tcW w:w="3120" w:type="dxa"/>
            <w:vAlign w:val="bottom"/>
          </w:tcPr>
          <w:p>
            <w:pPr>
              <w:ind w:left="740"/>
              <w:spacing w:after="0"/>
              <w:rPr>
                <w:sz w:val="20"/>
                <w:szCs w:val="20"/>
                <w:color w:val="auto"/>
              </w:rPr>
            </w:pPr>
            <w:r>
              <w:rPr>
                <w:rFonts w:ascii="Courier New" w:cs="Courier New" w:eastAsia="Courier New" w:hAnsi="Courier New"/>
                <w:sz w:val="15"/>
                <w:szCs w:val="15"/>
                <w:color w:val="auto"/>
              </w:rPr>
              <w:t>Puerto Rico</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Appleton &amp; Lange, Inc.</w:t>
            </w:r>
          </w:p>
        </w:tc>
        <w:tc>
          <w:tcPr>
            <w:tcW w:w="3120" w:type="dxa"/>
            <w:vAlign w:val="bottom"/>
          </w:tcPr>
          <w:p>
            <w:pPr>
              <w:ind w:left="74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Arco Publishing, Inc.</w:t>
            </w:r>
          </w:p>
        </w:tc>
        <w:tc>
          <w:tcPr>
            <w:tcW w:w="3120" w:type="dxa"/>
            <w:vAlign w:val="bottom"/>
          </w:tcPr>
          <w:p>
            <w:pPr>
              <w:ind w:left="74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Are We Having Fun Yet? Productions</w:t>
            </w:r>
          </w:p>
        </w:tc>
        <w:tc>
          <w:tcPr>
            <w:tcW w:w="3120" w:type="dxa"/>
            <w:vAlign w:val="bottom"/>
          </w:tcPr>
          <w:p>
            <w:pPr>
              <w:ind w:left="740"/>
              <w:spacing w:after="0"/>
              <w:rPr>
                <w:sz w:val="20"/>
                <w:szCs w:val="20"/>
                <w:color w:val="auto"/>
              </w:rPr>
            </w:pPr>
            <w:r>
              <w:rPr>
                <w:rFonts w:ascii="Courier New" w:cs="Courier New" w:eastAsia="Courier New" w:hAnsi="Courier New"/>
                <w:sz w:val="15"/>
                <w:szCs w:val="15"/>
                <w:color w:val="auto"/>
              </w:rPr>
              <w:t>Canada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Aros N.V.</w:t>
            </w:r>
          </w:p>
        </w:tc>
        <w:tc>
          <w:tcPr>
            <w:tcW w:w="3120" w:type="dxa"/>
            <w:vAlign w:val="bottom"/>
          </w:tcPr>
          <w:p>
            <w:pPr>
              <w:ind w:left="740"/>
              <w:spacing w:after="0"/>
              <w:rPr>
                <w:sz w:val="20"/>
                <w:szCs w:val="20"/>
                <w:color w:val="auto"/>
              </w:rPr>
            </w:pPr>
            <w:r>
              <w:rPr>
                <w:rFonts w:ascii="Courier New" w:cs="Courier New" w:eastAsia="Courier New" w:hAnsi="Courier New"/>
                <w:sz w:val="15"/>
                <w:szCs w:val="15"/>
                <w:color w:val="auto"/>
              </w:rPr>
              <w:t>Netherlands Antilles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Around the Block Productions, Inc.</w:t>
            </w:r>
          </w:p>
        </w:tc>
        <w:tc>
          <w:tcPr>
            <w:tcW w:w="3120" w:type="dxa"/>
            <w:vAlign w:val="bottom"/>
          </w:tcPr>
          <w:p>
            <w:pPr>
              <w:ind w:left="74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Atlantic Associates, Inc.</w:t>
            </w:r>
          </w:p>
        </w:tc>
        <w:tc>
          <w:tcPr>
            <w:tcW w:w="3120" w:type="dxa"/>
            <w:vAlign w:val="bottom"/>
          </w:tcPr>
          <w:p>
            <w:pPr>
              <w:ind w:left="74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Atlantic Home Video</w:t>
            </w:r>
          </w:p>
        </w:tc>
        <w:tc>
          <w:tcPr>
            <w:tcW w:w="3120" w:type="dxa"/>
            <w:vAlign w:val="bottom"/>
          </w:tcPr>
          <w:p>
            <w:pPr>
              <w:ind w:left="74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80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Avalon Vertriebs GmbH</w:t>
            </w:r>
          </w:p>
        </w:tc>
        <w:tc>
          <w:tcPr>
            <w:tcW w:w="3120" w:type="dxa"/>
            <w:vAlign w:val="bottom"/>
          </w:tcPr>
          <w:p>
            <w:pPr>
              <w:ind w:left="740"/>
              <w:spacing w:after="0"/>
              <w:rPr>
                <w:sz w:val="20"/>
                <w:szCs w:val="20"/>
                <w:color w:val="auto"/>
              </w:rPr>
            </w:pPr>
            <w:r>
              <w:rPr>
                <w:rFonts w:ascii="Courier New" w:cs="Courier New" w:eastAsia="Courier New" w:hAnsi="Courier New"/>
                <w:sz w:val="15"/>
                <w:szCs w:val="15"/>
                <w:color w:val="auto"/>
              </w:rPr>
              <w:t>Germany</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60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Bahamas Underwriters Services Limited</w:t>
            </w:r>
          </w:p>
        </w:tc>
        <w:tc>
          <w:tcPr>
            <w:tcW w:w="3120" w:type="dxa"/>
            <w:vAlign w:val="bottom"/>
          </w:tcPr>
          <w:p>
            <w:pPr>
              <w:ind w:left="740"/>
              <w:spacing w:after="0"/>
              <w:rPr>
                <w:sz w:val="20"/>
                <w:szCs w:val="20"/>
                <w:color w:val="auto"/>
              </w:rPr>
            </w:pPr>
            <w:r>
              <w:rPr>
                <w:rFonts w:ascii="Courier New" w:cs="Courier New" w:eastAsia="Courier New" w:hAnsi="Courier New"/>
                <w:sz w:val="15"/>
                <w:szCs w:val="15"/>
                <w:color w:val="auto"/>
              </w:rPr>
              <w:t>Bahamas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Bardwire Inc.</w:t>
            </w:r>
          </w:p>
        </w:tc>
        <w:tc>
          <w:tcPr>
            <w:tcW w:w="3120" w:type="dxa"/>
            <w:vAlign w:val="bottom"/>
          </w:tcPr>
          <w:p>
            <w:pPr>
              <w:ind w:left="74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Belhaven Limited</w:t>
            </w:r>
          </w:p>
        </w:tc>
        <w:tc>
          <w:tcPr>
            <w:tcW w:w="3120" w:type="dxa"/>
            <w:vAlign w:val="bottom"/>
          </w:tcPr>
          <w:p>
            <w:pPr>
              <w:ind w:left="740"/>
              <w:spacing w:after="0"/>
              <w:rPr>
                <w:sz w:val="20"/>
                <w:szCs w:val="20"/>
                <w:color w:val="auto"/>
              </w:rPr>
            </w:pPr>
            <w:r>
              <w:rPr>
                <w:rFonts w:ascii="Courier New" w:cs="Courier New" w:eastAsia="Courier New" w:hAnsi="Courier New"/>
                <w:sz w:val="15"/>
                <w:szCs w:val="15"/>
                <w:color w:val="auto"/>
              </w:rPr>
              <w:t>Bahamas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Beta Theatres Inc.</w:t>
            </w:r>
          </w:p>
        </w:tc>
        <w:tc>
          <w:tcPr>
            <w:tcW w:w="3120" w:type="dxa"/>
            <w:vAlign w:val="bottom"/>
          </w:tcPr>
          <w:p>
            <w:pPr>
              <w:ind w:left="74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Big Shows Inc.</w:t>
            </w:r>
          </w:p>
        </w:tc>
        <w:tc>
          <w:tcPr>
            <w:tcW w:w="3120" w:type="dxa"/>
            <w:vAlign w:val="bottom"/>
          </w:tcPr>
          <w:p>
            <w:pPr>
              <w:ind w:left="74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Big Ticket Music Inc.</w:t>
            </w:r>
          </w:p>
        </w:tc>
        <w:tc>
          <w:tcPr>
            <w:tcW w:w="3120" w:type="dxa"/>
            <w:vAlign w:val="bottom"/>
          </w:tcPr>
          <w:p>
            <w:pPr>
              <w:ind w:left="74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19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PERCENTAGE OF VOTING</w:t>
            </w:r>
          </w:p>
        </w:tc>
      </w:tr>
      <w:tr>
        <w:trPr>
          <w:trHeight w:val="170"/>
        </w:trPr>
        <w:tc>
          <w:tcPr>
            <w:tcW w:w="19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1900" w:type="dxa"/>
            <w:vAlign w:val="bottom"/>
          </w:tcPr>
          <w:p>
            <w:pPr>
              <w:spacing w:after="0"/>
              <w:rPr>
                <w:sz w:val="14"/>
                <w:szCs w:val="14"/>
                <w:color w:val="auto"/>
              </w:rPr>
            </w:pPr>
          </w:p>
        </w:tc>
        <w:tc>
          <w:tcPr>
            <w:tcW w:w="4620" w:type="dxa"/>
            <w:vAlign w:val="bottom"/>
            <w:gridSpan w:val="2"/>
          </w:tcPr>
          <w:p>
            <w:pPr>
              <w:ind w:left="1640"/>
              <w:spacing w:after="0"/>
              <w:rPr>
                <w:sz w:val="20"/>
                <w:szCs w:val="20"/>
                <w:color w:val="auto"/>
              </w:rPr>
            </w:pPr>
            <w:r>
              <w:rPr>
                <w:rFonts w:ascii="Courier New" w:cs="Courier New" w:eastAsia="Courier New" w:hAnsi="Courier New"/>
                <w:sz w:val="15"/>
                <w:szCs w:val="15"/>
                <w:color w:val="auto"/>
              </w:rPr>
              <w:t>STATE OR OTHER JURISDICTION OF</w:t>
            </w:r>
          </w:p>
        </w:tc>
        <w:tc>
          <w:tcPr>
            <w:tcW w:w="282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7"/>
              </w:rPr>
              <w:t>SECURITIES OWNED DIRECTLY OR</w:t>
            </w:r>
          </w:p>
        </w:tc>
      </w:tr>
      <w:tr>
        <w:trPr>
          <w:trHeight w:val="170"/>
        </w:trPr>
        <w:tc>
          <w:tcPr>
            <w:tcW w:w="1900" w:type="dxa"/>
            <w:vAlign w:val="bottom"/>
          </w:tcPr>
          <w:p>
            <w:pPr>
              <w:spacing w:after="0"/>
              <w:rPr>
                <w:sz w:val="14"/>
                <w:szCs w:val="14"/>
                <w:color w:val="auto"/>
              </w:rPr>
            </w:pPr>
          </w:p>
        </w:tc>
        <w:tc>
          <w:tcPr>
            <w:tcW w:w="4620" w:type="dxa"/>
            <w:vAlign w:val="bottom"/>
            <w:gridSpan w:val="2"/>
          </w:tcPr>
          <w:p>
            <w:pPr>
              <w:ind w:left="1640"/>
              <w:spacing w:after="0"/>
              <w:rPr>
                <w:sz w:val="20"/>
                <w:szCs w:val="20"/>
                <w:color w:val="auto"/>
              </w:rPr>
            </w:pPr>
            <w:r>
              <w:rPr>
                <w:rFonts w:ascii="Courier New" w:cs="Courier New" w:eastAsia="Courier New" w:hAnsi="Courier New"/>
                <w:sz w:val="15"/>
                <w:szCs w:val="15"/>
                <w:color w:val="auto"/>
              </w:rPr>
              <w:t>------------------------------</w:t>
            </w:r>
          </w:p>
        </w:tc>
        <w:tc>
          <w:tcPr>
            <w:tcW w:w="282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1900" w:type="dxa"/>
            <w:vAlign w:val="bottom"/>
          </w:tcPr>
          <w:p>
            <w:pPr>
              <w:ind w:left="800"/>
              <w:spacing w:after="0"/>
              <w:rPr>
                <w:sz w:val="20"/>
                <w:szCs w:val="20"/>
                <w:color w:val="auto"/>
              </w:rPr>
            </w:pPr>
            <w:r>
              <w:rPr>
                <w:rFonts w:ascii="Courier New" w:cs="Courier New" w:eastAsia="Courier New" w:hAnsi="Courier New"/>
                <w:sz w:val="15"/>
                <w:szCs w:val="15"/>
                <w:color w:val="auto"/>
                <w:w w:val="99"/>
              </w:rPr>
              <w:t>SUBSIDIARIES</w:t>
            </w:r>
          </w:p>
        </w:tc>
        <w:tc>
          <w:tcPr>
            <w:tcW w:w="1980" w:type="dxa"/>
            <w:vAlign w:val="bottom"/>
          </w:tcPr>
          <w:p>
            <w:pPr>
              <w:spacing w:after="0"/>
              <w:rPr>
                <w:sz w:val="14"/>
                <w:szCs w:val="14"/>
                <w:color w:val="auto"/>
              </w:rPr>
            </w:pPr>
          </w:p>
        </w:tc>
        <w:tc>
          <w:tcPr>
            <w:tcW w:w="2640" w:type="dxa"/>
            <w:vAlign w:val="bottom"/>
          </w:tcPr>
          <w:p>
            <w:pPr>
              <w:ind w:left="440"/>
              <w:spacing w:after="0"/>
              <w:rPr>
                <w:sz w:val="20"/>
                <w:szCs w:val="20"/>
                <w:color w:val="auto"/>
              </w:rPr>
            </w:pPr>
            <w:r>
              <w:rPr>
                <w:rFonts w:ascii="Courier New" w:cs="Courier New" w:eastAsia="Courier New" w:hAnsi="Courier New"/>
                <w:sz w:val="15"/>
                <w:szCs w:val="15"/>
                <w:color w:val="auto"/>
              </w:rPr>
              <w:t>INCORPORATION</w:t>
            </w:r>
          </w:p>
        </w:tc>
        <w:tc>
          <w:tcPr>
            <w:tcW w:w="282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INDIRECTLY</w:t>
            </w:r>
          </w:p>
        </w:tc>
      </w:tr>
      <w:tr>
        <w:trPr>
          <w:trHeight w:val="170"/>
        </w:trPr>
        <w:tc>
          <w:tcPr>
            <w:tcW w:w="1900" w:type="dxa"/>
            <w:vAlign w:val="bottom"/>
          </w:tcPr>
          <w:p>
            <w:pPr>
              <w:ind w:left="800"/>
              <w:spacing w:after="0"/>
              <w:rPr>
                <w:sz w:val="20"/>
                <w:szCs w:val="20"/>
                <w:color w:val="auto"/>
              </w:rPr>
            </w:pPr>
            <w:r>
              <w:rPr>
                <w:rFonts w:ascii="Courier New" w:cs="Courier New" w:eastAsia="Courier New" w:hAnsi="Courier New"/>
                <w:sz w:val="15"/>
                <w:szCs w:val="15"/>
                <w:color w:val="auto"/>
                <w:w w:val="99"/>
              </w:rPr>
              <w:t>------------</w:t>
            </w:r>
          </w:p>
        </w:tc>
        <w:tc>
          <w:tcPr>
            <w:tcW w:w="1980" w:type="dxa"/>
            <w:vAlign w:val="bottom"/>
          </w:tcPr>
          <w:p>
            <w:pPr>
              <w:spacing w:after="0"/>
              <w:rPr>
                <w:sz w:val="14"/>
                <w:szCs w:val="14"/>
                <w:color w:val="auto"/>
              </w:rPr>
            </w:pPr>
          </w:p>
        </w:tc>
        <w:tc>
          <w:tcPr>
            <w:tcW w:w="264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282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w:t>
            </w:r>
          </w:p>
        </w:tc>
      </w:tr>
      <w:tr>
        <w:trPr>
          <w:trHeight w:val="509"/>
        </w:trPr>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Big Ticket Pictures Inc.</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Big Ticket Productions Inc.</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900" w:type="dxa"/>
            <w:vAlign w:val="bottom"/>
          </w:tcPr>
          <w:p>
            <w:pPr>
              <w:spacing w:after="0"/>
              <w:rPr>
                <w:sz w:val="20"/>
                <w:szCs w:val="20"/>
                <w:color w:val="auto"/>
              </w:rPr>
            </w:pPr>
            <w:r>
              <w:rPr>
                <w:rFonts w:ascii="Courier New" w:cs="Courier New" w:eastAsia="Courier New" w:hAnsi="Courier New"/>
                <w:sz w:val="15"/>
                <w:szCs w:val="15"/>
                <w:color w:val="auto"/>
                <w:w w:val="99"/>
              </w:rPr>
              <w:t>Big Ticket Television</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Inc.</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Blockbuster Adventures, Inc.</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Blockbuster Airship Holding Corporation</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900" w:type="dxa"/>
            <w:vAlign w:val="bottom"/>
          </w:tcPr>
          <w:p>
            <w:pPr>
              <w:spacing w:after="0"/>
              <w:rPr>
                <w:sz w:val="20"/>
                <w:szCs w:val="20"/>
                <w:color w:val="auto"/>
              </w:rPr>
            </w:pPr>
            <w:r>
              <w:rPr>
                <w:rFonts w:ascii="Courier New" w:cs="Courier New" w:eastAsia="Courier New" w:hAnsi="Courier New"/>
                <w:sz w:val="15"/>
                <w:szCs w:val="15"/>
                <w:color w:val="auto"/>
                <w:w w:val="99"/>
              </w:rPr>
              <w:t>Blockbuster Airships,</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Inc.</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Blockbuster Amphitheater Corp.</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900" w:type="dxa"/>
            <w:vAlign w:val="bottom"/>
          </w:tcPr>
          <w:p>
            <w:pPr>
              <w:spacing w:after="0"/>
              <w:rPr>
                <w:sz w:val="20"/>
                <w:szCs w:val="20"/>
                <w:color w:val="auto"/>
              </w:rPr>
            </w:pPr>
            <w:r>
              <w:rPr>
                <w:rFonts w:ascii="Courier New" w:cs="Courier New" w:eastAsia="Courier New" w:hAnsi="Courier New"/>
                <w:sz w:val="15"/>
                <w:szCs w:val="15"/>
                <w:color w:val="auto"/>
                <w:w w:val="99"/>
              </w:rPr>
              <w:t>Blockbuster Amusement</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Corporation</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900" w:type="dxa"/>
            <w:vAlign w:val="bottom"/>
          </w:tcPr>
          <w:p>
            <w:pPr>
              <w:spacing w:after="0"/>
              <w:rPr>
                <w:sz w:val="20"/>
                <w:szCs w:val="20"/>
                <w:color w:val="auto"/>
              </w:rPr>
            </w:pPr>
            <w:r>
              <w:rPr>
                <w:rFonts w:ascii="Courier New" w:cs="Courier New" w:eastAsia="Courier New" w:hAnsi="Courier New"/>
                <w:sz w:val="15"/>
                <w:szCs w:val="15"/>
                <w:color w:val="auto"/>
                <w:w w:val="99"/>
              </w:rPr>
              <w:t>Blockbuster Amusement</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Holding Corporation</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900" w:type="dxa"/>
            <w:vAlign w:val="bottom"/>
          </w:tcPr>
          <w:p>
            <w:pPr>
              <w:spacing w:after="0"/>
              <w:rPr>
                <w:sz w:val="20"/>
                <w:szCs w:val="20"/>
                <w:color w:val="auto"/>
              </w:rPr>
            </w:pPr>
            <w:r>
              <w:rPr>
                <w:rFonts w:ascii="Courier New" w:cs="Courier New" w:eastAsia="Courier New" w:hAnsi="Courier New"/>
                <w:sz w:val="15"/>
                <w:szCs w:val="15"/>
                <w:color w:val="auto"/>
                <w:w w:val="99"/>
              </w:rPr>
              <w:t>Blockbuster Australia</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Pty Ltd.</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Australia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Blockbuster Computer Systems Corporation</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Florida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900" w:type="dxa"/>
            <w:vAlign w:val="bottom"/>
          </w:tcPr>
          <w:p>
            <w:pPr>
              <w:spacing w:after="0"/>
              <w:rPr>
                <w:sz w:val="20"/>
                <w:szCs w:val="20"/>
                <w:color w:val="auto"/>
              </w:rPr>
            </w:pPr>
            <w:r>
              <w:rPr>
                <w:rFonts w:ascii="Courier New" w:cs="Courier New" w:eastAsia="Courier New" w:hAnsi="Courier New"/>
                <w:sz w:val="15"/>
                <w:szCs w:val="15"/>
                <w:color w:val="auto"/>
                <w:w w:val="99"/>
              </w:rPr>
              <w:t>Blockbuster Discovery</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Investment Inc.</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Blockbuster Entertainment Inc.</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Blockbuster Family Fun, Inc.</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Blockbuster Fun &amp; Fitness Holding Corp.</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Blockbuster Mid-America, Inc.</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1">
            <w:col w:w="10219"/>
          </w:cols>
          <w:pgMar w:left="240" w:top="136" w:right="1440" w:bottom="0" w:gutter="0" w:footer="0" w:header="0"/>
        </w:sectPr>
      </w:pPr>
    </w:p>
    <w:bookmarkStart w:id="355" w:name="page356"/>
    <w:bookmarkEnd w:id="3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Blockbuster</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Music</w:t>
            </w:r>
          </w:p>
        </w:tc>
        <w:tc>
          <w:tcPr>
            <w:tcW w:w="2520" w:type="dxa"/>
            <w:vAlign w:val="bottom"/>
          </w:tcPr>
          <w:p>
            <w:pPr>
              <w:ind w:left="60"/>
              <w:spacing w:after="0"/>
              <w:rPr>
                <w:sz w:val="20"/>
                <w:szCs w:val="20"/>
                <w:color w:val="auto"/>
              </w:rPr>
            </w:pPr>
            <w:r>
              <w:rPr>
                <w:rFonts w:ascii="Courier New" w:cs="Courier New" w:eastAsia="Courier New" w:hAnsi="Courier New"/>
                <w:sz w:val="15"/>
                <w:szCs w:val="15"/>
                <w:color w:val="auto"/>
              </w:rPr>
              <w:t>Corporation</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Blockbuster</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Music</w:t>
            </w:r>
          </w:p>
        </w:tc>
        <w:tc>
          <w:tcPr>
            <w:tcW w:w="2520" w:type="dxa"/>
            <w:vAlign w:val="bottom"/>
          </w:tcPr>
          <w:p>
            <w:pPr>
              <w:ind w:left="60"/>
              <w:spacing w:after="0"/>
              <w:rPr>
                <w:sz w:val="20"/>
                <w:szCs w:val="20"/>
                <w:color w:val="auto"/>
              </w:rPr>
            </w:pPr>
            <w:r>
              <w:rPr>
                <w:rFonts w:ascii="Courier New" w:cs="Courier New" w:eastAsia="Courier New" w:hAnsi="Courier New"/>
                <w:sz w:val="15"/>
                <w:szCs w:val="15"/>
                <w:color w:val="auto"/>
              </w:rPr>
              <w:t>Holding Corporation</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Blockbuster</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Music</w:t>
            </w:r>
          </w:p>
        </w:tc>
        <w:tc>
          <w:tcPr>
            <w:tcW w:w="2520" w:type="dxa"/>
            <w:vAlign w:val="bottom"/>
          </w:tcPr>
          <w:p>
            <w:pPr>
              <w:ind w:left="60"/>
              <w:spacing w:after="0"/>
              <w:rPr>
                <w:sz w:val="20"/>
                <w:szCs w:val="20"/>
                <w:color w:val="auto"/>
              </w:rPr>
            </w:pPr>
            <w:r>
              <w:rPr>
                <w:rFonts w:ascii="Courier New" w:cs="Courier New" w:eastAsia="Courier New" w:hAnsi="Courier New"/>
                <w:sz w:val="15"/>
                <w:szCs w:val="15"/>
                <w:color w:val="auto"/>
              </w:rPr>
              <w:t>Retail, Inc.</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Texas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Blockbuster</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Park,</w:t>
            </w:r>
          </w:p>
        </w:tc>
        <w:tc>
          <w:tcPr>
            <w:tcW w:w="2520" w:type="dxa"/>
            <w:vAlign w:val="bottom"/>
          </w:tcPr>
          <w:p>
            <w:pPr>
              <w:ind w:left="60"/>
              <w:spacing w:after="0"/>
              <w:rPr>
                <w:sz w:val="20"/>
                <w:szCs w:val="20"/>
                <w:color w:val="auto"/>
              </w:rPr>
            </w:pPr>
            <w:r>
              <w:rPr>
                <w:rFonts w:ascii="Courier New" w:cs="Courier New" w:eastAsia="Courier New" w:hAnsi="Courier New"/>
                <w:sz w:val="15"/>
                <w:szCs w:val="15"/>
                <w:color w:val="auto"/>
              </w:rPr>
              <w:t>Inc.</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Blockbuster</w:t>
            </w:r>
          </w:p>
        </w:tc>
        <w:tc>
          <w:tcPr>
            <w:tcW w:w="3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Park Holding Corporation</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Blockbuster</w:t>
            </w:r>
          </w:p>
        </w:tc>
        <w:tc>
          <w:tcPr>
            <w:tcW w:w="3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Park Lands, Inc.</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Florida</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Blockbuster</w:t>
            </w:r>
          </w:p>
        </w:tc>
        <w:tc>
          <w:tcPr>
            <w:tcW w:w="3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Pictures Holding Corporation</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Blockbuster</w:t>
            </w:r>
          </w:p>
        </w:tc>
        <w:tc>
          <w:tcPr>
            <w:tcW w:w="3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Productions Corporation</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Blockbuster</w:t>
            </w:r>
          </w:p>
        </w:tc>
        <w:tc>
          <w:tcPr>
            <w:tcW w:w="3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Promotions Inc.</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Blockbuster</w:t>
            </w:r>
          </w:p>
        </w:tc>
        <w:tc>
          <w:tcPr>
            <w:tcW w:w="3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SC Holding Corporation</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Blockbuster</w:t>
            </w:r>
          </w:p>
        </w:tc>
        <w:tc>
          <w:tcPr>
            <w:tcW w:w="3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SC Music Corporation</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Blockbuster</w:t>
            </w:r>
          </w:p>
        </w:tc>
        <w:tc>
          <w:tcPr>
            <w:tcW w:w="3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SC Video Holding Corporation</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Blockbuster</w:t>
            </w:r>
          </w:p>
        </w:tc>
        <w:tc>
          <w:tcPr>
            <w:tcW w:w="3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SC Video Operating Corporation</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Blockbuster</w:t>
            </w:r>
          </w:p>
        </w:tc>
        <w:tc>
          <w:tcPr>
            <w:tcW w:w="3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Technology Holding Corporation</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Blockbuster</w:t>
            </w:r>
          </w:p>
        </w:tc>
        <w:tc>
          <w:tcPr>
            <w:tcW w:w="3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UK Group Limited</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United Kingdom</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Blockbuster</w:t>
            </w:r>
          </w:p>
        </w:tc>
        <w:tc>
          <w:tcPr>
            <w:tcW w:w="3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Video (New Zealand) Ltd.</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New Zealand</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Blockbuster</w:t>
            </w:r>
          </w:p>
        </w:tc>
        <w:tc>
          <w:tcPr>
            <w:tcW w:w="3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Video Acquisition Corp.</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Blockbuster</w:t>
            </w:r>
          </w:p>
        </w:tc>
        <w:tc>
          <w:tcPr>
            <w:tcW w:w="3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Video Canada Inc.</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Canada (Ontario)</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Blockbuster</w:t>
            </w:r>
          </w:p>
        </w:tc>
        <w:tc>
          <w:tcPr>
            <w:tcW w:w="3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Video de Mexico S.A. de C.V.</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Mexico</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Blockbuster</w:t>
            </w:r>
          </w:p>
        </w:tc>
        <w:tc>
          <w:tcPr>
            <w:tcW w:w="3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Video Deutschland GmbH</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Germany</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Blockbuster</w:t>
            </w:r>
          </w:p>
        </w:tc>
        <w:tc>
          <w:tcPr>
            <w:tcW w:w="3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Video Distribution, Inc.</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Blockbuster</w:t>
            </w:r>
          </w:p>
        </w:tc>
        <w:tc>
          <w:tcPr>
            <w:tcW w:w="3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Video Espana, S.L.</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Spain</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88</w:t>
            </w: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Blockbuster</w:t>
            </w:r>
          </w:p>
        </w:tc>
        <w:tc>
          <w:tcPr>
            <w:tcW w:w="3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Video International Corporation</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Blockbuster</w:t>
            </w:r>
          </w:p>
        </w:tc>
        <w:tc>
          <w:tcPr>
            <w:tcW w:w="3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Video Italy, Inc.</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Blockbuster</w:t>
            </w:r>
          </w:p>
        </w:tc>
        <w:tc>
          <w:tcPr>
            <w:tcW w:w="3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Video Superstores (Australia) Pty</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Australia</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Limited</w:t>
            </w:r>
          </w:p>
        </w:tc>
        <w:tc>
          <w:tcPr>
            <w:tcW w:w="5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Blockbuster</w:t>
            </w:r>
          </w:p>
        </w:tc>
        <w:tc>
          <w:tcPr>
            <w:tcW w:w="3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Videos, Inc.</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Texas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gridSpan w:val="3"/>
          </w:tcPr>
          <w:p>
            <w:pPr>
              <w:spacing w:after="0"/>
              <w:rPr>
                <w:sz w:val="20"/>
                <w:szCs w:val="20"/>
                <w:color w:val="auto"/>
              </w:rPr>
            </w:pPr>
            <w:r>
              <w:rPr>
                <w:rFonts w:ascii="Courier New" w:cs="Courier New" w:eastAsia="Courier New" w:hAnsi="Courier New"/>
                <w:sz w:val="15"/>
                <w:szCs w:val="15"/>
                <w:color w:val="auto"/>
              </w:rPr>
              <w:t>Brady Communications Company, Inc.</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District of Columbia</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gridSpan w:val="3"/>
          </w:tcPr>
          <w:p>
            <w:pPr>
              <w:spacing w:after="0"/>
              <w:rPr>
                <w:sz w:val="20"/>
                <w:szCs w:val="20"/>
                <w:color w:val="auto"/>
              </w:rPr>
            </w:pPr>
            <w:r>
              <w:rPr>
                <w:rFonts w:ascii="Courier New" w:cs="Courier New" w:eastAsia="Courier New" w:hAnsi="Courier New"/>
                <w:sz w:val="15"/>
                <w:szCs w:val="15"/>
                <w:color w:val="auto"/>
              </w:rPr>
              <w:t>Branded Productions, Inc.</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California</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gridSpan w:val="3"/>
          </w:tcPr>
          <w:p>
            <w:pPr>
              <w:spacing w:after="0"/>
              <w:rPr>
                <w:sz w:val="20"/>
                <w:szCs w:val="20"/>
                <w:color w:val="auto"/>
              </w:rPr>
            </w:pPr>
            <w:r>
              <w:rPr>
                <w:rFonts w:ascii="Courier New" w:cs="Courier New" w:eastAsia="Courier New" w:hAnsi="Courier New"/>
                <w:sz w:val="15"/>
                <w:szCs w:val="15"/>
                <w:color w:val="auto"/>
              </w:rPr>
              <w:t>Broadcast Leasing Inc.</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gridSpan w:val="3"/>
          </w:tcPr>
          <w:p>
            <w:pPr>
              <w:spacing w:after="0"/>
              <w:rPr>
                <w:sz w:val="20"/>
                <w:szCs w:val="20"/>
                <w:color w:val="auto"/>
              </w:rPr>
            </w:pPr>
            <w:r>
              <w:rPr>
                <w:rFonts w:ascii="Courier New" w:cs="Courier New" w:eastAsia="Courier New" w:hAnsi="Courier New"/>
                <w:sz w:val="15"/>
                <w:szCs w:val="15"/>
                <w:color w:val="auto"/>
              </w:rPr>
              <w:t>Broadview Television Company</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Washington</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gridSpan w:val="3"/>
          </w:tcPr>
          <w:p>
            <w:pPr>
              <w:spacing w:after="0"/>
              <w:rPr>
                <w:sz w:val="20"/>
                <w:szCs w:val="20"/>
                <w:color w:val="auto"/>
              </w:rPr>
            </w:pPr>
            <w:r>
              <w:rPr>
                <w:rFonts w:ascii="Courier New" w:cs="Courier New" w:eastAsia="Courier New" w:hAnsi="Courier New"/>
                <w:sz w:val="15"/>
                <w:szCs w:val="15"/>
                <w:color w:val="auto"/>
              </w:rPr>
              <w:t>Brookvale Developments No. 1 Pty. Limited</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Australia (NSW)</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gridSpan w:val="3"/>
          </w:tcPr>
          <w:p>
            <w:pPr>
              <w:spacing w:after="0"/>
              <w:rPr>
                <w:sz w:val="20"/>
                <w:szCs w:val="20"/>
                <w:color w:val="auto"/>
              </w:rPr>
            </w:pPr>
            <w:r>
              <w:rPr>
                <w:rFonts w:ascii="Courier New" w:cs="Courier New" w:eastAsia="Courier New" w:hAnsi="Courier New"/>
                <w:sz w:val="15"/>
                <w:szCs w:val="15"/>
                <w:color w:val="auto"/>
              </w:rPr>
              <w:t>Brookvale Developments No. 2 Pty. Limited</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Australia (NSW)</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Bruin Music</w:t>
            </w:r>
          </w:p>
        </w:tc>
        <w:tc>
          <w:tcPr>
            <w:tcW w:w="3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Company</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1">
            <w:col w:w="10059"/>
          </w:cols>
          <w:pgMar w:left="400" w:top="136" w:right="1440" w:bottom="1440" w:gutter="0" w:footer="0" w:header="0"/>
        </w:sectPr>
      </w:pPr>
    </w:p>
    <w:bookmarkStart w:id="356" w:name="page357"/>
    <w:bookmarkEnd w:id="3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PERCENTAGE OF VOTING</w:t>
            </w:r>
          </w:p>
        </w:tc>
      </w:tr>
      <w:tr>
        <w:trPr>
          <w:trHeight w:val="170"/>
        </w:trPr>
        <w:tc>
          <w:tcPr>
            <w:tcW w:w="39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6520" w:type="dxa"/>
            <w:vAlign w:val="bottom"/>
            <w:gridSpan w:val="2"/>
          </w:tcPr>
          <w:p>
            <w:pPr>
              <w:ind w:left="3540"/>
              <w:spacing w:after="0"/>
              <w:rPr>
                <w:sz w:val="20"/>
                <w:szCs w:val="20"/>
                <w:color w:val="auto"/>
              </w:rPr>
            </w:pPr>
            <w:r>
              <w:rPr>
                <w:rFonts w:ascii="Courier New" w:cs="Courier New" w:eastAsia="Courier New" w:hAnsi="Courier New"/>
                <w:sz w:val="15"/>
                <w:szCs w:val="15"/>
                <w:color w:val="auto"/>
              </w:rPr>
              <w:t>STATE OR OTHER JURISDICTION OF</w:t>
            </w:r>
          </w:p>
        </w:tc>
        <w:tc>
          <w:tcPr>
            <w:tcW w:w="282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7"/>
              </w:rPr>
              <w:t>SECURITIES OWNED DIRECTLY OR</w:t>
            </w:r>
          </w:p>
        </w:tc>
      </w:tr>
      <w:tr>
        <w:trPr>
          <w:trHeight w:val="170"/>
        </w:trPr>
        <w:tc>
          <w:tcPr>
            <w:tcW w:w="6520" w:type="dxa"/>
            <w:vAlign w:val="bottom"/>
            <w:gridSpan w:val="2"/>
          </w:tcPr>
          <w:p>
            <w:pPr>
              <w:ind w:left="3540"/>
              <w:spacing w:after="0"/>
              <w:rPr>
                <w:sz w:val="20"/>
                <w:szCs w:val="20"/>
                <w:color w:val="auto"/>
              </w:rPr>
            </w:pPr>
            <w:r>
              <w:rPr>
                <w:rFonts w:ascii="Courier New" w:cs="Courier New" w:eastAsia="Courier New" w:hAnsi="Courier New"/>
                <w:sz w:val="15"/>
                <w:szCs w:val="15"/>
                <w:color w:val="auto"/>
              </w:rPr>
              <w:t>------------------------------</w:t>
            </w:r>
          </w:p>
        </w:tc>
        <w:tc>
          <w:tcPr>
            <w:tcW w:w="282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980" w:type="dxa"/>
            <w:vAlign w:val="bottom"/>
          </w:tcPr>
          <w:p>
            <w:pPr>
              <w:ind w:left="800"/>
              <w:spacing w:after="0"/>
              <w:rPr>
                <w:sz w:val="20"/>
                <w:szCs w:val="20"/>
                <w:color w:val="auto"/>
              </w:rPr>
            </w:pPr>
            <w:r>
              <w:rPr>
                <w:rFonts w:ascii="Courier New" w:cs="Courier New" w:eastAsia="Courier New" w:hAnsi="Courier New"/>
                <w:sz w:val="15"/>
                <w:szCs w:val="15"/>
                <w:color w:val="auto"/>
              </w:rPr>
              <w:t>SUBSIDIARIES</w:t>
            </w:r>
          </w:p>
        </w:tc>
        <w:tc>
          <w:tcPr>
            <w:tcW w:w="2540" w:type="dxa"/>
            <w:vAlign w:val="bottom"/>
          </w:tcPr>
          <w:p>
            <w:pPr>
              <w:ind w:left="340"/>
              <w:spacing w:after="0"/>
              <w:rPr>
                <w:sz w:val="20"/>
                <w:szCs w:val="20"/>
                <w:color w:val="auto"/>
              </w:rPr>
            </w:pPr>
            <w:r>
              <w:rPr>
                <w:rFonts w:ascii="Courier New" w:cs="Courier New" w:eastAsia="Courier New" w:hAnsi="Courier New"/>
                <w:sz w:val="15"/>
                <w:szCs w:val="15"/>
                <w:color w:val="auto"/>
              </w:rPr>
              <w:t>INCORPORATION</w:t>
            </w:r>
          </w:p>
        </w:tc>
        <w:tc>
          <w:tcPr>
            <w:tcW w:w="282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INDIRECTLY</w:t>
            </w:r>
          </w:p>
        </w:tc>
      </w:tr>
      <w:tr>
        <w:trPr>
          <w:trHeight w:val="170"/>
        </w:trPr>
        <w:tc>
          <w:tcPr>
            <w:tcW w:w="3980" w:type="dxa"/>
            <w:vAlign w:val="bottom"/>
          </w:tcPr>
          <w:p>
            <w:pPr>
              <w:ind w:left="800"/>
              <w:spacing w:after="0"/>
              <w:rPr>
                <w:sz w:val="20"/>
                <w:szCs w:val="20"/>
                <w:color w:val="auto"/>
              </w:rPr>
            </w:pPr>
            <w:r>
              <w:rPr>
                <w:rFonts w:ascii="Courier New" w:cs="Courier New" w:eastAsia="Courier New" w:hAnsi="Courier New"/>
                <w:sz w:val="15"/>
                <w:szCs w:val="15"/>
                <w:color w:val="auto"/>
              </w:rPr>
              <w:t>------------</w:t>
            </w:r>
          </w:p>
        </w:tc>
        <w:tc>
          <w:tcPr>
            <w:tcW w:w="254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282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w:t>
            </w:r>
          </w:p>
        </w:tc>
      </w:tr>
      <w:tr>
        <w:trPr>
          <w:trHeight w:val="509"/>
        </w:trPr>
        <w:tc>
          <w:tcPr>
            <w:tcW w:w="3980" w:type="dxa"/>
            <w:vAlign w:val="bottom"/>
          </w:tcPr>
          <w:p>
            <w:pPr>
              <w:spacing w:after="0"/>
              <w:rPr>
                <w:sz w:val="20"/>
                <w:szCs w:val="20"/>
                <w:color w:val="auto"/>
              </w:rPr>
            </w:pPr>
            <w:r>
              <w:rPr>
                <w:rFonts w:ascii="Courier New" w:cs="Courier New" w:eastAsia="Courier New" w:hAnsi="Courier New"/>
                <w:sz w:val="15"/>
                <w:szCs w:val="15"/>
                <w:color w:val="auto"/>
              </w:rPr>
              <w:t>BS Hotel, Inc.</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Bulletin Company</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BVJV Corporation</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Cable T.V. of Marin, Inc.</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California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Cable TV Puget Sound, Inc.</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Washington</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Caloil Inc.</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Canada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Capital Equipment Leasing Limited</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United Kingdom</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Casmo Mining, Ltd.</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Canada (B.C.)</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95</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Cayman Overseas Reinsurance Association</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Cayman Islands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Center for Applied Research in Education,</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ind w:left="280"/>
              <w:spacing w:after="0"/>
              <w:rPr>
                <w:sz w:val="20"/>
                <w:szCs w:val="20"/>
                <w:color w:val="auto"/>
              </w:rPr>
            </w:pPr>
            <w:r>
              <w:rPr>
                <w:rFonts w:ascii="Courier New" w:cs="Courier New" w:eastAsia="Courier New" w:hAnsi="Courier New"/>
                <w:sz w:val="15"/>
                <w:szCs w:val="15"/>
                <w:color w:val="auto"/>
              </w:rPr>
              <w:t>Inc., The</w:t>
            </w:r>
          </w:p>
        </w:tc>
        <w:tc>
          <w:tcPr>
            <w:tcW w:w="254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Central Park Theatres Limited</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Canada (Alberta)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Centurion Satellite Broadcast Inc.</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Century Entertainment Ltd.</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United Kingdom</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Channel 3 Everett, Inc.</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Washington</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Charlotte Amphitheater Corporation</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Charmac, Inc.</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Florida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Chartcom, Inc.</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Charter Barge Company</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New York</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Charter Caribbean Company</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Florida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Charter Crude Oil Company</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Texas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Charter Crude Oil Trading Company</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Texas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Charter Futures Trading Company</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Texas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Charter International Development Co.</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Florida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Charter International Finance N.V.</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Netherlands Antilles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Charter International Oil Company</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Texas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Charter Marine Transportation Inc.</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Charter Media Company</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Charter Oil (Alaska), Inc.</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Florida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Charter Oil (Bahamas), Inc.</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Florida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Charter Oil (Bahamas) Limited</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Bahamas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Charter Oil (International), Inc.</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Florida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Charter Oil Company</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Florida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Charter Oil Services, Inc.</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Texas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Charter Oil Specialities Limited</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Bahamas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Charter Publishing Company</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Cherokee Rose Productions Inc.</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Cinema Dominicana S.A.</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Dominican Republic</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Cinematic Arts B.V.</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Netherlands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Cityvision plc</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United Kingdom</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Cityvision Videotheken Ges.M.B.H.</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Austria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Clear View Cable Systems, Inc.</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California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COFI Credit Corporation</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Columbus Circle Films Inc.</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Com-Cable TV, Inc.</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Combined Broadcasting of Miami, Inc.</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Combined Broadcasting of Philadelphia, Inc.</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Community Telecable of Bellevue, Inc.</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Washington</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Community Telecable of Seattle, Inc.</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Washington</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Compelling Music Corporation</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California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Computer Curriculum Corporation</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1">
            <w:col w:w="10059"/>
          </w:cols>
          <w:pgMar w:left="400" w:top="961" w:right="1440" w:bottom="1440" w:gutter="0" w:footer="0" w:header="0"/>
        </w:sectPr>
      </w:pPr>
    </w:p>
    <w:bookmarkStart w:id="357" w:name="page358"/>
    <w:bookmarkEnd w:id="3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PERCENTAGE OF VOTING</w:t>
            </w:r>
          </w:p>
        </w:tc>
      </w:tr>
      <w:tr>
        <w:trPr>
          <w:trHeight w:val="170"/>
        </w:trPr>
        <w:tc>
          <w:tcPr>
            <w:tcW w:w="4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6520" w:type="dxa"/>
            <w:vAlign w:val="bottom"/>
            <w:gridSpan w:val="2"/>
          </w:tcPr>
          <w:p>
            <w:pPr>
              <w:ind w:left="3540"/>
              <w:spacing w:after="0"/>
              <w:rPr>
                <w:sz w:val="20"/>
                <w:szCs w:val="20"/>
                <w:color w:val="auto"/>
              </w:rPr>
            </w:pPr>
            <w:r>
              <w:rPr>
                <w:rFonts w:ascii="Courier New" w:cs="Courier New" w:eastAsia="Courier New" w:hAnsi="Courier New"/>
                <w:sz w:val="15"/>
                <w:szCs w:val="15"/>
                <w:color w:val="auto"/>
              </w:rPr>
              <w:t>STATE OR OTHER JURISDICTION OF</w:t>
            </w:r>
          </w:p>
        </w:tc>
        <w:tc>
          <w:tcPr>
            <w:tcW w:w="282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7"/>
              </w:rPr>
              <w:t>SECURITIES OWNED DIRECTLY OR</w:t>
            </w:r>
          </w:p>
        </w:tc>
      </w:tr>
      <w:tr>
        <w:trPr>
          <w:trHeight w:val="170"/>
        </w:trPr>
        <w:tc>
          <w:tcPr>
            <w:tcW w:w="6520" w:type="dxa"/>
            <w:vAlign w:val="bottom"/>
            <w:gridSpan w:val="2"/>
          </w:tcPr>
          <w:p>
            <w:pPr>
              <w:ind w:left="3540"/>
              <w:spacing w:after="0"/>
              <w:rPr>
                <w:sz w:val="20"/>
                <w:szCs w:val="20"/>
                <w:color w:val="auto"/>
              </w:rPr>
            </w:pPr>
            <w:r>
              <w:rPr>
                <w:rFonts w:ascii="Courier New" w:cs="Courier New" w:eastAsia="Courier New" w:hAnsi="Courier New"/>
                <w:sz w:val="15"/>
                <w:szCs w:val="15"/>
                <w:color w:val="auto"/>
              </w:rPr>
              <w:t>------------------------------</w:t>
            </w:r>
          </w:p>
        </w:tc>
        <w:tc>
          <w:tcPr>
            <w:tcW w:w="282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060" w:type="dxa"/>
            <w:vAlign w:val="bottom"/>
          </w:tcPr>
          <w:p>
            <w:pPr>
              <w:ind w:left="800"/>
              <w:spacing w:after="0"/>
              <w:rPr>
                <w:sz w:val="20"/>
                <w:szCs w:val="20"/>
                <w:color w:val="auto"/>
              </w:rPr>
            </w:pPr>
            <w:r>
              <w:rPr>
                <w:rFonts w:ascii="Courier New" w:cs="Courier New" w:eastAsia="Courier New" w:hAnsi="Courier New"/>
                <w:sz w:val="15"/>
                <w:szCs w:val="15"/>
                <w:color w:val="auto"/>
              </w:rPr>
              <w:t>SUBSIDIARIES</w:t>
            </w:r>
          </w:p>
        </w:tc>
        <w:tc>
          <w:tcPr>
            <w:tcW w:w="2460" w:type="dxa"/>
            <w:vAlign w:val="bottom"/>
          </w:tcPr>
          <w:p>
            <w:pPr>
              <w:ind w:left="260"/>
              <w:spacing w:after="0"/>
              <w:rPr>
                <w:sz w:val="20"/>
                <w:szCs w:val="20"/>
                <w:color w:val="auto"/>
              </w:rPr>
            </w:pPr>
            <w:r>
              <w:rPr>
                <w:rFonts w:ascii="Courier New" w:cs="Courier New" w:eastAsia="Courier New" w:hAnsi="Courier New"/>
                <w:sz w:val="15"/>
                <w:szCs w:val="15"/>
                <w:color w:val="auto"/>
              </w:rPr>
              <w:t>INCORPORATION</w:t>
            </w:r>
          </w:p>
        </w:tc>
        <w:tc>
          <w:tcPr>
            <w:tcW w:w="282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INDIRECTLY</w:t>
            </w:r>
          </w:p>
        </w:tc>
      </w:tr>
      <w:tr>
        <w:trPr>
          <w:trHeight w:val="170"/>
        </w:trPr>
        <w:tc>
          <w:tcPr>
            <w:tcW w:w="4060" w:type="dxa"/>
            <w:vAlign w:val="bottom"/>
          </w:tcPr>
          <w:p>
            <w:pPr>
              <w:ind w:left="800"/>
              <w:spacing w:after="0"/>
              <w:rPr>
                <w:sz w:val="20"/>
                <w:szCs w:val="20"/>
                <w:color w:val="auto"/>
              </w:rPr>
            </w:pPr>
            <w:r>
              <w:rPr>
                <w:rFonts w:ascii="Courier New" w:cs="Courier New" w:eastAsia="Courier New" w:hAnsi="Courier New"/>
                <w:sz w:val="15"/>
                <w:szCs w:val="15"/>
                <w:color w:val="auto"/>
              </w:rPr>
              <w:t>------------</w:t>
            </w:r>
          </w:p>
        </w:tc>
        <w:tc>
          <w:tcPr>
            <w:tcW w:w="24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82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w:t>
            </w:r>
          </w:p>
        </w:tc>
      </w:tr>
      <w:tr>
        <w:trPr>
          <w:trHeight w:val="509"/>
        </w:trPr>
        <w:tc>
          <w:tcPr>
            <w:tcW w:w="4060" w:type="dxa"/>
            <w:vAlign w:val="bottom"/>
          </w:tcPr>
          <w:p>
            <w:pPr>
              <w:spacing w:after="0"/>
              <w:rPr>
                <w:sz w:val="20"/>
                <w:szCs w:val="20"/>
                <w:color w:val="auto"/>
              </w:rPr>
            </w:pPr>
            <w:r>
              <w:rPr>
                <w:rFonts w:ascii="Courier New" w:cs="Courier New" w:eastAsia="Courier New" w:hAnsi="Courier New"/>
                <w:sz w:val="15"/>
                <w:szCs w:val="15"/>
                <w:color w:val="auto"/>
              </w:rPr>
              <w:t>Contra Costa Cable Co.</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Washington</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Coronet Films,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New York</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CPW Holdings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Crockett Cable System,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California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Dayton Press,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Florida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Desilu Productions,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Direct Court Productions,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Direct Response Associates,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Connecticut</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DJM Management,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Massachusetts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Dynamic Soap,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California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E.G. Songs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California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Eagle Direct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Early Morning Madness Productions,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California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EBF Liquidating Company,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District of Columbia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Educational Management Group,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Illinois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Eighth Century Corporation</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Electronic Publishing,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New York</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Ellis Horwood Limited</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United Kingdom</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Energy Development Associates,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Ensign Music Corporation</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EPI Music Company</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California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Erol's,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Esquire Films,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Everett Cablevision,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Washington</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Evergreen Programs,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New York</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EWB Corporation</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Executive Reports Corporation</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New Jersey</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Executive Tax Reports,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New York</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EXP Limited</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United Kingdom</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EXP Music Publishing Limited</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United Kingdom</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Family Entertainment Centers,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Florida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Famous Music Corporation</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Famous Music Publishing Limited</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United Kingdom</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Famous Orange Productions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Famous Players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Canada (Federal)</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Famous Players International B.V.</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Netherlands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Famous Players Investments B.V.</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Netherlands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Far-West Communications,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Oregon</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Festival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w w:val="99"/>
              </w:rPr>
              <w:t>Fifty-Sixth Century Antrim Iron Company,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Film Intex Corporation</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Films Paramount S.A.</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France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Fitzwilliam Publishing Limited</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United Kingdom</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FLC Holding Corp.</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Florida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Focus Video Pty. Ltd.</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Australia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Forgive Me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Forty-Fourth Century Corporation</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French Street Management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Front Street Management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Future General Corporation</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G &amp; W Leasing Company</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1">
            <w:col w:w="10059"/>
          </w:cols>
          <w:pgMar w:left="400" w:top="961" w:right="1440" w:bottom="1440" w:gutter="0" w:footer="0" w:header="0"/>
        </w:sectPr>
      </w:pPr>
    </w:p>
    <w:bookmarkStart w:id="358" w:name="page359"/>
    <w:bookmarkEnd w:id="3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PERCENTAGE OF VOTING</w:t>
            </w:r>
          </w:p>
        </w:tc>
      </w:tr>
      <w:tr>
        <w:trPr>
          <w:trHeight w:val="170"/>
        </w:trPr>
        <w:tc>
          <w:tcPr>
            <w:tcW w:w="4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820" w:type="dxa"/>
            <w:vAlign w:val="bottom"/>
          </w:tcPr>
          <w:p>
            <w:pPr>
              <w:jc w:val="center"/>
              <w:ind w:left="46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6520" w:type="dxa"/>
            <w:vAlign w:val="bottom"/>
            <w:gridSpan w:val="2"/>
          </w:tcPr>
          <w:p>
            <w:pPr>
              <w:ind w:left="3540"/>
              <w:spacing w:after="0"/>
              <w:rPr>
                <w:sz w:val="20"/>
                <w:szCs w:val="20"/>
                <w:color w:val="auto"/>
              </w:rPr>
            </w:pPr>
            <w:r>
              <w:rPr>
                <w:rFonts w:ascii="Courier New" w:cs="Courier New" w:eastAsia="Courier New" w:hAnsi="Courier New"/>
                <w:sz w:val="15"/>
                <w:szCs w:val="15"/>
                <w:color w:val="auto"/>
              </w:rPr>
              <w:t>STATE OR OTHER JURISDICTION OF</w:t>
            </w:r>
          </w:p>
        </w:tc>
        <w:tc>
          <w:tcPr>
            <w:tcW w:w="282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7"/>
              </w:rPr>
              <w:t>SECURITIES OWNED DIRECTLY OR</w:t>
            </w:r>
          </w:p>
        </w:tc>
      </w:tr>
      <w:tr>
        <w:trPr>
          <w:trHeight w:val="170"/>
        </w:trPr>
        <w:tc>
          <w:tcPr>
            <w:tcW w:w="6520" w:type="dxa"/>
            <w:vAlign w:val="bottom"/>
            <w:gridSpan w:val="2"/>
          </w:tcPr>
          <w:p>
            <w:pPr>
              <w:ind w:left="3540"/>
              <w:spacing w:after="0"/>
              <w:rPr>
                <w:sz w:val="20"/>
                <w:szCs w:val="20"/>
                <w:color w:val="auto"/>
              </w:rPr>
            </w:pPr>
            <w:r>
              <w:rPr>
                <w:rFonts w:ascii="Courier New" w:cs="Courier New" w:eastAsia="Courier New" w:hAnsi="Courier New"/>
                <w:sz w:val="15"/>
                <w:szCs w:val="15"/>
                <w:color w:val="auto"/>
              </w:rPr>
              <w:t>------------------------------</w:t>
            </w:r>
          </w:p>
        </w:tc>
        <w:tc>
          <w:tcPr>
            <w:tcW w:w="282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060" w:type="dxa"/>
            <w:vAlign w:val="bottom"/>
          </w:tcPr>
          <w:p>
            <w:pPr>
              <w:ind w:left="800"/>
              <w:spacing w:after="0"/>
              <w:rPr>
                <w:sz w:val="20"/>
                <w:szCs w:val="20"/>
                <w:color w:val="auto"/>
              </w:rPr>
            </w:pPr>
            <w:r>
              <w:rPr>
                <w:rFonts w:ascii="Courier New" w:cs="Courier New" w:eastAsia="Courier New" w:hAnsi="Courier New"/>
                <w:sz w:val="15"/>
                <w:szCs w:val="15"/>
                <w:color w:val="auto"/>
              </w:rPr>
              <w:t>SUBSIDIARIES</w:t>
            </w:r>
          </w:p>
        </w:tc>
        <w:tc>
          <w:tcPr>
            <w:tcW w:w="2460" w:type="dxa"/>
            <w:vAlign w:val="bottom"/>
          </w:tcPr>
          <w:p>
            <w:pPr>
              <w:ind w:left="260"/>
              <w:spacing w:after="0"/>
              <w:rPr>
                <w:sz w:val="20"/>
                <w:szCs w:val="20"/>
                <w:color w:val="auto"/>
              </w:rPr>
            </w:pPr>
            <w:r>
              <w:rPr>
                <w:rFonts w:ascii="Courier New" w:cs="Courier New" w:eastAsia="Courier New" w:hAnsi="Courier New"/>
                <w:sz w:val="15"/>
                <w:szCs w:val="15"/>
                <w:color w:val="auto"/>
              </w:rPr>
              <w:t>INCORPORATION</w:t>
            </w:r>
          </w:p>
        </w:tc>
        <w:tc>
          <w:tcPr>
            <w:tcW w:w="282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INDIRECTLY</w:t>
            </w:r>
          </w:p>
        </w:tc>
      </w:tr>
      <w:tr>
        <w:trPr>
          <w:trHeight w:val="170"/>
        </w:trPr>
        <w:tc>
          <w:tcPr>
            <w:tcW w:w="4060" w:type="dxa"/>
            <w:vAlign w:val="bottom"/>
          </w:tcPr>
          <w:p>
            <w:pPr>
              <w:ind w:left="800"/>
              <w:spacing w:after="0"/>
              <w:rPr>
                <w:sz w:val="20"/>
                <w:szCs w:val="20"/>
                <w:color w:val="auto"/>
              </w:rPr>
            </w:pPr>
            <w:r>
              <w:rPr>
                <w:rFonts w:ascii="Courier New" w:cs="Courier New" w:eastAsia="Courier New" w:hAnsi="Courier New"/>
                <w:sz w:val="15"/>
                <w:szCs w:val="15"/>
                <w:color w:val="auto"/>
              </w:rPr>
              <w:t>------------</w:t>
            </w:r>
          </w:p>
        </w:tc>
        <w:tc>
          <w:tcPr>
            <w:tcW w:w="24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82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w:t>
            </w:r>
          </w:p>
        </w:tc>
      </w:tr>
      <w:tr>
        <w:trPr>
          <w:trHeight w:val="509"/>
        </w:trPr>
        <w:tc>
          <w:tcPr>
            <w:tcW w:w="4060" w:type="dxa"/>
            <w:vAlign w:val="bottom"/>
          </w:tcPr>
          <w:p>
            <w:pPr>
              <w:spacing w:after="0"/>
              <w:rPr>
                <w:sz w:val="20"/>
                <w:szCs w:val="20"/>
                <w:color w:val="auto"/>
              </w:rPr>
            </w:pPr>
            <w:r>
              <w:rPr>
                <w:rFonts w:ascii="Courier New" w:cs="Courier New" w:eastAsia="Courier New" w:hAnsi="Courier New"/>
                <w:sz w:val="15"/>
                <w:szCs w:val="15"/>
                <w:color w:val="auto"/>
              </w:rPr>
              <w:t>G &amp; W Natural Resources Company,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Games Animation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Games Productions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Ginn Publishing (Canada) Limited</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Canada (Federal)</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Glendale Property Corp.</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Global Film Distributors B.V.</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Netherlands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Globe Fearon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California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Gloucester Titanium Company,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Gramps Company, Inc., The</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Grand Bahama Petroleum Company Limited</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Bahamas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Grande Alliance Co. Ltd.</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Cayman Islands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Great American Entertainment Motion</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California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ind w:left="280"/>
              <w:spacing w:after="0"/>
              <w:rPr>
                <w:sz w:val="20"/>
                <w:szCs w:val="20"/>
                <w:color w:val="auto"/>
              </w:rPr>
            </w:pPr>
            <w:r>
              <w:rPr>
                <w:rFonts w:ascii="Courier New" w:cs="Courier New" w:eastAsia="Courier New" w:hAnsi="Courier New"/>
                <w:sz w:val="15"/>
                <w:szCs w:val="15"/>
                <w:color w:val="auto"/>
              </w:rPr>
              <w:t>Pictures, Inc.</w:t>
            </w:r>
          </w:p>
        </w:tc>
        <w:tc>
          <w:tcPr>
            <w:tcW w:w="246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w w:val="99"/>
              </w:rPr>
              <w:t>Great American Entertainment Television,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California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Green Tiger Press,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California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Greenvale Editorial Services,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New York</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Gulf &amp; Western Casket Corporation</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w w:val="99"/>
              </w:rPr>
              <w:t>Gulf &amp; Western do Brazil Industria e Comercio</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Brazil</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ind w:left="280"/>
              <w:spacing w:after="0"/>
              <w:rPr>
                <w:sz w:val="20"/>
                <w:szCs w:val="20"/>
                <w:color w:val="auto"/>
              </w:rPr>
            </w:pPr>
            <w:r>
              <w:rPr>
                <w:rFonts w:ascii="Courier New" w:cs="Courier New" w:eastAsia="Courier New" w:hAnsi="Courier New"/>
                <w:sz w:val="15"/>
                <w:szCs w:val="15"/>
                <w:color w:val="auto"/>
              </w:rPr>
              <w:t>Limitada</w:t>
            </w:r>
          </w:p>
        </w:tc>
        <w:tc>
          <w:tcPr>
            <w:tcW w:w="246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Gulf &amp; Western Holdings Limited</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Bahamas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Gulf &amp; Western Indonesia,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Gulf &amp; Western Intercontinental</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Netherlands Antilles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ind w:left="280"/>
              <w:spacing w:after="0"/>
              <w:rPr>
                <w:sz w:val="20"/>
                <w:szCs w:val="20"/>
                <w:color w:val="auto"/>
              </w:rPr>
            </w:pPr>
            <w:r>
              <w:rPr>
                <w:rFonts w:ascii="Courier New" w:cs="Courier New" w:eastAsia="Courier New" w:hAnsi="Courier New"/>
                <w:sz w:val="15"/>
                <w:szCs w:val="15"/>
                <w:color w:val="auto"/>
              </w:rPr>
              <w:t>Investments N.V.</w:t>
            </w:r>
          </w:p>
        </w:tc>
        <w:tc>
          <w:tcPr>
            <w:tcW w:w="246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Gulf &amp; Western International Finance N.V.</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Netherlands Antilles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Gulf &amp; Western International N.V.</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Netherlands Antilles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Gulf &amp; Western Limited</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Bahamas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H-C-G Cablevision,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California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H. M. Gousha Company, The</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California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Hamilton Projects,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New York</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Harvester Press Limited, The</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United Kingdom</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High Command Productions Limited</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United Kingdom</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Houston Video Management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Texas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Houston Video Venture,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Florida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HZH Company</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Image Edit,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IMR Acquisition Corp.</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Independent Petrochemical Corporation</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Ohio</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Institute for Business Planning,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New York</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International Book Distributors Limited</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United Kingdom</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International Bureau of Software Test,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International Overseas Film Services,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center"/>
              <w:ind w:left="467"/>
              <w:spacing w:after="0"/>
              <w:rPr>
                <w:sz w:val="20"/>
                <w:szCs w:val="20"/>
                <w:color w:val="auto"/>
              </w:rPr>
            </w:pPr>
            <w:r>
              <w:rPr>
                <w:rFonts w:ascii="Courier New" w:cs="Courier New" w:eastAsia="Courier New" w:hAnsi="Courier New"/>
                <w:sz w:val="15"/>
                <w:szCs w:val="15"/>
                <w:color w:val="auto"/>
                <w:w w:val="99"/>
              </w:rPr>
              <w:t>66.7</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International Overseas Productions,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California</w:t>
            </w:r>
          </w:p>
        </w:tc>
        <w:tc>
          <w:tcPr>
            <w:tcW w:w="2820" w:type="dxa"/>
            <w:vAlign w:val="bottom"/>
          </w:tcPr>
          <w:p>
            <w:pPr>
              <w:jc w:val="center"/>
              <w:ind w:left="467"/>
              <w:spacing w:after="0"/>
              <w:rPr>
                <w:sz w:val="20"/>
                <w:szCs w:val="20"/>
                <w:color w:val="auto"/>
              </w:rPr>
            </w:pPr>
            <w:r>
              <w:rPr>
                <w:rFonts w:ascii="Courier New" w:cs="Courier New" w:eastAsia="Courier New" w:hAnsi="Courier New"/>
                <w:sz w:val="15"/>
                <w:szCs w:val="15"/>
                <w:color w:val="auto"/>
                <w:w w:val="99"/>
              </w:rPr>
              <w:t>66.7</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International Raw Materials Limited</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Bahamas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Interstitial Programs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J. K. Lasser,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Jack of Hearts Joint Venture</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California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Japan Regents Publishing Company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Japan</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Jossey-Bass, Inc., Publishers</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California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Katled Liquidating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Katled Systems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KBSG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1">
            <w:col w:w="10059"/>
          </w:cols>
          <w:pgMar w:left="400" w:top="961" w:right="1440" w:bottom="1440" w:gutter="0" w:footer="0" w:header="0"/>
        </w:sectPr>
      </w:pPr>
    </w:p>
    <w:bookmarkStart w:id="359" w:name="page360"/>
    <w:bookmarkEnd w:id="3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PERCENTAGE OF VOTING</w:t>
            </w:r>
          </w:p>
        </w:tc>
      </w:tr>
      <w:tr>
        <w:trPr>
          <w:trHeight w:val="170"/>
        </w:trPr>
        <w:tc>
          <w:tcPr>
            <w:tcW w:w="39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6520" w:type="dxa"/>
            <w:vAlign w:val="bottom"/>
            <w:gridSpan w:val="2"/>
          </w:tcPr>
          <w:p>
            <w:pPr>
              <w:ind w:left="3540"/>
              <w:spacing w:after="0"/>
              <w:rPr>
                <w:sz w:val="20"/>
                <w:szCs w:val="20"/>
                <w:color w:val="auto"/>
              </w:rPr>
            </w:pPr>
            <w:r>
              <w:rPr>
                <w:rFonts w:ascii="Courier New" w:cs="Courier New" w:eastAsia="Courier New" w:hAnsi="Courier New"/>
                <w:sz w:val="15"/>
                <w:szCs w:val="15"/>
                <w:color w:val="auto"/>
              </w:rPr>
              <w:t>STATE OR OTHER JURISDICTION OF</w:t>
            </w:r>
          </w:p>
        </w:tc>
        <w:tc>
          <w:tcPr>
            <w:tcW w:w="282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7"/>
              </w:rPr>
              <w:t>SECURITIES OWNED DIRECTLY OR</w:t>
            </w:r>
          </w:p>
        </w:tc>
      </w:tr>
      <w:tr>
        <w:trPr>
          <w:trHeight w:val="170"/>
        </w:trPr>
        <w:tc>
          <w:tcPr>
            <w:tcW w:w="6520" w:type="dxa"/>
            <w:vAlign w:val="bottom"/>
            <w:gridSpan w:val="2"/>
          </w:tcPr>
          <w:p>
            <w:pPr>
              <w:ind w:left="3540"/>
              <w:spacing w:after="0"/>
              <w:rPr>
                <w:sz w:val="20"/>
                <w:szCs w:val="20"/>
                <w:color w:val="auto"/>
              </w:rPr>
            </w:pPr>
            <w:r>
              <w:rPr>
                <w:rFonts w:ascii="Courier New" w:cs="Courier New" w:eastAsia="Courier New" w:hAnsi="Courier New"/>
                <w:sz w:val="15"/>
                <w:szCs w:val="15"/>
                <w:color w:val="auto"/>
              </w:rPr>
              <w:t>------------------------------</w:t>
            </w:r>
          </w:p>
        </w:tc>
        <w:tc>
          <w:tcPr>
            <w:tcW w:w="282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920" w:type="dxa"/>
            <w:vAlign w:val="bottom"/>
          </w:tcPr>
          <w:p>
            <w:pPr>
              <w:ind w:left="800"/>
              <w:spacing w:after="0"/>
              <w:rPr>
                <w:sz w:val="20"/>
                <w:szCs w:val="20"/>
                <w:color w:val="auto"/>
              </w:rPr>
            </w:pPr>
            <w:r>
              <w:rPr>
                <w:rFonts w:ascii="Courier New" w:cs="Courier New" w:eastAsia="Courier New" w:hAnsi="Courier New"/>
                <w:sz w:val="15"/>
                <w:szCs w:val="15"/>
                <w:color w:val="auto"/>
              </w:rPr>
              <w:t>SUBSIDIARIES</w:t>
            </w:r>
          </w:p>
        </w:tc>
        <w:tc>
          <w:tcPr>
            <w:tcW w:w="2600" w:type="dxa"/>
            <w:vAlign w:val="bottom"/>
          </w:tcPr>
          <w:p>
            <w:pPr>
              <w:ind w:left="400"/>
              <w:spacing w:after="0"/>
              <w:rPr>
                <w:sz w:val="20"/>
                <w:szCs w:val="20"/>
                <w:color w:val="auto"/>
              </w:rPr>
            </w:pPr>
            <w:r>
              <w:rPr>
                <w:rFonts w:ascii="Courier New" w:cs="Courier New" w:eastAsia="Courier New" w:hAnsi="Courier New"/>
                <w:sz w:val="15"/>
                <w:szCs w:val="15"/>
                <w:color w:val="auto"/>
              </w:rPr>
              <w:t>INCORPORATION</w:t>
            </w:r>
          </w:p>
        </w:tc>
        <w:tc>
          <w:tcPr>
            <w:tcW w:w="282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INDIRECTLY</w:t>
            </w:r>
          </w:p>
        </w:tc>
      </w:tr>
      <w:tr>
        <w:trPr>
          <w:trHeight w:val="170"/>
        </w:trPr>
        <w:tc>
          <w:tcPr>
            <w:tcW w:w="3920" w:type="dxa"/>
            <w:vAlign w:val="bottom"/>
          </w:tcPr>
          <w:p>
            <w:pPr>
              <w:ind w:left="800"/>
              <w:spacing w:after="0"/>
              <w:rPr>
                <w:sz w:val="20"/>
                <w:szCs w:val="20"/>
                <w:color w:val="auto"/>
              </w:rPr>
            </w:pPr>
            <w:r>
              <w:rPr>
                <w:rFonts w:ascii="Courier New" w:cs="Courier New" w:eastAsia="Courier New" w:hAnsi="Courier New"/>
                <w:sz w:val="15"/>
                <w:szCs w:val="15"/>
                <w:color w:val="auto"/>
              </w:rPr>
              <w:t>------------</w:t>
            </w:r>
          </w:p>
        </w:tc>
        <w:tc>
          <w:tcPr>
            <w:tcW w:w="26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282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w:t>
            </w:r>
          </w:p>
        </w:tc>
      </w:tr>
      <w:tr>
        <w:trPr>
          <w:trHeight w:val="678"/>
        </w:trPr>
        <w:tc>
          <w:tcPr>
            <w:tcW w:w="3920" w:type="dxa"/>
            <w:vAlign w:val="bottom"/>
          </w:tcPr>
          <w:p>
            <w:pPr>
              <w:spacing w:after="0"/>
              <w:rPr>
                <w:sz w:val="20"/>
                <w:szCs w:val="20"/>
                <w:color w:val="auto"/>
              </w:rPr>
            </w:pPr>
            <w:r>
              <w:rPr>
                <w:rFonts w:ascii="Courier New" w:cs="Courier New" w:eastAsia="Courier New" w:hAnsi="Courier New"/>
                <w:sz w:val="15"/>
                <w:szCs w:val="15"/>
                <w:color w:val="auto"/>
              </w:rPr>
              <w:t>Kilo Mining Corporation</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Pennsylvania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Kings Island Company</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KNDD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KSLQ,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Missouri</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KYSR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LAPTV (N.A.) N.V.</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Netherlands Antilles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Latin American Pay Television Service C.V.</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Netherlands Antilles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Latin American Pay Television Service de</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Venezuela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ind w:left="280"/>
              <w:spacing w:after="0"/>
              <w:rPr>
                <w:sz w:val="20"/>
                <w:szCs w:val="20"/>
                <w:color w:val="auto"/>
              </w:rPr>
            </w:pPr>
            <w:r>
              <w:rPr>
                <w:rFonts w:ascii="Courier New" w:cs="Courier New" w:eastAsia="Courier New" w:hAnsi="Courier New"/>
                <w:sz w:val="15"/>
                <w:szCs w:val="15"/>
                <w:color w:val="auto"/>
              </w:rPr>
              <w:t>Venezuela C.A.</w:t>
            </w:r>
          </w:p>
        </w:tc>
        <w:tc>
          <w:tcPr>
            <w:tcW w:w="260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Latin American Pay Television Service S.A.</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Mexico</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ind w:left="280"/>
              <w:spacing w:after="0"/>
              <w:rPr>
                <w:sz w:val="20"/>
                <w:szCs w:val="20"/>
                <w:color w:val="auto"/>
              </w:rPr>
            </w:pPr>
            <w:r>
              <w:rPr>
                <w:rFonts w:ascii="Courier New" w:cs="Courier New" w:eastAsia="Courier New" w:hAnsi="Courier New"/>
                <w:sz w:val="15"/>
                <w:szCs w:val="15"/>
                <w:color w:val="auto"/>
              </w:rPr>
              <w:t>de C.V.</w:t>
            </w:r>
          </w:p>
        </w:tc>
        <w:tc>
          <w:tcPr>
            <w:tcW w:w="260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Laurel Entertainment,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Living Color Financial Displays,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Florida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Lizarb B.V.</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Netherlands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Long Road Productions</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Illinois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75</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Low Key Productions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LT Holdings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M.R.E. Enterprises,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Florida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Maarten Investerings Partnership</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New York</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Macmillan,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Macmillan College Publishing Company,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Magic Hour Productions, Ltd.</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Canada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Magicam,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83.5</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Majestic Theatres Limited</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Canada (Alberta)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Major Video Corp.</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Nevada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Major VIdeo National Advertising Council</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Nevada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ind w:left="280"/>
              <w:spacing w:after="0"/>
              <w:rPr>
                <w:sz w:val="20"/>
                <w:szCs w:val="20"/>
                <w:color w:val="auto"/>
              </w:rPr>
            </w:pPr>
            <w:r>
              <w:rPr>
                <w:rFonts w:ascii="Courier New" w:cs="Courier New" w:eastAsia="Courier New" w:hAnsi="Courier New"/>
                <w:sz w:val="15"/>
                <w:szCs w:val="15"/>
                <w:color w:val="auto"/>
              </w:rPr>
              <w:t>Corporation</w:t>
            </w:r>
          </w:p>
        </w:tc>
        <w:tc>
          <w:tcPr>
            <w:tcW w:w="260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Major Video Super Stores,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Nevada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Marin Cable Television,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California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Markt &amp; Technik GmbH</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Germany</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Mars Film Produzione S.P.A.</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Italy</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Master Data Center,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Michigan</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Matlock Company, The</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Melrose Productions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California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Merritt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Monetas N.V.</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Netherlands Antilles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Montgomery Acquisition,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Texas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MTV Asia Development Company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MTV Australia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MTV India Development Company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MTV India LDC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Cayman Islands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MTV International Development Limited</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MTV Latino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MTV Networks AB</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Sweden</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MTV Networks B.V.</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Netherlands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MTV Networks Company</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MTV Networks Europe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MTV Networks GmbH</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Germany</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MTV Networks SARL</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France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MTV Networks South Africa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MTV Networks Srl</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Italy</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MTV SA LDC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Cayman Islands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1">
            <w:col w:w="10059"/>
          </w:cols>
          <w:pgMar w:left="400" w:top="792" w:right="1440" w:bottom="1440" w:gutter="0" w:footer="0" w:header="0"/>
        </w:sectPr>
      </w:pPr>
    </w:p>
    <w:bookmarkStart w:id="360" w:name="page361"/>
    <w:bookmarkEnd w:id="3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PERCENTAGE OF VOTING</w:t>
            </w:r>
          </w:p>
        </w:tc>
      </w:tr>
      <w:tr>
        <w:trPr>
          <w:trHeight w:val="170"/>
        </w:trPr>
        <w:tc>
          <w:tcPr>
            <w:tcW w:w="4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6520" w:type="dxa"/>
            <w:vAlign w:val="bottom"/>
            <w:gridSpan w:val="2"/>
          </w:tcPr>
          <w:p>
            <w:pPr>
              <w:ind w:left="3540"/>
              <w:spacing w:after="0"/>
              <w:rPr>
                <w:sz w:val="20"/>
                <w:szCs w:val="20"/>
                <w:color w:val="auto"/>
              </w:rPr>
            </w:pPr>
            <w:r>
              <w:rPr>
                <w:rFonts w:ascii="Courier New" w:cs="Courier New" w:eastAsia="Courier New" w:hAnsi="Courier New"/>
                <w:sz w:val="15"/>
                <w:szCs w:val="15"/>
                <w:color w:val="auto"/>
              </w:rPr>
              <w:t>STATE OR OTHER JURISDICTION OF</w:t>
            </w:r>
          </w:p>
        </w:tc>
        <w:tc>
          <w:tcPr>
            <w:tcW w:w="282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7"/>
              </w:rPr>
              <w:t>SECURITIES OWNED DIRECTLY OR</w:t>
            </w:r>
          </w:p>
        </w:tc>
      </w:tr>
      <w:tr>
        <w:trPr>
          <w:trHeight w:val="170"/>
        </w:trPr>
        <w:tc>
          <w:tcPr>
            <w:tcW w:w="6520" w:type="dxa"/>
            <w:vAlign w:val="bottom"/>
            <w:gridSpan w:val="2"/>
          </w:tcPr>
          <w:p>
            <w:pPr>
              <w:ind w:left="3540"/>
              <w:spacing w:after="0"/>
              <w:rPr>
                <w:sz w:val="20"/>
                <w:szCs w:val="20"/>
                <w:color w:val="auto"/>
              </w:rPr>
            </w:pPr>
            <w:r>
              <w:rPr>
                <w:rFonts w:ascii="Courier New" w:cs="Courier New" w:eastAsia="Courier New" w:hAnsi="Courier New"/>
                <w:sz w:val="15"/>
                <w:szCs w:val="15"/>
                <w:color w:val="auto"/>
              </w:rPr>
              <w:t>------------------------------</w:t>
            </w:r>
          </w:p>
        </w:tc>
        <w:tc>
          <w:tcPr>
            <w:tcW w:w="282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020" w:type="dxa"/>
            <w:vAlign w:val="bottom"/>
          </w:tcPr>
          <w:p>
            <w:pPr>
              <w:ind w:left="800"/>
              <w:spacing w:after="0"/>
              <w:rPr>
                <w:sz w:val="20"/>
                <w:szCs w:val="20"/>
                <w:color w:val="auto"/>
              </w:rPr>
            </w:pPr>
            <w:r>
              <w:rPr>
                <w:rFonts w:ascii="Courier New" w:cs="Courier New" w:eastAsia="Courier New" w:hAnsi="Courier New"/>
                <w:sz w:val="15"/>
                <w:szCs w:val="15"/>
                <w:color w:val="auto"/>
              </w:rPr>
              <w:t>SUBSIDIARIES</w:t>
            </w:r>
          </w:p>
        </w:tc>
        <w:tc>
          <w:tcPr>
            <w:tcW w:w="2500" w:type="dxa"/>
            <w:vAlign w:val="bottom"/>
          </w:tcPr>
          <w:p>
            <w:pPr>
              <w:ind w:left="300"/>
              <w:spacing w:after="0"/>
              <w:rPr>
                <w:sz w:val="20"/>
                <w:szCs w:val="20"/>
                <w:color w:val="auto"/>
              </w:rPr>
            </w:pPr>
            <w:r>
              <w:rPr>
                <w:rFonts w:ascii="Courier New" w:cs="Courier New" w:eastAsia="Courier New" w:hAnsi="Courier New"/>
                <w:sz w:val="15"/>
                <w:szCs w:val="15"/>
                <w:color w:val="auto"/>
              </w:rPr>
              <w:t>INCORPORATION</w:t>
            </w:r>
          </w:p>
        </w:tc>
        <w:tc>
          <w:tcPr>
            <w:tcW w:w="282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INDIRECTLY</w:t>
            </w:r>
          </w:p>
        </w:tc>
      </w:tr>
      <w:tr>
        <w:trPr>
          <w:trHeight w:val="170"/>
        </w:trPr>
        <w:tc>
          <w:tcPr>
            <w:tcW w:w="4020" w:type="dxa"/>
            <w:vAlign w:val="bottom"/>
          </w:tcPr>
          <w:p>
            <w:pPr>
              <w:ind w:left="800"/>
              <w:spacing w:after="0"/>
              <w:rPr>
                <w:sz w:val="20"/>
                <w:szCs w:val="20"/>
                <w:color w:val="auto"/>
              </w:rPr>
            </w:pPr>
            <w:r>
              <w:rPr>
                <w:rFonts w:ascii="Courier New" w:cs="Courier New" w:eastAsia="Courier New" w:hAnsi="Courier New"/>
                <w:sz w:val="15"/>
                <w:szCs w:val="15"/>
                <w:color w:val="auto"/>
              </w:rPr>
              <w:t>------------</w:t>
            </w:r>
          </w:p>
        </w:tc>
        <w:tc>
          <w:tcPr>
            <w:tcW w:w="250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282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w:t>
            </w:r>
          </w:p>
        </w:tc>
      </w:tr>
      <w:tr>
        <w:trPr>
          <w:trHeight w:val="678"/>
        </w:trPr>
        <w:tc>
          <w:tcPr>
            <w:tcW w:w="4020" w:type="dxa"/>
            <w:vAlign w:val="bottom"/>
          </w:tcPr>
          <w:p>
            <w:pPr>
              <w:spacing w:after="0"/>
              <w:rPr>
                <w:sz w:val="20"/>
                <w:szCs w:val="20"/>
                <w:color w:val="auto"/>
              </w:rPr>
            </w:pPr>
            <w:r>
              <w:rPr>
                <w:rFonts w:ascii="Courier New" w:cs="Courier New" w:eastAsia="Courier New" w:hAnsi="Courier New"/>
                <w:sz w:val="15"/>
                <w:szCs w:val="15"/>
                <w:color w:val="auto"/>
              </w:rPr>
              <w:t>MTV Songs Inc.</w:t>
            </w:r>
          </w:p>
        </w:tc>
        <w:tc>
          <w:tcPr>
            <w:tcW w:w="2500" w:type="dxa"/>
            <w:vAlign w:val="bottom"/>
          </w:tcPr>
          <w:p>
            <w:pPr>
              <w:ind w:left="1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MTVN Shopping Inc.</w:t>
            </w:r>
          </w:p>
        </w:tc>
        <w:tc>
          <w:tcPr>
            <w:tcW w:w="2500" w:type="dxa"/>
            <w:vAlign w:val="bottom"/>
          </w:tcPr>
          <w:p>
            <w:pPr>
              <w:ind w:left="1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Multi Mineral Corporation</w:t>
            </w:r>
          </w:p>
        </w:tc>
        <w:tc>
          <w:tcPr>
            <w:tcW w:w="2500" w:type="dxa"/>
            <w:vAlign w:val="bottom"/>
          </w:tcPr>
          <w:p>
            <w:pPr>
              <w:ind w:left="120"/>
              <w:spacing w:after="0"/>
              <w:rPr>
                <w:sz w:val="20"/>
                <w:szCs w:val="20"/>
                <w:color w:val="auto"/>
              </w:rPr>
            </w:pPr>
            <w:r>
              <w:rPr>
                <w:rFonts w:ascii="Courier New" w:cs="Courier New" w:eastAsia="Courier New" w:hAnsi="Courier New"/>
                <w:sz w:val="15"/>
                <w:szCs w:val="15"/>
                <w:color w:val="auto"/>
              </w:rPr>
              <w:t>Texas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Music By Nickelodeon Inc.</w:t>
            </w:r>
          </w:p>
        </w:tc>
        <w:tc>
          <w:tcPr>
            <w:tcW w:w="2500" w:type="dxa"/>
            <w:vAlign w:val="bottom"/>
          </w:tcPr>
          <w:p>
            <w:pPr>
              <w:ind w:left="1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Music By Video Inc.</w:t>
            </w:r>
          </w:p>
        </w:tc>
        <w:tc>
          <w:tcPr>
            <w:tcW w:w="2500" w:type="dxa"/>
            <w:vAlign w:val="bottom"/>
          </w:tcPr>
          <w:p>
            <w:pPr>
              <w:ind w:left="1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Nepco (Florida), Inc.</w:t>
            </w:r>
          </w:p>
        </w:tc>
        <w:tc>
          <w:tcPr>
            <w:tcW w:w="2500" w:type="dxa"/>
            <w:vAlign w:val="bottom"/>
          </w:tcPr>
          <w:p>
            <w:pPr>
              <w:ind w:left="120"/>
              <w:spacing w:after="0"/>
              <w:rPr>
                <w:sz w:val="20"/>
                <w:szCs w:val="20"/>
                <w:color w:val="auto"/>
              </w:rPr>
            </w:pPr>
            <w:r>
              <w:rPr>
                <w:rFonts w:ascii="Courier New" w:cs="Courier New" w:eastAsia="Courier New" w:hAnsi="Courier New"/>
                <w:sz w:val="15"/>
                <w:szCs w:val="15"/>
                <w:color w:val="auto"/>
              </w:rPr>
              <w:t>Florida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Nepco Energy Corporation</w:t>
            </w:r>
          </w:p>
        </w:tc>
        <w:tc>
          <w:tcPr>
            <w:tcW w:w="2500" w:type="dxa"/>
            <w:vAlign w:val="bottom"/>
          </w:tcPr>
          <w:p>
            <w:pPr>
              <w:ind w:left="120"/>
              <w:spacing w:after="0"/>
              <w:rPr>
                <w:sz w:val="20"/>
                <w:szCs w:val="20"/>
                <w:color w:val="auto"/>
              </w:rPr>
            </w:pPr>
            <w:r>
              <w:rPr>
                <w:rFonts w:ascii="Courier New" w:cs="Courier New" w:eastAsia="Courier New" w:hAnsi="Courier New"/>
                <w:sz w:val="15"/>
                <w:szCs w:val="15"/>
                <w:color w:val="auto"/>
              </w:rPr>
              <w:t>New York</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Nepco Exploration (U.K.) Limited</w:t>
            </w:r>
          </w:p>
        </w:tc>
        <w:tc>
          <w:tcPr>
            <w:tcW w:w="2500" w:type="dxa"/>
            <w:vAlign w:val="bottom"/>
          </w:tcPr>
          <w:p>
            <w:pPr>
              <w:ind w:left="120"/>
              <w:spacing w:after="0"/>
              <w:rPr>
                <w:sz w:val="20"/>
                <w:szCs w:val="20"/>
                <w:color w:val="auto"/>
              </w:rPr>
            </w:pPr>
            <w:r>
              <w:rPr>
                <w:rFonts w:ascii="Courier New" w:cs="Courier New" w:eastAsia="Courier New" w:hAnsi="Courier New"/>
                <w:sz w:val="15"/>
                <w:szCs w:val="15"/>
                <w:color w:val="auto"/>
              </w:rPr>
              <w:t>United Kingdom</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Nepco Petroleum Limited</w:t>
            </w:r>
          </w:p>
        </w:tc>
        <w:tc>
          <w:tcPr>
            <w:tcW w:w="2500" w:type="dxa"/>
            <w:vAlign w:val="bottom"/>
          </w:tcPr>
          <w:p>
            <w:pPr>
              <w:ind w:left="120"/>
              <w:spacing w:after="0"/>
              <w:rPr>
                <w:sz w:val="20"/>
                <w:szCs w:val="20"/>
                <w:color w:val="auto"/>
              </w:rPr>
            </w:pPr>
            <w:r>
              <w:rPr>
                <w:rFonts w:ascii="Courier New" w:cs="Courier New" w:eastAsia="Courier New" w:hAnsi="Courier New"/>
                <w:sz w:val="15"/>
                <w:szCs w:val="15"/>
                <w:color w:val="auto"/>
              </w:rPr>
              <w:t>Canada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New CORAL Ltd.</w:t>
            </w:r>
          </w:p>
        </w:tc>
        <w:tc>
          <w:tcPr>
            <w:tcW w:w="2500" w:type="dxa"/>
            <w:vAlign w:val="bottom"/>
          </w:tcPr>
          <w:p>
            <w:pPr>
              <w:ind w:left="120"/>
              <w:spacing w:after="0"/>
              <w:rPr>
                <w:sz w:val="20"/>
                <w:szCs w:val="20"/>
                <w:color w:val="auto"/>
              </w:rPr>
            </w:pPr>
            <w:r>
              <w:rPr>
                <w:rFonts w:ascii="Courier New" w:cs="Courier New" w:eastAsia="Courier New" w:hAnsi="Courier New"/>
                <w:sz w:val="15"/>
                <w:szCs w:val="15"/>
                <w:color w:val="auto"/>
              </w:rPr>
              <w:t>Cayman Islands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New England Petroleum Corporation</w:t>
            </w:r>
          </w:p>
        </w:tc>
        <w:tc>
          <w:tcPr>
            <w:tcW w:w="2500" w:type="dxa"/>
            <w:vAlign w:val="bottom"/>
          </w:tcPr>
          <w:p>
            <w:pPr>
              <w:ind w:left="120"/>
              <w:spacing w:after="0"/>
              <w:rPr>
                <w:sz w:val="20"/>
                <w:szCs w:val="20"/>
                <w:color w:val="auto"/>
              </w:rPr>
            </w:pPr>
            <w:r>
              <w:rPr>
                <w:rFonts w:ascii="Courier New" w:cs="Courier New" w:eastAsia="Courier New" w:hAnsi="Courier New"/>
                <w:sz w:val="15"/>
                <w:szCs w:val="15"/>
                <w:color w:val="auto"/>
              </w:rPr>
              <w:t>New York</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New Jersey Zinc Exploration Company, The</w:t>
            </w:r>
          </w:p>
        </w:tc>
        <w:tc>
          <w:tcPr>
            <w:tcW w:w="2500" w:type="dxa"/>
            <w:vAlign w:val="bottom"/>
          </w:tcPr>
          <w:p>
            <w:pPr>
              <w:ind w:left="1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New Jersey Zinc Exploration Company (Canada)</w:t>
            </w:r>
          </w:p>
        </w:tc>
        <w:tc>
          <w:tcPr>
            <w:tcW w:w="2500" w:type="dxa"/>
            <w:vAlign w:val="bottom"/>
          </w:tcPr>
          <w:p>
            <w:pPr>
              <w:ind w:left="120"/>
              <w:spacing w:after="0"/>
              <w:rPr>
                <w:sz w:val="20"/>
                <w:szCs w:val="20"/>
                <w:color w:val="auto"/>
              </w:rPr>
            </w:pPr>
            <w:r>
              <w:rPr>
                <w:rFonts w:ascii="Courier New" w:cs="Courier New" w:eastAsia="Courier New" w:hAnsi="Courier New"/>
                <w:sz w:val="15"/>
                <w:szCs w:val="15"/>
                <w:color w:val="auto"/>
              </w:rPr>
              <w:t>Canada (Federal)</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20" w:type="dxa"/>
            <w:vAlign w:val="bottom"/>
          </w:tcPr>
          <w:p>
            <w:pPr>
              <w:ind w:left="280"/>
              <w:spacing w:after="0"/>
              <w:rPr>
                <w:sz w:val="20"/>
                <w:szCs w:val="20"/>
                <w:color w:val="auto"/>
              </w:rPr>
            </w:pPr>
            <w:r>
              <w:rPr>
                <w:rFonts w:ascii="Courier New" w:cs="Courier New" w:eastAsia="Courier New" w:hAnsi="Courier New"/>
                <w:sz w:val="15"/>
                <w:szCs w:val="15"/>
                <w:color w:val="auto"/>
              </w:rPr>
              <w:t>Ltd.</w:t>
            </w:r>
          </w:p>
        </w:tc>
        <w:tc>
          <w:tcPr>
            <w:tcW w:w="250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New Leaf Entertainment Corporation</w:t>
            </w:r>
          </w:p>
        </w:tc>
        <w:tc>
          <w:tcPr>
            <w:tcW w:w="2500" w:type="dxa"/>
            <w:vAlign w:val="bottom"/>
          </w:tcPr>
          <w:p>
            <w:pPr>
              <w:ind w:left="1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New Providence Assurance Company Limited</w:t>
            </w:r>
          </w:p>
        </w:tc>
        <w:tc>
          <w:tcPr>
            <w:tcW w:w="2500" w:type="dxa"/>
            <w:vAlign w:val="bottom"/>
          </w:tcPr>
          <w:p>
            <w:pPr>
              <w:ind w:left="120"/>
              <w:spacing w:after="0"/>
              <w:rPr>
                <w:sz w:val="20"/>
                <w:szCs w:val="20"/>
                <w:color w:val="auto"/>
              </w:rPr>
            </w:pPr>
            <w:r>
              <w:rPr>
                <w:rFonts w:ascii="Courier New" w:cs="Courier New" w:eastAsia="Courier New" w:hAnsi="Courier New"/>
                <w:sz w:val="15"/>
                <w:szCs w:val="15"/>
                <w:color w:val="auto"/>
              </w:rPr>
              <w:t>Bahamas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New River Entertainment Corporation</w:t>
            </w:r>
          </w:p>
        </w:tc>
        <w:tc>
          <w:tcPr>
            <w:tcW w:w="2500" w:type="dxa"/>
            <w:vAlign w:val="bottom"/>
          </w:tcPr>
          <w:p>
            <w:pPr>
              <w:ind w:left="1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Newtel Inc.</w:t>
            </w:r>
          </w:p>
        </w:tc>
        <w:tc>
          <w:tcPr>
            <w:tcW w:w="2500" w:type="dxa"/>
            <w:vAlign w:val="bottom"/>
          </w:tcPr>
          <w:p>
            <w:pPr>
              <w:ind w:left="1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Nickelodeon Australia Inc.</w:t>
            </w:r>
          </w:p>
        </w:tc>
        <w:tc>
          <w:tcPr>
            <w:tcW w:w="2500" w:type="dxa"/>
            <w:vAlign w:val="bottom"/>
          </w:tcPr>
          <w:p>
            <w:pPr>
              <w:ind w:left="1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Nickelodeon Huggings U.K. Limited</w:t>
            </w:r>
          </w:p>
        </w:tc>
        <w:tc>
          <w:tcPr>
            <w:tcW w:w="2500" w:type="dxa"/>
            <w:vAlign w:val="bottom"/>
          </w:tcPr>
          <w:p>
            <w:pPr>
              <w:ind w:left="120"/>
              <w:spacing w:after="0"/>
              <w:rPr>
                <w:sz w:val="20"/>
                <w:szCs w:val="20"/>
                <w:color w:val="auto"/>
              </w:rPr>
            </w:pPr>
            <w:r>
              <w:rPr>
                <w:rFonts w:ascii="Courier New" w:cs="Courier New" w:eastAsia="Courier New" w:hAnsi="Courier New"/>
                <w:sz w:val="15"/>
                <w:szCs w:val="15"/>
                <w:color w:val="auto"/>
              </w:rPr>
              <w:t>United Kingdom</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Nickelodeon India Corporation</w:t>
            </w:r>
          </w:p>
        </w:tc>
        <w:tc>
          <w:tcPr>
            <w:tcW w:w="2500" w:type="dxa"/>
            <w:vAlign w:val="bottom"/>
          </w:tcPr>
          <w:p>
            <w:pPr>
              <w:ind w:left="1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Nickelodeon Magazines Inc.</w:t>
            </w:r>
          </w:p>
        </w:tc>
        <w:tc>
          <w:tcPr>
            <w:tcW w:w="2500" w:type="dxa"/>
            <w:vAlign w:val="bottom"/>
          </w:tcPr>
          <w:p>
            <w:pPr>
              <w:ind w:left="1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Nickelodeon Movies Inc.</w:t>
            </w:r>
          </w:p>
        </w:tc>
        <w:tc>
          <w:tcPr>
            <w:tcW w:w="2500" w:type="dxa"/>
            <w:vAlign w:val="bottom"/>
          </w:tcPr>
          <w:p>
            <w:pPr>
              <w:ind w:left="1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Night Falls Productions Inc.</w:t>
            </w:r>
          </w:p>
        </w:tc>
        <w:tc>
          <w:tcPr>
            <w:tcW w:w="2500" w:type="dxa"/>
            <w:vAlign w:val="bottom"/>
          </w:tcPr>
          <w:p>
            <w:pPr>
              <w:ind w:left="1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Northshore Productions Inc.</w:t>
            </w:r>
          </w:p>
        </w:tc>
        <w:tc>
          <w:tcPr>
            <w:tcW w:w="2500" w:type="dxa"/>
            <w:vAlign w:val="bottom"/>
          </w:tcPr>
          <w:p>
            <w:pPr>
              <w:ind w:left="120"/>
              <w:spacing w:after="0"/>
              <w:rPr>
                <w:sz w:val="20"/>
                <w:szCs w:val="20"/>
                <w:color w:val="auto"/>
              </w:rPr>
            </w:pPr>
            <w:r>
              <w:rPr>
                <w:rFonts w:ascii="Courier New" w:cs="Courier New" w:eastAsia="Courier New" w:hAnsi="Courier New"/>
                <w:sz w:val="15"/>
                <w:szCs w:val="15"/>
                <w:color w:val="auto"/>
              </w:rPr>
              <w:t>California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Notgnirrab Inc.</w:t>
            </w:r>
          </w:p>
        </w:tc>
        <w:tc>
          <w:tcPr>
            <w:tcW w:w="2500" w:type="dxa"/>
            <w:vAlign w:val="bottom"/>
          </w:tcPr>
          <w:p>
            <w:pPr>
              <w:ind w:left="120"/>
              <w:spacing w:after="0"/>
              <w:rPr>
                <w:sz w:val="20"/>
                <w:szCs w:val="20"/>
                <w:color w:val="auto"/>
              </w:rPr>
            </w:pPr>
            <w:r>
              <w:rPr>
                <w:rFonts w:ascii="Courier New" w:cs="Courier New" w:eastAsia="Courier New" w:hAnsi="Courier New"/>
                <w:sz w:val="15"/>
                <w:szCs w:val="15"/>
                <w:color w:val="auto"/>
              </w:rPr>
              <w:t>California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NTA, Inc.</w:t>
            </w:r>
          </w:p>
        </w:tc>
        <w:tc>
          <w:tcPr>
            <w:tcW w:w="2500" w:type="dxa"/>
            <w:vAlign w:val="bottom"/>
          </w:tcPr>
          <w:p>
            <w:pPr>
              <w:ind w:left="120"/>
              <w:spacing w:after="0"/>
              <w:rPr>
                <w:sz w:val="20"/>
                <w:szCs w:val="20"/>
                <w:color w:val="auto"/>
              </w:rPr>
            </w:pPr>
            <w:r>
              <w:rPr>
                <w:rFonts w:ascii="Courier New" w:cs="Courier New" w:eastAsia="Courier New" w:hAnsi="Courier New"/>
                <w:sz w:val="15"/>
                <w:szCs w:val="15"/>
                <w:color w:val="auto"/>
              </w:rPr>
              <w:t>New York</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NTA Films, Inc.</w:t>
            </w:r>
          </w:p>
        </w:tc>
        <w:tc>
          <w:tcPr>
            <w:tcW w:w="2500" w:type="dxa"/>
            <w:vAlign w:val="bottom"/>
          </w:tcPr>
          <w:p>
            <w:pPr>
              <w:ind w:left="120"/>
              <w:spacing w:after="0"/>
              <w:rPr>
                <w:sz w:val="20"/>
                <w:szCs w:val="20"/>
                <w:color w:val="auto"/>
              </w:rPr>
            </w:pPr>
            <w:r>
              <w:rPr>
                <w:rFonts w:ascii="Courier New" w:cs="Courier New" w:eastAsia="Courier New" w:hAnsi="Courier New"/>
                <w:sz w:val="15"/>
                <w:szCs w:val="15"/>
                <w:color w:val="auto"/>
              </w:rPr>
              <w:t>New York</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Number One FSC Ltd.</w:t>
            </w:r>
          </w:p>
        </w:tc>
        <w:tc>
          <w:tcPr>
            <w:tcW w:w="2500" w:type="dxa"/>
            <w:vAlign w:val="bottom"/>
          </w:tcPr>
          <w:p>
            <w:pPr>
              <w:ind w:left="120"/>
              <w:spacing w:after="0"/>
              <w:rPr>
                <w:sz w:val="20"/>
                <w:szCs w:val="20"/>
                <w:color w:val="auto"/>
              </w:rPr>
            </w:pPr>
            <w:r>
              <w:rPr>
                <w:rFonts w:ascii="Courier New" w:cs="Courier New" w:eastAsia="Courier New" w:hAnsi="Courier New"/>
                <w:sz w:val="15"/>
                <w:szCs w:val="15"/>
                <w:color w:val="auto"/>
              </w:rPr>
              <w:t>US Virgin Islands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Oswego Barge Corporation</w:t>
            </w:r>
          </w:p>
        </w:tc>
        <w:tc>
          <w:tcPr>
            <w:tcW w:w="2500" w:type="dxa"/>
            <w:vAlign w:val="bottom"/>
          </w:tcPr>
          <w:p>
            <w:pPr>
              <w:ind w:left="1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Our Home Productions Inc.</w:t>
            </w:r>
          </w:p>
        </w:tc>
        <w:tc>
          <w:tcPr>
            <w:tcW w:w="2500" w:type="dxa"/>
            <w:vAlign w:val="bottom"/>
          </w:tcPr>
          <w:p>
            <w:pPr>
              <w:ind w:left="1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Outatown Productions Inc.</w:t>
            </w:r>
          </w:p>
        </w:tc>
        <w:tc>
          <w:tcPr>
            <w:tcW w:w="2500" w:type="dxa"/>
            <w:vAlign w:val="bottom"/>
          </w:tcPr>
          <w:p>
            <w:pPr>
              <w:ind w:left="1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Overseas Services B.V.</w:t>
            </w:r>
          </w:p>
        </w:tc>
        <w:tc>
          <w:tcPr>
            <w:tcW w:w="2500" w:type="dxa"/>
            <w:vAlign w:val="bottom"/>
          </w:tcPr>
          <w:p>
            <w:pPr>
              <w:ind w:left="120"/>
              <w:spacing w:after="0"/>
              <w:rPr>
                <w:sz w:val="20"/>
                <w:szCs w:val="20"/>
                <w:color w:val="auto"/>
              </w:rPr>
            </w:pPr>
            <w:r>
              <w:rPr>
                <w:rFonts w:ascii="Courier New" w:cs="Courier New" w:eastAsia="Courier New" w:hAnsi="Courier New"/>
                <w:sz w:val="15"/>
                <w:szCs w:val="15"/>
                <w:color w:val="auto"/>
              </w:rPr>
              <w:t>Netherlands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Para-Sac Music Corporation</w:t>
            </w:r>
          </w:p>
        </w:tc>
        <w:tc>
          <w:tcPr>
            <w:tcW w:w="2500" w:type="dxa"/>
            <w:vAlign w:val="bottom"/>
          </w:tcPr>
          <w:p>
            <w:pPr>
              <w:ind w:left="1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Paramount (PDI) Distribution Inc.</w:t>
            </w:r>
          </w:p>
        </w:tc>
        <w:tc>
          <w:tcPr>
            <w:tcW w:w="2500" w:type="dxa"/>
            <w:vAlign w:val="bottom"/>
          </w:tcPr>
          <w:p>
            <w:pPr>
              <w:ind w:left="1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Paramount Americas Film Corporation</w:t>
            </w:r>
          </w:p>
        </w:tc>
        <w:tc>
          <w:tcPr>
            <w:tcW w:w="2500" w:type="dxa"/>
            <w:vAlign w:val="bottom"/>
          </w:tcPr>
          <w:p>
            <w:pPr>
              <w:ind w:left="1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Paramount British Pictures Limited</w:t>
            </w:r>
          </w:p>
        </w:tc>
        <w:tc>
          <w:tcPr>
            <w:tcW w:w="2500" w:type="dxa"/>
            <w:vAlign w:val="bottom"/>
          </w:tcPr>
          <w:p>
            <w:pPr>
              <w:ind w:left="120"/>
              <w:spacing w:after="0"/>
              <w:rPr>
                <w:sz w:val="20"/>
                <w:szCs w:val="20"/>
                <w:color w:val="auto"/>
              </w:rPr>
            </w:pPr>
            <w:r>
              <w:rPr>
                <w:rFonts w:ascii="Courier New" w:cs="Courier New" w:eastAsia="Courier New" w:hAnsi="Courier New"/>
                <w:sz w:val="15"/>
                <w:szCs w:val="15"/>
                <w:color w:val="auto"/>
              </w:rPr>
              <w:t>United Kingdom</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Paramount Canada's Wonderland Inc.</w:t>
            </w:r>
          </w:p>
        </w:tc>
        <w:tc>
          <w:tcPr>
            <w:tcW w:w="2500" w:type="dxa"/>
            <w:vAlign w:val="bottom"/>
          </w:tcPr>
          <w:p>
            <w:pPr>
              <w:ind w:left="120"/>
              <w:spacing w:after="0"/>
              <w:rPr>
                <w:sz w:val="20"/>
                <w:szCs w:val="20"/>
                <w:color w:val="auto"/>
              </w:rPr>
            </w:pPr>
            <w:r>
              <w:rPr>
                <w:rFonts w:ascii="Courier New" w:cs="Courier New" w:eastAsia="Courier New" w:hAnsi="Courier New"/>
                <w:sz w:val="15"/>
                <w:szCs w:val="15"/>
                <w:color w:val="auto"/>
              </w:rPr>
              <w:t>Canada (Ontario)</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Paramount Canadian Productions, Inc.</w:t>
            </w:r>
          </w:p>
        </w:tc>
        <w:tc>
          <w:tcPr>
            <w:tcW w:w="2500" w:type="dxa"/>
            <w:vAlign w:val="bottom"/>
          </w:tcPr>
          <w:p>
            <w:pPr>
              <w:ind w:left="1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Paramount Communications Acquisition</w:t>
            </w:r>
          </w:p>
        </w:tc>
        <w:tc>
          <w:tcPr>
            <w:tcW w:w="2500" w:type="dxa"/>
            <w:vAlign w:val="bottom"/>
          </w:tcPr>
          <w:p>
            <w:pPr>
              <w:ind w:left="1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20" w:type="dxa"/>
            <w:vAlign w:val="bottom"/>
          </w:tcPr>
          <w:p>
            <w:pPr>
              <w:ind w:left="280"/>
              <w:spacing w:after="0"/>
              <w:rPr>
                <w:sz w:val="20"/>
                <w:szCs w:val="20"/>
                <w:color w:val="auto"/>
              </w:rPr>
            </w:pPr>
            <w:r>
              <w:rPr>
                <w:rFonts w:ascii="Courier New" w:cs="Courier New" w:eastAsia="Courier New" w:hAnsi="Courier New"/>
                <w:sz w:val="15"/>
                <w:szCs w:val="15"/>
                <w:color w:val="auto"/>
              </w:rPr>
              <w:t>Corporation</w:t>
            </w:r>
          </w:p>
        </w:tc>
        <w:tc>
          <w:tcPr>
            <w:tcW w:w="250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Paramount Communications Merchandising and</w:t>
            </w:r>
          </w:p>
        </w:tc>
        <w:tc>
          <w:tcPr>
            <w:tcW w:w="2500" w:type="dxa"/>
            <w:vAlign w:val="bottom"/>
          </w:tcPr>
          <w:p>
            <w:pPr>
              <w:ind w:left="1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20" w:type="dxa"/>
            <w:vAlign w:val="bottom"/>
          </w:tcPr>
          <w:p>
            <w:pPr>
              <w:ind w:left="280"/>
              <w:spacing w:after="0"/>
              <w:rPr>
                <w:sz w:val="20"/>
                <w:szCs w:val="20"/>
                <w:color w:val="auto"/>
              </w:rPr>
            </w:pPr>
            <w:r>
              <w:rPr>
                <w:rFonts w:ascii="Courier New" w:cs="Courier New" w:eastAsia="Courier New" w:hAnsi="Courier New"/>
                <w:sz w:val="15"/>
                <w:szCs w:val="15"/>
                <w:color w:val="auto"/>
              </w:rPr>
              <w:t>Licensing Corporation</w:t>
            </w:r>
          </w:p>
        </w:tc>
        <w:tc>
          <w:tcPr>
            <w:tcW w:w="250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Paramount Communications Properties Inc.</w:t>
            </w:r>
          </w:p>
        </w:tc>
        <w:tc>
          <w:tcPr>
            <w:tcW w:w="2500" w:type="dxa"/>
            <w:vAlign w:val="bottom"/>
          </w:tcPr>
          <w:p>
            <w:pPr>
              <w:ind w:left="1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Paramount Communications Realty Corporation</w:t>
            </w:r>
          </w:p>
        </w:tc>
        <w:tc>
          <w:tcPr>
            <w:tcW w:w="2500" w:type="dxa"/>
            <w:vAlign w:val="bottom"/>
          </w:tcPr>
          <w:p>
            <w:pPr>
              <w:ind w:left="1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Paramount Communications Technology</w:t>
            </w:r>
          </w:p>
        </w:tc>
        <w:tc>
          <w:tcPr>
            <w:tcW w:w="2500" w:type="dxa"/>
            <w:vAlign w:val="bottom"/>
          </w:tcPr>
          <w:p>
            <w:pPr>
              <w:ind w:left="1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20" w:type="dxa"/>
            <w:vAlign w:val="bottom"/>
          </w:tcPr>
          <w:p>
            <w:pPr>
              <w:ind w:left="280"/>
              <w:spacing w:after="0"/>
              <w:rPr>
                <w:sz w:val="20"/>
                <w:szCs w:val="20"/>
                <w:color w:val="auto"/>
              </w:rPr>
            </w:pPr>
            <w:r>
              <w:rPr>
                <w:rFonts w:ascii="Courier New" w:cs="Courier New" w:eastAsia="Courier New" w:hAnsi="Courier New"/>
                <w:sz w:val="15"/>
                <w:szCs w:val="15"/>
                <w:color w:val="auto"/>
              </w:rPr>
              <w:t>Group Inc.</w:t>
            </w:r>
          </w:p>
        </w:tc>
        <w:tc>
          <w:tcPr>
            <w:tcW w:w="250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Paramount Digital Entertainment Inc.</w:t>
            </w:r>
          </w:p>
        </w:tc>
        <w:tc>
          <w:tcPr>
            <w:tcW w:w="2500" w:type="dxa"/>
            <w:vAlign w:val="bottom"/>
          </w:tcPr>
          <w:p>
            <w:pPr>
              <w:ind w:left="1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Paramount Film Production (Deutschland) GmbH</w:t>
            </w:r>
          </w:p>
        </w:tc>
        <w:tc>
          <w:tcPr>
            <w:tcW w:w="2500" w:type="dxa"/>
            <w:vAlign w:val="bottom"/>
          </w:tcPr>
          <w:p>
            <w:pPr>
              <w:ind w:left="120"/>
              <w:spacing w:after="0"/>
              <w:rPr>
                <w:sz w:val="20"/>
                <w:szCs w:val="20"/>
                <w:color w:val="auto"/>
              </w:rPr>
            </w:pPr>
            <w:r>
              <w:rPr>
                <w:rFonts w:ascii="Courier New" w:cs="Courier New" w:eastAsia="Courier New" w:hAnsi="Courier New"/>
                <w:sz w:val="15"/>
                <w:szCs w:val="15"/>
                <w:color w:val="auto"/>
              </w:rPr>
              <w:t>Germany</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Paramount Films B.V.</w:t>
            </w:r>
          </w:p>
        </w:tc>
        <w:tc>
          <w:tcPr>
            <w:tcW w:w="2500" w:type="dxa"/>
            <w:vAlign w:val="bottom"/>
          </w:tcPr>
          <w:p>
            <w:pPr>
              <w:ind w:left="120"/>
              <w:spacing w:after="0"/>
              <w:rPr>
                <w:sz w:val="20"/>
                <w:szCs w:val="20"/>
                <w:color w:val="auto"/>
              </w:rPr>
            </w:pPr>
            <w:r>
              <w:rPr>
                <w:rFonts w:ascii="Courier New" w:cs="Courier New" w:eastAsia="Courier New" w:hAnsi="Courier New"/>
                <w:sz w:val="15"/>
                <w:szCs w:val="15"/>
                <w:color w:val="auto"/>
              </w:rPr>
              <w:t>Netherlands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Paramount Films of Australia Inc.</w:t>
            </w:r>
          </w:p>
        </w:tc>
        <w:tc>
          <w:tcPr>
            <w:tcW w:w="2500" w:type="dxa"/>
            <w:vAlign w:val="bottom"/>
          </w:tcPr>
          <w:p>
            <w:pPr>
              <w:ind w:left="1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Paramount Films of China, Inc.</w:t>
            </w:r>
          </w:p>
        </w:tc>
        <w:tc>
          <w:tcPr>
            <w:tcW w:w="2500" w:type="dxa"/>
            <w:vAlign w:val="bottom"/>
          </w:tcPr>
          <w:p>
            <w:pPr>
              <w:ind w:left="1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1">
            <w:col w:w="10059"/>
          </w:cols>
          <w:pgMar w:left="400" w:top="791" w:right="1440" w:bottom="1440" w:gutter="0" w:footer="0" w:header="0"/>
        </w:sectPr>
      </w:pPr>
    </w:p>
    <w:bookmarkStart w:id="361" w:name="page362"/>
    <w:bookmarkEnd w:id="3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PERCENTAGE OF VOTING</w:t>
            </w:r>
          </w:p>
        </w:tc>
      </w:tr>
      <w:tr>
        <w:trPr>
          <w:trHeight w:val="170"/>
        </w:trPr>
        <w:tc>
          <w:tcPr>
            <w:tcW w:w="16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1680" w:type="dxa"/>
            <w:vAlign w:val="bottom"/>
          </w:tcPr>
          <w:p>
            <w:pPr>
              <w:spacing w:after="0"/>
              <w:rPr>
                <w:sz w:val="14"/>
                <w:szCs w:val="14"/>
                <w:color w:val="auto"/>
              </w:rPr>
            </w:pPr>
          </w:p>
        </w:tc>
        <w:tc>
          <w:tcPr>
            <w:tcW w:w="4840" w:type="dxa"/>
            <w:vAlign w:val="bottom"/>
            <w:gridSpan w:val="2"/>
          </w:tcPr>
          <w:p>
            <w:pPr>
              <w:ind w:left="1860"/>
              <w:spacing w:after="0"/>
              <w:rPr>
                <w:sz w:val="20"/>
                <w:szCs w:val="20"/>
                <w:color w:val="auto"/>
              </w:rPr>
            </w:pPr>
            <w:r>
              <w:rPr>
                <w:rFonts w:ascii="Courier New" w:cs="Courier New" w:eastAsia="Courier New" w:hAnsi="Courier New"/>
                <w:sz w:val="15"/>
                <w:szCs w:val="15"/>
                <w:color w:val="auto"/>
              </w:rPr>
              <w:t>STATE OR OTHER JURISDICTION OF</w:t>
            </w:r>
          </w:p>
        </w:tc>
        <w:tc>
          <w:tcPr>
            <w:tcW w:w="282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7"/>
              </w:rPr>
              <w:t>SECURITIES OWNED DIRECTLY OR</w:t>
            </w:r>
          </w:p>
        </w:tc>
      </w:tr>
      <w:tr>
        <w:trPr>
          <w:trHeight w:val="170"/>
        </w:trPr>
        <w:tc>
          <w:tcPr>
            <w:tcW w:w="1680" w:type="dxa"/>
            <w:vAlign w:val="bottom"/>
          </w:tcPr>
          <w:p>
            <w:pPr>
              <w:spacing w:after="0"/>
              <w:rPr>
                <w:sz w:val="14"/>
                <w:szCs w:val="14"/>
                <w:color w:val="auto"/>
              </w:rPr>
            </w:pPr>
          </w:p>
        </w:tc>
        <w:tc>
          <w:tcPr>
            <w:tcW w:w="4840" w:type="dxa"/>
            <w:vAlign w:val="bottom"/>
            <w:gridSpan w:val="2"/>
          </w:tcPr>
          <w:p>
            <w:pPr>
              <w:ind w:left="1860"/>
              <w:spacing w:after="0"/>
              <w:rPr>
                <w:sz w:val="20"/>
                <w:szCs w:val="20"/>
                <w:color w:val="auto"/>
              </w:rPr>
            </w:pPr>
            <w:r>
              <w:rPr>
                <w:rFonts w:ascii="Courier New" w:cs="Courier New" w:eastAsia="Courier New" w:hAnsi="Courier New"/>
                <w:sz w:val="15"/>
                <w:szCs w:val="15"/>
                <w:color w:val="auto"/>
              </w:rPr>
              <w:t>------------------------------</w:t>
            </w:r>
          </w:p>
        </w:tc>
        <w:tc>
          <w:tcPr>
            <w:tcW w:w="282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06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SUBSIDIARIES</w:t>
            </w:r>
          </w:p>
        </w:tc>
        <w:tc>
          <w:tcPr>
            <w:tcW w:w="2460" w:type="dxa"/>
            <w:vAlign w:val="bottom"/>
          </w:tcPr>
          <w:p>
            <w:pPr>
              <w:ind w:left="260"/>
              <w:spacing w:after="0"/>
              <w:rPr>
                <w:sz w:val="20"/>
                <w:szCs w:val="20"/>
                <w:color w:val="auto"/>
              </w:rPr>
            </w:pPr>
            <w:r>
              <w:rPr>
                <w:rFonts w:ascii="Courier New" w:cs="Courier New" w:eastAsia="Courier New" w:hAnsi="Courier New"/>
                <w:sz w:val="15"/>
                <w:szCs w:val="15"/>
                <w:color w:val="auto"/>
              </w:rPr>
              <w:t>INCORPORATION</w:t>
            </w:r>
          </w:p>
        </w:tc>
        <w:tc>
          <w:tcPr>
            <w:tcW w:w="282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INDIRECTLY</w:t>
            </w:r>
          </w:p>
        </w:tc>
      </w:tr>
      <w:tr>
        <w:trPr>
          <w:trHeight w:val="170"/>
        </w:trPr>
        <w:tc>
          <w:tcPr>
            <w:tcW w:w="406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w:t>
            </w:r>
          </w:p>
        </w:tc>
        <w:tc>
          <w:tcPr>
            <w:tcW w:w="24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82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w:t>
            </w:r>
          </w:p>
        </w:tc>
      </w:tr>
      <w:tr>
        <w:trPr>
          <w:trHeight w:val="678"/>
        </w:trPr>
        <w:tc>
          <w:tcPr>
            <w:tcW w:w="1680" w:type="dxa"/>
            <w:vAlign w:val="bottom"/>
          </w:tcPr>
          <w:p>
            <w:pPr>
              <w:spacing w:after="0"/>
              <w:rPr>
                <w:sz w:val="20"/>
                <w:szCs w:val="20"/>
                <w:color w:val="auto"/>
              </w:rPr>
            </w:pPr>
            <w:r>
              <w:rPr>
                <w:rFonts w:ascii="Courier New" w:cs="Courier New" w:eastAsia="Courier New" w:hAnsi="Courier New"/>
                <w:sz w:val="15"/>
                <w:szCs w:val="15"/>
                <w:color w:val="auto"/>
              </w:rPr>
              <w:t>Paramount Films of</w:t>
            </w:r>
          </w:p>
        </w:tc>
        <w:tc>
          <w:tcPr>
            <w:tcW w:w="2380" w:type="dxa"/>
            <w:vAlign w:val="bottom"/>
          </w:tcPr>
          <w:p>
            <w:pPr>
              <w:spacing w:after="0"/>
              <w:rPr>
                <w:sz w:val="20"/>
                <w:szCs w:val="20"/>
                <w:color w:val="auto"/>
              </w:rPr>
            </w:pPr>
            <w:r>
              <w:rPr>
                <w:rFonts w:ascii="Courier New" w:cs="Courier New" w:eastAsia="Courier New" w:hAnsi="Courier New"/>
                <w:sz w:val="15"/>
                <w:szCs w:val="15"/>
                <w:color w:val="auto"/>
              </w:rPr>
              <w:t>Egypt,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680" w:type="dxa"/>
            <w:vAlign w:val="bottom"/>
          </w:tcPr>
          <w:p>
            <w:pPr>
              <w:spacing w:after="0"/>
              <w:rPr>
                <w:sz w:val="20"/>
                <w:szCs w:val="20"/>
                <w:color w:val="auto"/>
              </w:rPr>
            </w:pPr>
            <w:r>
              <w:rPr>
                <w:rFonts w:ascii="Courier New" w:cs="Courier New" w:eastAsia="Courier New" w:hAnsi="Courier New"/>
                <w:sz w:val="15"/>
                <w:szCs w:val="15"/>
                <w:color w:val="auto"/>
              </w:rPr>
              <w:t>Paramount Films of</w:t>
            </w:r>
          </w:p>
        </w:tc>
        <w:tc>
          <w:tcPr>
            <w:tcW w:w="2380" w:type="dxa"/>
            <w:vAlign w:val="bottom"/>
          </w:tcPr>
          <w:p>
            <w:pPr>
              <w:spacing w:after="0"/>
              <w:rPr>
                <w:sz w:val="20"/>
                <w:szCs w:val="20"/>
                <w:color w:val="auto"/>
              </w:rPr>
            </w:pPr>
            <w:r>
              <w:rPr>
                <w:rFonts w:ascii="Courier New" w:cs="Courier New" w:eastAsia="Courier New" w:hAnsi="Courier New"/>
                <w:sz w:val="15"/>
                <w:szCs w:val="15"/>
                <w:color w:val="auto"/>
              </w:rPr>
              <w:t>India, Ltd.</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680" w:type="dxa"/>
            <w:vAlign w:val="bottom"/>
          </w:tcPr>
          <w:p>
            <w:pPr>
              <w:spacing w:after="0"/>
              <w:rPr>
                <w:sz w:val="20"/>
                <w:szCs w:val="20"/>
                <w:color w:val="auto"/>
              </w:rPr>
            </w:pPr>
            <w:r>
              <w:rPr>
                <w:rFonts w:ascii="Courier New" w:cs="Courier New" w:eastAsia="Courier New" w:hAnsi="Courier New"/>
                <w:sz w:val="15"/>
                <w:szCs w:val="15"/>
                <w:color w:val="auto"/>
              </w:rPr>
              <w:t>Paramount Films of</w:t>
            </w:r>
          </w:p>
        </w:tc>
        <w:tc>
          <w:tcPr>
            <w:tcW w:w="2380" w:type="dxa"/>
            <w:vAlign w:val="bottom"/>
          </w:tcPr>
          <w:p>
            <w:pPr>
              <w:spacing w:after="0"/>
              <w:rPr>
                <w:sz w:val="20"/>
                <w:szCs w:val="20"/>
                <w:color w:val="auto"/>
              </w:rPr>
            </w:pPr>
            <w:r>
              <w:rPr>
                <w:rFonts w:ascii="Courier New" w:cs="Courier New" w:eastAsia="Courier New" w:hAnsi="Courier New"/>
                <w:sz w:val="15"/>
                <w:szCs w:val="15"/>
                <w:color w:val="auto"/>
              </w:rPr>
              <w:t>Italy,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New York</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680" w:type="dxa"/>
            <w:vAlign w:val="bottom"/>
          </w:tcPr>
          <w:p>
            <w:pPr>
              <w:spacing w:after="0"/>
              <w:rPr>
                <w:sz w:val="20"/>
                <w:szCs w:val="20"/>
                <w:color w:val="auto"/>
              </w:rPr>
            </w:pPr>
            <w:r>
              <w:rPr>
                <w:rFonts w:ascii="Courier New" w:cs="Courier New" w:eastAsia="Courier New" w:hAnsi="Courier New"/>
                <w:sz w:val="15"/>
                <w:szCs w:val="15"/>
                <w:color w:val="auto"/>
              </w:rPr>
              <w:t>Paramount Films of</w:t>
            </w:r>
          </w:p>
        </w:tc>
        <w:tc>
          <w:tcPr>
            <w:tcW w:w="2380" w:type="dxa"/>
            <w:vAlign w:val="bottom"/>
          </w:tcPr>
          <w:p>
            <w:pPr>
              <w:spacing w:after="0"/>
              <w:rPr>
                <w:sz w:val="20"/>
                <w:szCs w:val="20"/>
                <w:color w:val="auto"/>
              </w:rPr>
            </w:pPr>
            <w:r>
              <w:rPr>
                <w:rFonts w:ascii="Courier New" w:cs="Courier New" w:eastAsia="Courier New" w:hAnsi="Courier New"/>
                <w:sz w:val="15"/>
                <w:szCs w:val="15"/>
                <w:color w:val="auto"/>
              </w:rPr>
              <w:t>Lebanon,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New York</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680" w:type="dxa"/>
            <w:vAlign w:val="bottom"/>
          </w:tcPr>
          <w:p>
            <w:pPr>
              <w:spacing w:after="0"/>
              <w:rPr>
                <w:sz w:val="20"/>
                <w:szCs w:val="20"/>
                <w:color w:val="auto"/>
              </w:rPr>
            </w:pPr>
            <w:r>
              <w:rPr>
                <w:rFonts w:ascii="Courier New" w:cs="Courier New" w:eastAsia="Courier New" w:hAnsi="Courier New"/>
                <w:sz w:val="15"/>
                <w:szCs w:val="15"/>
                <w:color w:val="auto"/>
              </w:rPr>
              <w:t>Paramount Films of</w:t>
            </w:r>
          </w:p>
        </w:tc>
        <w:tc>
          <w:tcPr>
            <w:tcW w:w="2380" w:type="dxa"/>
            <w:vAlign w:val="bottom"/>
          </w:tcPr>
          <w:p>
            <w:pPr>
              <w:spacing w:after="0"/>
              <w:rPr>
                <w:sz w:val="20"/>
                <w:szCs w:val="20"/>
                <w:color w:val="auto"/>
              </w:rPr>
            </w:pPr>
            <w:r>
              <w:rPr>
                <w:rFonts w:ascii="Courier New" w:cs="Courier New" w:eastAsia="Courier New" w:hAnsi="Courier New"/>
                <w:sz w:val="15"/>
                <w:szCs w:val="15"/>
                <w:color w:val="auto"/>
              </w:rPr>
              <w:t>Pakistan Ltd.</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New York</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680" w:type="dxa"/>
            <w:vAlign w:val="bottom"/>
          </w:tcPr>
          <w:p>
            <w:pPr>
              <w:spacing w:after="0"/>
              <w:rPr>
                <w:sz w:val="20"/>
                <w:szCs w:val="20"/>
                <w:color w:val="auto"/>
              </w:rPr>
            </w:pPr>
            <w:r>
              <w:rPr>
                <w:rFonts w:ascii="Courier New" w:cs="Courier New" w:eastAsia="Courier New" w:hAnsi="Courier New"/>
                <w:sz w:val="15"/>
                <w:szCs w:val="15"/>
                <w:color w:val="auto"/>
              </w:rPr>
              <w:t>Paramount Films of</w:t>
            </w:r>
          </w:p>
        </w:tc>
        <w:tc>
          <w:tcPr>
            <w:tcW w:w="2380" w:type="dxa"/>
            <w:vAlign w:val="bottom"/>
          </w:tcPr>
          <w:p>
            <w:pPr>
              <w:spacing w:after="0"/>
              <w:rPr>
                <w:sz w:val="20"/>
                <w:szCs w:val="20"/>
                <w:color w:val="auto"/>
              </w:rPr>
            </w:pPr>
            <w:r>
              <w:rPr>
                <w:rFonts w:ascii="Courier New" w:cs="Courier New" w:eastAsia="Courier New" w:hAnsi="Courier New"/>
                <w:sz w:val="15"/>
                <w:szCs w:val="15"/>
                <w:color w:val="auto"/>
              </w:rPr>
              <w:t>Southeast Asia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gridSpan w:val="2"/>
          </w:tcPr>
          <w:p>
            <w:pPr>
              <w:spacing w:after="0"/>
              <w:rPr>
                <w:sz w:val="20"/>
                <w:szCs w:val="20"/>
                <w:color w:val="auto"/>
              </w:rPr>
            </w:pPr>
            <w:r>
              <w:rPr>
                <w:rFonts w:ascii="Courier New" w:cs="Courier New" w:eastAsia="Courier New" w:hAnsi="Courier New"/>
                <w:sz w:val="15"/>
                <w:szCs w:val="15"/>
                <w:color w:val="auto"/>
              </w:rPr>
              <w:t>Paramount General Entertainment Australia</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680" w:type="dxa"/>
            <w:vAlign w:val="bottom"/>
          </w:tcPr>
          <w:p>
            <w:pPr>
              <w:ind w:left="280"/>
              <w:spacing w:after="0"/>
              <w:rPr>
                <w:sz w:val="20"/>
                <w:szCs w:val="20"/>
                <w:color w:val="auto"/>
              </w:rPr>
            </w:pPr>
            <w:r>
              <w:rPr>
                <w:rFonts w:ascii="Courier New" w:cs="Courier New" w:eastAsia="Courier New" w:hAnsi="Courier New"/>
                <w:sz w:val="15"/>
                <w:szCs w:val="15"/>
                <w:color w:val="auto"/>
              </w:rPr>
              <w:t>Inc.</w:t>
            </w:r>
          </w:p>
        </w:tc>
        <w:tc>
          <w:tcPr>
            <w:tcW w:w="23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170"/>
        </w:trPr>
        <w:tc>
          <w:tcPr>
            <w:tcW w:w="4060" w:type="dxa"/>
            <w:vAlign w:val="bottom"/>
            <w:gridSpan w:val="2"/>
          </w:tcPr>
          <w:p>
            <w:pPr>
              <w:spacing w:after="0"/>
              <w:rPr>
                <w:sz w:val="20"/>
                <w:szCs w:val="20"/>
                <w:color w:val="auto"/>
              </w:rPr>
            </w:pPr>
            <w:r>
              <w:rPr>
                <w:rFonts w:ascii="Courier New" w:cs="Courier New" w:eastAsia="Courier New" w:hAnsi="Courier New"/>
                <w:sz w:val="15"/>
                <w:szCs w:val="15"/>
                <w:color w:val="auto"/>
              </w:rPr>
              <w:t>Paramount Home Video,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gridSpan w:val="2"/>
          </w:tcPr>
          <w:p>
            <w:pPr>
              <w:spacing w:after="0"/>
              <w:rPr>
                <w:sz w:val="20"/>
                <w:szCs w:val="20"/>
                <w:color w:val="auto"/>
              </w:rPr>
            </w:pPr>
            <w:r>
              <w:rPr>
                <w:rFonts w:ascii="Courier New" w:cs="Courier New" w:eastAsia="Courier New" w:hAnsi="Courier New"/>
                <w:sz w:val="15"/>
                <w:szCs w:val="15"/>
                <w:color w:val="auto"/>
              </w:rPr>
              <w:t>Paramount Images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gridSpan w:val="2"/>
          </w:tcPr>
          <w:p>
            <w:pPr>
              <w:spacing w:after="0"/>
              <w:rPr>
                <w:sz w:val="20"/>
                <w:szCs w:val="20"/>
                <w:color w:val="auto"/>
              </w:rPr>
            </w:pPr>
            <w:r>
              <w:rPr>
                <w:rFonts w:ascii="Courier New" w:cs="Courier New" w:eastAsia="Courier New" w:hAnsi="Courier New"/>
                <w:sz w:val="15"/>
                <w:szCs w:val="15"/>
                <w:color w:val="auto"/>
              </w:rPr>
              <w:t>Paramount International Holding Company</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gridSpan w:val="2"/>
          </w:tcPr>
          <w:p>
            <w:pPr>
              <w:spacing w:after="0"/>
              <w:rPr>
                <w:sz w:val="20"/>
                <w:szCs w:val="20"/>
                <w:color w:val="auto"/>
              </w:rPr>
            </w:pPr>
            <w:r>
              <w:rPr>
                <w:rFonts w:ascii="Courier New" w:cs="Courier New" w:eastAsia="Courier New" w:hAnsi="Courier New"/>
                <w:sz w:val="15"/>
                <w:szCs w:val="15"/>
                <w:color w:val="auto"/>
              </w:rPr>
              <w:t>Paramount LAPTV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gridSpan w:val="2"/>
          </w:tcPr>
          <w:p>
            <w:pPr>
              <w:spacing w:after="0"/>
              <w:rPr>
                <w:sz w:val="20"/>
                <w:szCs w:val="20"/>
                <w:color w:val="auto"/>
              </w:rPr>
            </w:pPr>
            <w:r>
              <w:rPr>
                <w:rFonts w:ascii="Courier New" w:cs="Courier New" w:eastAsia="Courier New" w:hAnsi="Courier New"/>
                <w:sz w:val="15"/>
                <w:szCs w:val="15"/>
                <w:color w:val="auto"/>
              </w:rPr>
              <w:t>Paramount Music Corporation</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680" w:type="dxa"/>
            <w:vAlign w:val="bottom"/>
          </w:tcPr>
          <w:p>
            <w:pPr>
              <w:spacing w:after="0"/>
              <w:rPr>
                <w:sz w:val="20"/>
                <w:szCs w:val="20"/>
                <w:color w:val="auto"/>
              </w:rPr>
            </w:pPr>
            <w:r>
              <w:rPr>
                <w:rFonts w:ascii="Courier New" w:cs="Courier New" w:eastAsia="Courier New" w:hAnsi="Courier New"/>
                <w:sz w:val="15"/>
                <w:szCs w:val="15"/>
                <w:color w:val="auto"/>
              </w:rPr>
              <w:t>Paramount Overseas</w:t>
            </w:r>
          </w:p>
        </w:tc>
        <w:tc>
          <w:tcPr>
            <w:tcW w:w="2380" w:type="dxa"/>
            <w:vAlign w:val="bottom"/>
          </w:tcPr>
          <w:p>
            <w:pPr>
              <w:spacing w:after="0"/>
              <w:rPr>
                <w:sz w:val="20"/>
                <w:szCs w:val="20"/>
                <w:color w:val="auto"/>
              </w:rPr>
            </w:pPr>
            <w:r>
              <w:rPr>
                <w:rFonts w:ascii="Courier New" w:cs="Courier New" w:eastAsia="Courier New" w:hAnsi="Courier New"/>
                <w:sz w:val="15"/>
                <w:szCs w:val="15"/>
                <w:color w:val="auto"/>
              </w:rPr>
              <w:t>Productions,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gridSpan w:val="2"/>
          </w:tcPr>
          <w:p>
            <w:pPr>
              <w:spacing w:after="0"/>
              <w:rPr>
                <w:sz w:val="20"/>
                <w:szCs w:val="20"/>
                <w:color w:val="auto"/>
              </w:rPr>
            </w:pPr>
            <w:r>
              <w:rPr>
                <w:rFonts w:ascii="Courier New" w:cs="Courier New" w:eastAsia="Courier New" w:hAnsi="Courier New"/>
                <w:sz w:val="15"/>
                <w:szCs w:val="15"/>
                <w:color w:val="auto"/>
              </w:rPr>
              <w:t>Paramount Parks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680" w:type="dxa"/>
            <w:vAlign w:val="bottom"/>
          </w:tcPr>
          <w:p>
            <w:pPr>
              <w:spacing w:after="0"/>
              <w:rPr>
                <w:sz w:val="20"/>
                <w:szCs w:val="20"/>
                <w:color w:val="auto"/>
              </w:rPr>
            </w:pPr>
            <w:r>
              <w:rPr>
                <w:rFonts w:ascii="Courier New" w:cs="Courier New" w:eastAsia="Courier New" w:hAnsi="Courier New"/>
                <w:sz w:val="15"/>
                <w:szCs w:val="15"/>
                <w:color w:val="auto"/>
              </w:rPr>
              <w:t>Paramount Pictures</w:t>
            </w:r>
          </w:p>
        </w:tc>
        <w:tc>
          <w:tcPr>
            <w:tcW w:w="2380" w:type="dxa"/>
            <w:vAlign w:val="bottom"/>
          </w:tcPr>
          <w:p>
            <w:pPr>
              <w:spacing w:after="0"/>
              <w:rPr>
                <w:sz w:val="20"/>
                <w:szCs w:val="20"/>
                <w:color w:val="auto"/>
              </w:rPr>
            </w:pPr>
            <w:r>
              <w:rPr>
                <w:rFonts w:ascii="Courier New" w:cs="Courier New" w:eastAsia="Courier New" w:hAnsi="Courier New"/>
                <w:sz w:val="15"/>
                <w:szCs w:val="15"/>
                <w:color w:val="auto"/>
              </w:rPr>
              <w:t>(Australia) Pty. Limited</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Australia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680" w:type="dxa"/>
            <w:vAlign w:val="bottom"/>
          </w:tcPr>
          <w:p>
            <w:pPr>
              <w:spacing w:after="0"/>
              <w:rPr>
                <w:sz w:val="20"/>
                <w:szCs w:val="20"/>
                <w:color w:val="auto"/>
              </w:rPr>
            </w:pPr>
            <w:r>
              <w:rPr>
                <w:rFonts w:ascii="Courier New" w:cs="Courier New" w:eastAsia="Courier New" w:hAnsi="Courier New"/>
                <w:sz w:val="15"/>
                <w:szCs w:val="15"/>
                <w:color w:val="auto"/>
              </w:rPr>
              <w:t>Paramount Pictures</w:t>
            </w:r>
          </w:p>
        </w:tc>
        <w:tc>
          <w:tcPr>
            <w:tcW w:w="2380" w:type="dxa"/>
            <w:vAlign w:val="bottom"/>
          </w:tcPr>
          <w:p>
            <w:pPr>
              <w:spacing w:after="0"/>
              <w:rPr>
                <w:sz w:val="20"/>
                <w:szCs w:val="20"/>
                <w:color w:val="auto"/>
              </w:rPr>
            </w:pPr>
            <w:r>
              <w:rPr>
                <w:rFonts w:ascii="Courier New" w:cs="Courier New" w:eastAsia="Courier New" w:hAnsi="Courier New"/>
                <w:sz w:val="15"/>
                <w:szCs w:val="15"/>
                <w:color w:val="auto"/>
              </w:rPr>
              <w:t>(Canada)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Canada (Ontario)</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680" w:type="dxa"/>
            <w:vAlign w:val="bottom"/>
          </w:tcPr>
          <w:p>
            <w:pPr>
              <w:spacing w:after="0"/>
              <w:rPr>
                <w:sz w:val="20"/>
                <w:szCs w:val="20"/>
                <w:color w:val="auto"/>
              </w:rPr>
            </w:pPr>
            <w:r>
              <w:rPr>
                <w:rFonts w:ascii="Courier New" w:cs="Courier New" w:eastAsia="Courier New" w:hAnsi="Courier New"/>
                <w:sz w:val="15"/>
                <w:szCs w:val="15"/>
                <w:color w:val="auto"/>
              </w:rPr>
              <w:t>Paramount Pictures</w:t>
            </w:r>
          </w:p>
        </w:tc>
        <w:tc>
          <w:tcPr>
            <w:tcW w:w="2380" w:type="dxa"/>
            <w:vAlign w:val="bottom"/>
          </w:tcPr>
          <w:p>
            <w:pPr>
              <w:spacing w:after="0"/>
              <w:rPr>
                <w:sz w:val="20"/>
                <w:szCs w:val="20"/>
                <w:color w:val="auto"/>
              </w:rPr>
            </w:pPr>
            <w:r>
              <w:rPr>
                <w:rFonts w:ascii="Courier New" w:cs="Courier New" w:eastAsia="Courier New" w:hAnsi="Courier New"/>
                <w:sz w:val="15"/>
                <w:szCs w:val="15"/>
                <w:color w:val="auto"/>
              </w:rPr>
              <w:t>(U.K.) Limited</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United Kingdom</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680" w:type="dxa"/>
            <w:vAlign w:val="bottom"/>
          </w:tcPr>
          <w:p>
            <w:pPr>
              <w:spacing w:after="0"/>
              <w:rPr>
                <w:sz w:val="20"/>
                <w:szCs w:val="20"/>
                <w:color w:val="auto"/>
              </w:rPr>
            </w:pPr>
            <w:r>
              <w:rPr>
                <w:rFonts w:ascii="Courier New" w:cs="Courier New" w:eastAsia="Courier New" w:hAnsi="Courier New"/>
                <w:sz w:val="15"/>
                <w:szCs w:val="15"/>
                <w:color w:val="auto"/>
              </w:rPr>
              <w:t>Paramount Pictures</w:t>
            </w:r>
          </w:p>
        </w:tc>
        <w:tc>
          <w:tcPr>
            <w:tcW w:w="2380" w:type="dxa"/>
            <w:vAlign w:val="bottom"/>
          </w:tcPr>
          <w:p>
            <w:pPr>
              <w:spacing w:after="0"/>
              <w:rPr>
                <w:sz w:val="20"/>
                <w:szCs w:val="20"/>
                <w:color w:val="auto"/>
              </w:rPr>
            </w:pPr>
            <w:r>
              <w:rPr>
                <w:rFonts w:ascii="Courier New" w:cs="Courier New" w:eastAsia="Courier New" w:hAnsi="Courier New"/>
                <w:sz w:val="15"/>
                <w:szCs w:val="15"/>
                <w:color w:val="auto"/>
              </w:rPr>
              <w:t>Corporation</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680" w:type="dxa"/>
            <w:vAlign w:val="bottom"/>
          </w:tcPr>
          <w:p>
            <w:pPr>
              <w:spacing w:after="0"/>
              <w:rPr>
                <w:sz w:val="20"/>
                <w:szCs w:val="20"/>
                <w:color w:val="auto"/>
              </w:rPr>
            </w:pPr>
            <w:r>
              <w:rPr>
                <w:rFonts w:ascii="Courier New" w:cs="Courier New" w:eastAsia="Courier New" w:hAnsi="Courier New"/>
                <w:sz w:val="15"/>
                <w:szCs w:val="15"/>
                <w:color w:val="auto"/>
              </w:rPr>
              <w:t>Paramount Pictures</w:t>
            </w:r>
          </w:p>
        </w:tc>
        <w:tc>
          <w:tcPr>
            <w:tcW w:w="2380" w:type="dxa"/>
            <w:vAlign w:val="bottom"/>
          </w:tcPr>
          <w:p>
            <w:pPr>
              <w:spacing w:after="0"/>
              <w:rPr>
                <w:sz w:val="20"/>
                <w:szCs w:val="20"/>
                <w:color w:val="auto"/>
              </w:rPr>
            </w:pPr>
            <w:r>
              <w:rPr>
                <w:rFonts w:ascii="Courier New" w:cs="Courier New" w:eastAsia="Courier New" w:hAnsi="Courier New"/>
                <w:sz w:val="15"/>
                <w:szCs w:val="15"/>
                <w:color w:val="auto"/>
              </w:rPr>
              <w:t>Corporation (Canada)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Canada (Ontario)</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gridSpan w:val="2"/>
          </w:tcPr>
          <w:p>
            <w:pPr>
              <w:spacing w:after="0"/>
              <w:rPr>
                <w:sz w:val="20"/>
                <w:szCs w:val="20"/>
                <w:color w:val="auto"/>
              </w:rPr>
            </w:pPr>
            <w:r>
              <w:rPr>
                <w:rFonts w:ascii="Courier New" w:cs="Courier New" w:eastAsia="Courier New" w:hAnsi="Courier New"/>
                <w:sz w:val="15"/>
                <w:szCs w:val="15"/>
                <w:color w:val="auto"/>
              </w:rPr>
              <w:t>Paramount Production Support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gridSpan w:val="2"/>
          </w:tcPr>
          <w:p>
            <w:pPr>
              <w:spacing w:after="0"/>
              <w:rPr>
                <w:sz w:val="20"/>
                <w:szCs w:val="20"/>
                <w:color w:val="auto"/>
              </w:rPr>
            </w:pPr>
            <w:r>
              <w:rPr>
                <w:rFonts w:ascii="Courier New" w:cs="Courier New" w:eastAsia="Courier New" w:hAnsi="Courier New"/>
                <w:sz w:val="15"/>
                <w:szCs w:val="15"/>
                <w:color w:val="auto"/>
              </w:rPr>
              <w:t>Paramount Productions,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Canada (Ontario)</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gridSpan w:val="2"/>
          </w:tcPr>
          <w:p>
            <w:pPr>
              <w:spacing w:after="0"/>
              <w:rPr>
                <w:sz w:val="20"/>
                <w:szCs w:val="20"/>
                <w:color w:val="auto"/>
              </w:rPr>
            </w:pPr>
            <w:r>
              <w:rPr>
                <w:rFonts w:ascii="Courier New" w:cs="Courier New" w:eastAsia="Courier New" w:hAnsi="Courier New"/>
                <w:sz w:val="15"/>
                <w:szCs w:val="15"/>
                <w:color w:val="auto"/>
              </w:rPr>
              <w:t>Paramount Productions Service Corporation</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gridSpan w:val="2"/>
          </w:tcPr>
          <w:p>
            <w:pPr>
              <w:spacing w:after="0"/>
              <w:rPr>
                <w:sz w:val="20"/>
                <w:szCs w:val="20"/>
                <w:color w:val="auto"/>
              </w:rPr>
            </w:pPr>
            <w:r>
              <w:rPr>
                <w:rFonts w:ascii="Courier New" w:cs="Courier New" w:eastAsia="Courier New" w:hAnsi="Courier New"/>
                <w:sz w:val="15"/>
                <w:szCs w:val="15"/>
                <w:color w:val="auto"/>
              </w:rPr>
              <w:t>Paramount Publishing Deutschland GmbH</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Germany</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gridSpan w:val="2"/>
          </w:tcPr>
          <w:p>
            <w:pPr>
              <w:spacing w:after="0"/>
              <w:rPr>
                <w:sz w:val="20"/>
                <w:szCs w:val="20"/>
                <w:color w:val="auto"/>
              </w:rPr>
            </w:pPr>
            <w:r>
              <w:rPr>
                <w:rFonts w:ascii="Courier New" w:cs="Courier New" w:eastAsia="Courier New" w:hAnsi="Courier New"/>
                <w:sz w:val="15"/>
                <w:szCs w:val="15"/>
                <w:color w:val="auto"/>
              </w:rPr>
              <w:t>Paramount Publishing Europe B.V.</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Netherlands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gridSpan w:val="2"/>
          </w:tcPr>
          <w:p>
            <w:pPr>
              <w:spacing w:after="0"/>
              <w:rPr>
                <w:sz w:val="20"/>
                <w:szCs w:val="20"/>
                <w:color w:val="auto"/>
              </w:rPr>
            </w:pPr>
            <w:r>
              <w:rPr>
                <w:rFonts w:ascii="Courier New" w:cs="Courier New" w:eastAsia="Courier New" w:hAnsi="Courier New"/>
                <w:sz w:val="15"/>
                <w:szCs w:val="15"/>
                <w:color w:val="auto"/>
              </w:rPr>
              <w:t>Paramount Publishing Nederland B.V.</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Netherlands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680" w:type="dxa"/>
            <w:vAlign w:val="bottom"/>
          </w:tcPr>
          <w:p>
            <w:pPr>
              <w:spacing w:after="0"/>
              <w:rPr>
                <w:sz w:val="20"/>
                <w:szCs w:val="20"/>
                <w:color w:val="auto"/>
              </w:rPr>
            </w:pPr>
            <w:r>
              <w:rPr>
                <w:rFonts w:ascii="Courier New" w:cs="Courier New" w:eastAsia="Courier New" w:hAnsi="Courier New"/>
                <w:sz w:val="15"/>
                <w:szCs w:val="15"/>
                <w:color w:val="auto"/>
              </w:rPr>
              <w:t>Paramount Stations</w:t>
            </w:r>
          </w:p>
        </w:tc>
        <w:tc>
          <w:tcPr>
            <w:tcW w:w="2380" w:type="dxa"/>
            <w:vAlign w:val="bottom"/>
          </w:tcPr>
          <w:p>
            <w:pPr>
              <w:spacing w:after="0"/>
              <w:rPr>
                <w:sz w:val="20"/>
                <w:szCs w:val="20"/>
                <w:color w:val="auto"/>
              </w:rPr>
            </w:pPr>
            <w:r>
              <w:rPr>
                <w:rFonts w:ascii="Courier New" w:cs="Courier New" w:eastAsia="Courier New" w:hAnsi="Courier New"/>
                <w:sz w:val="15"/>
                <w:szCs w:val="15"/>
                <w:color w:val="auto"/>
              </w:rPr>
              <w:t>Group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Virginia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680" w:type="dxa"/>
            <w:vAlign w:val="bottom"/>
          </w:tcPr>
          <w:p>
            <w:pPr>
              <w:spacing w:after="0"/>
              <w:rPr>
                <w:sz w:val="20"/>
                <w:szCs w:val="20"/>
                <w:color w:val="auto"/>
              </w:rPr>
            </w:pPr>
            <w:r>
              <w:rPr>
                <w:rFonts w:ascii="Courier New" w:cs="Courier New" w:eastAsia="Courier New" w:hAnsi="Courier New"/>
                <w:sz w:val="15"/>
                <w:szCs w:val="15"/>
                <w:color w:val="auto"/>
              </w:rPr>
              <w:t>Paramount Stations</w:t>
            </w:r>
          </w:p>
        </w:tc>
        <w:tc>
          <w:tcPr>
            <w:tcW w:w="2380" w:type="dxa"/>
            <w:vAlign w:val="bottom"/>
          </w:tcPr>
          <w:p>
            <w:pPr>
              <w:spacing w:after="0"/>
              <w:rPr>
                <w:sz w:val="20"/>
                <w:szCs w:val="20"/>
                <w:color w:val="auto"/>
              </w:rPr>
            </w:pPr>
            <w:r>
              <w:rPr>
                <w:rFonts w:ascii="Courier New" w:cs="Courier New" w:eastAsia="Courier New" w:hAnsi="Courier New"/>
                <w:sz w:val="15"/>
                <w:szCs w:val="15"/>
                <w:color w:val="auto"/>
              </w:rPr>
              <w:t>Group of Fort Worth/Dallas</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Virginia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680" w:type="dxa"/>
            <w:vAlign w:val="bottom"/>
          </w:tcPr>
          <w:p>
            <w:pPr>
              <w:ind w:left="280"/>
              <w:spacing w:after="0"/>
              <w:rPr>
                <w:sz w:val="20"/>
                <w:szCs w:val="20"/>
                <w:color w:val="auto"/>
              </w:rPr>
            </w:pPr>
            <w:r>
              <w:rPr>
                <w:rFonts w:ascii="Courier New" w:cs="Courier New" w:eastAsia="Courier New" w:hAnsi="Courier New"/>
                <w:sz w:val="15"/>
                <w:szCs w:val="15"/>
                <w:color w:val="auto"/>
              </w:rPr>
              <w:t>Inc.</w:t>
            </w:r>
          </w:p>
        </w:tc>
        <w:tc>
          <w:tcPr>
            <w:tcW w:w="23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170"/>
        </w:trPr>
        <w:tc>
          <w:tcPr>
            <w:tcW w:w="1680" w:type="dxa"/>
            <w:vAlign w:val="bottom"/>
          </w:tcPr>
          <w:p>
            <w:pPr>
              <w:spacing w:after="0"/>
              <w:rPr>
                <w:sz w:val="20"/>
                <w:szCs w:val="20"/>
                <w:color w:val="auto"/>
              </w:rPr>
            </w:pPr>
            <w:r>
              <w:rPr>
                <w:rFonts w:ascii="Courier New" w:cs="Courier New" w:eastAsia="Courier New" w:hAnsi="Courier New"/>
                <w:sz w:val="15"/>
                <w:szCs w:val="15"/>
                <w:color w:val="auto"/>
              </w:rPr>
              <w:t>Paramount Stations</w:t>
            </w:r>
          </w:p>
        </w:tc>
        <w:tc>
          <w:tcPr>
            <w:tcW w:w="2380" w:type="dxa"/>
            <w:vAlign w:val="bottom"/>
          </w:tcPr>
          <w:p>
            <w:pPr>
              <w:spacing w:after="0"/>
              <w:rPr>
                <w:sz w:val="20"/>
                <w:szCs w:val="20"/>
                <w:color w:val="auto"/>
              </w:rPr>
            </w:pPr>
            <w:r>
              <w:rPr>
                <w:rFonts w:ascii="Courier New" w:cs="Courier New" w:eastAsia="Courier New" w:hAnsi="Courier New"/>
                <w:sz w:val="15"/>
                <w:szCs w:val="15"/>
                <w:color w:val="auto"/>
              </w:rPr>
              <w:t>Group of Houston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Virginia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680" w:type="dxa"/>
            <w:vAlign w:val="bottom"/>
          </w:tcPr>
          <w:p>
            <w:pPr>
              <w:spacing w:after="0"/>
              <w:rPr>
                <w:sz w:val="20"/>
                <w:szCs w:val="20"/>
                <w:color w:val="auto"/>
              </w:rPr>
            </w:pPr>
            <w:r>
              <w:rPr>
                <w:rFonts w:ascii="Courier New" w:cs="Courier New" w:eastAsia="Courier New" w:hAnsi="Courier New"/>
                <w:sz w:val="15"/>
                <w:szCs w:val="15"/>
                <w:color w:val="auto"/>
              </w:rPr>
              <w:t>Paramount Stations</w:t>
            </w:r>
          </w:p>
        </w:tc>
        <w:tc>
          <w:tcPr>
            <w:tcW w:w="2380" w:type="dxa"/>
            <w:vAlign w:val="bottom"/>
          </w:tcPr>
          <w:p>
            <w:pPr>
              <w:spacing w:after="0"/>
              <w:rPr>
                <w:sz w:val="20"/>
                <w:szCs w:val="20"/>
                <w:color w:val="auto"/>
              </w:rPr>
            </w:pPr>
            <w:r>
              <w:rPr>
                <w:rFonts w:ascii="Courier New" w:cs="Courier New" w:eastAsia="Courier New" w:hAnsi="Courier New"/>
                <w:sz w:val="15"/>
                <w:szCs w:val="15"/>
                <w:color w:val="auto"/>
              </w:rPr>
              <w:t>Group of Philadelphia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Virginia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680" w:type="dxa"/>
            <w:vAlign w:val="bottom"/>
          </w:tcPr>
          <w:p>
            <w:pPr>
              <w:spacing w:after="0"/>
              <w:rPr>
                <w:sz w:val="20"/>
                <w:szCs w:val="20"/>
                <w:color w:val="auto"/>
              </w:rPr>
            </w:pPr>
            <w:r>
              <w:rPr>
                <w:rFonts w:ascii="Courier New" w:cs="Courier New" w:eastAsia="Courier New" w:hAnsi="Courier New"/>
                <w:sz w:val="15"/>
                <w:szCs w:val="15"/>
                <w:color w:val="auto"/>
              </w:rPr>
              <w:t>Paramount Stations</w:t>
            </w:r>
          </w:p>
        </w:tc>
        <w:tc>
          <w:tcPr>
            <w:tcW w:w="2380" w:type="dxa"/>
            <w:vAlign w:val="bottom"/>
          </w:tcPr>
          <w:p>
            <w:pPr>
              <w:spacing w:after="0"/>
              <w:rPr>
                <w:sz w:val="20"/>
                <w:szCs w:val="20"/>
                <w:color w:val="auto"/>
              </w:rPr>
            </w:pPr>
            <w:r>
              <w:rPr>
                <w:rFonts w:ascii="Courier New" w:cs="Courier New" w:eastAsia="Courier New" w:hAnsi="Courier New"/>
                <w:sz w:val="15"/>
                <w:szCs w:val="15"/>
                <w:color w:val="auto"/>
              </w:rPr>
              <w:t>Group of Washington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Virginia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680" w:type="dxa"/>
            <w:vAlign w:val="bottom"/>
          </w:tcPr>
          <w:p>
            <w:pPr>
              <w:spacing w:after="0"/>
              <w:rPr>
                <w:sz w:val="20"/>
                <w:szCs w:val="20"/>
                <w:color w:val="auto"/>
              </w:rPr>
            </w:pPr>
            <w:r>
              <w:rPr>
                <w:rFonts w:ascii="Courier New" w:cs="Courier New" w:eastAsia="Courier New" w:hAnsi="Courier New"/>
                <w:sz w:val="15"/>
                <w:szCs w:val="15"/>
                <w:color w:val="auto"/>
              </w:rPr>
              <w:t>Paramount Studios,</w:t>
            </w:r>
          </w:p>
        </w:tc>
        <w:tc>
          <w:tcPr>
            <w:tcW w:w="238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California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gridSpan w:val="2"/>
          </w:tcPr>
          <w:p>
            <w:pPr>
              <w:spacing w:after="0"/>
              <w:rPr>
                <w:sz w:val="20"/>
                <w:szCs w:val="20"/>
                <w:color w:val="auto"/>
              </w:rPr>
            </w:pPr>
            <w:r>
              <w:rPr>
                <w:rFonts w:ascii="Courier New" w:cs="Courier New" w:eastAsia="Courier New" w:hAnsi="Courier New"/>
                <w:sz w:val="15"/>
                <w:szCs w:val="15"/>
                <w:color w:val="auto"/>
              </w:rPr>
              <w:t>Paramount Television International Services,</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Bermuda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680" w:type="dxa"/>
            <w:vAlign w:val="bottom"/>
          </w:tcPr>
          <w:p>
            <w:pPr>
              <w:ind w:left="280"/>
              <w:spacing w:after="0"/>
              <w:rPr>
                <w:sz w:val="20"/>
                <w:szCs w:val="20"/>
                <w:color w:val="auto"/>
              </w:rPr>
            </w:pPr>
            <w:r>
              <w:rPr>
                <w:rFonts w:ascii="Courier New" w:cs="Courier New" w:eastAsia="Courier New" w:hAnsi="Courier New"/>
                <w:sz w:val="15"/>
                <w:szCs w:val="15"/>
                <w:color w:val="auto"/>
              </w:rPr>
              <w:t>Ltd.</w:t>
            </w:r>
          </w:p>
        </w:tc>
        <w:tc>
          <w:tcPr>
            <w:tcW w:w="23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170"/>
        </w:trPr>
        <w:tc>
          <w:tcPr>
            <w:tcW w:w="4060" w:type="dxa"/>
            <w:vAlign w:val="bottom"/>
            <w:gridSpan w:val="2"/>
          </w:tcPr>
          <w:p>
            <w:pPr>
              <w:spacing w:after="0"/>
              <w:rPr>
                <w:sz w:val="20"/>
                <w:szCs w:val="20"/>
                <w:color w:val="auto"/>
              </w:rPr>
            </w:pPr>
            <w:r>
              <w:rPr>
                <w:rFonts w:ascii="Courier New" w:cs="Courier New" w:eastAsia="Courier New" w:hAnsi="Courier New"/>
                <w:sz w:val="15"/>
                <w:szCs w:val="15"/>
                <w:color w:val="auto"/>
              </w:rPr>
              <w:t>Paramount Television Limited</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United Kingdom</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gridSpan w:val="2"/>
          </w:tcPr>
          <w:p>
            <w:pPr>
              <w:spacing w:after="0"/>
              <w:rPr>
                <w:sz w:val="20"/>
                <w:szCs w:val="20"/>
                <w:color w:val="auto"/>
              </w:rPr>
            </w:pPr>
            <w:r>
              <w:rPr>
                <w:rFonts w:ascii="Courier New" w:cs="Courier New" w:eastAsia="Courier New" w:hAnsi="Courier New"/>
                <w:sz w:val="15"/>
                <w:szCs w:val="15"/>
                <w:color w:val="auto"/>
              </w:rPr>
              <w:t>Paramount Television Service,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gridSpan w:val="2"/>
          </w:tcPr>
          <w:p>
            <w:pPr>
              <w:spacing w:after="0"/>
              <w:rPr>
                <w:sz w:val="20"/>
                <w:szCs w:val="20"/>
                <w:color w:val="auto"/>
              </w:rPr>
            </w:pPr>
            <w:r>
              <w:rPr>
                <w:rFonts w:ascii="Courier New" w:cs="Courier New" w:eastAsia="Courier New" w:hAnsi="Courier New"/>
                <w:sz w:val="15"/>
                <w:szCs w:val="15"/>
                <w:color w:val="auto"/>
              </w:rPr>
              <w:t>Paramount-Immobiliare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gridSpan w:val="2"/>
          </w:tcPr>
          <w:p>
            <w:pPr>
              <w:spacing w:after="0"/>
              <w:rPr>
                <w:sz w:val="20"/>
                <w:szCs w:val="20"/>
                <w:color w:val="auto"/>
              </w:rPr>
            </w:pPr>
            <w:r>
              <w:rPr>
                <w:rFonts w:ascii="Courier New" w:cs="Courier New" w:eastAsia="Courier New" w:hAnsi="Courier New"/>
                <w:sz w:val="15"/>
                <w:szCs w:val="15"/>
                <w:color w:val="auto"/>
              </w:rPr>
              <w:t>Park Court Productions,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gridSpan w:val="2"/>
          </w:tcPr>
          <w:p>
            <w:pPr>
              <w:spacing w:after="0"/>
              <w:rPr>
                <w:sz w:val="20"/>
                <w:szCs w:val="20"/>
                <w:color w:val="auto"/>
              </w:rPr>
            </w:pPr>
            <w:r>
              <w:rPr>
                <w:rFonts w:ascii="Courier New" w:cs="Courier New" w:eastAsia="Courier New" w:hAnsi="Courier New"/>
                <w:sz w:val="15"/>
                <w:szCs w:val="15"/>
                <w:color w:val="auto"/>
              </w:rPr>
              <w:t>Parker Publishing Company,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New York</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gridSpan w:val="2"/>
          </w:tcPr>
          <w:p>
            <w:pPr>
              <w:spacing w:after="0"/>
              <w:rPr>
                <w:sz w:val="20"/>
                <w:szCs w:val="20"/>
                <w:color w:val="auto"/>
              </w:rPr>
            </w:pPr>
            <w:r>
              <w:rPr>
                <w:rFonts w:ascii="Courier New" w:cs="Courier New" w:eastAsia="Courier New" w:hAnsi="Courier New"/>
                <w:sz w:val="15"/>
                <w:szCs w:val="15"/>
                <w:color w:val="auto"/>
              </w:rPr>
              <w:t>Part-Time Productions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680" w:type="dxa"/>
            <w:vAlign w:val="bottom"/>
          </w:tcPr>
          <w:p>
            <w:pPr>
              <w:spacing w:after="0"/>
              <w:rPr>
                <w:sz w:val="20"/>
                <w:szCs w:val="20"/>
                <w:color w:val="auto"/>
              </w:rPr>
            </w:pPr>
            <w:r>
              <w:rPr>
                <w:rFonts w:ascii="Courier New" w:cs="Courier New" w:eastAsia="Courier New" w:hAnsi="Courier New"/>
                <w:sz w:val="15"/>
                <w:szCs w:val="15"/>
                <w:color w:val="auto"/>
                <w:w w:val="97"/>
              </w:rPr>
              <w:t>PCCGW Company, Inc.</w:t>
            </w:r>
          </w:p>
        </w:tc>
        <w:tc>
          <w:tcPr>
            <w:tcW w:w="2380" w:type="dxa"/>
            <w:vAlign w:val="bottom"/>
          </w:tcPr>
          <w:p>
            <w:pPr>
              <w:spacing w:after="0"/>
              <w:rPr>
                <w:sz w:val="14"/>
                <w:szCs w:val="14"/>
                <w:color w:val="auto"/>
              </w:rPr>
            </w:pP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680" w:type="dxa"/>
            <w:vAlign w:val="bottom"/>
          </w:tcPr>
          <w:p>
            <w:pPr>
              <w:spacing w:after="0"/>
              <w:rPr>
                <w:sz w:val="20"/>
                <w:szCs w:val="20"/>
                <w:color w:val="auto"/>
              </w:rPr>
            </w:pPr>
            <w:r>
              <w:rPr>
                <w:rFonts w:ascii="Courier New" w:cs="Courier New" w:eastAsia="Courier New" w:hAnsi="Courier New"/>
                <w:sz w:val="15"/>
                <w:szCs w:val="15"/>
                <w:color w:val="auto"/>
              </w:rPr>
              <w:t>PCI Canada Inc.</w:t>
            </w:r>
          </w:p>
        </w:tc>
        <w:tc>
          <w:tcPr>
            <w:tcW w:w="2380" w:type="dxa"/>
            <w:vAlign w:val="bottom"/>
          </w:tcPr>
          <w:p>
            <w:pPr>
              <w:spacing w:after="0"/>
              <w:rPr>
                <w:sz w:val="14"/>
                <w:szCs w:val="14"/>
                <w:color w:val="auto"/>
              </w:rPr>
            </w:pP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gridSpan w:val="2"/>
          </w:tcPr>
          <w:p>
            <w:pPr>
              <w:spacing w:after="0"/>
              <w:rPr>
                <w:sz w:val="20"/>
                <w:szCs w:val="20"/>
                <w:color w:val="auto"/>
              </w:rPr>
            </w:pPr>
            <w:r>
              <w:rPr>
                <w:rFonts w:ascii="Courier New" w:cs="Courier New" w:eastAsia="Courier New" w:hAnsi="Courier New"/>
                <w:sz w:val="15"/>
                <w:szCs w:val="15"/>
                <w:color w:val="auto"/>
              </w:rPr>
              <w:t>PCI Network Partner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680" w:type="dxa"/>
            <w:vAlign w:val="bottom"/>
          </w:tcPr>
          <w:p>
            <w:pPr>
              <w:spacing w:after="0"/>
              <w:rPr>
                <w:sz w:val="20"/>
                <w:szCs w:val="20"/>
                <w:color w:val="auto"/>
              </w:rPr>
            </w:pPr>
            <w:r>
              <w:rPr>
                <w:rFonts w:ascii="Courier New" w:cs="Courier New" w:eastAsia="Courier New" w:hAnsi="Courier New"/>
                <w:sz w:val="15"/>
                <w:szCs w:val="15"/>
                <w:color w:val="auto"/>
              </w:rPr>
              <w:t>Pet II Productions</w:t>
            </w:r>
          </w:p>
        </w:tc>
        <w:tc>
          <w:tcPr>
            <w:tcW w:w="238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gridSpan w:val="2"/>
          </w:tcPr>
          <w:p>
            <w:pPr>
              <w:spacing w:after="0"/>
              <w:rPr>
                <w:sz w:val="20"/>
                <w:szCs w:val="20"/>
                <w:color w:val="auto"/>
              </w:rPr>
            </w:pPr>
            <w:r>
              <w:rPr>
                <w:rFonts w:ascii="Courier New" w:cs="Courier New" w:eastAsia="Courier New" w:hAnsi="Courier New"/>
                <w:sz w:val="15"/>
                <w:szCs w:val="15"/>
                <w:color w:val="auto"/>
              </w:rPr>
              <w:t>Pier 66 Productions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Florida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gridSpan w:val="2"/>
          </w:tcPr>
          <w:p>
            <w:pPr>
              <w:spacing w:after="0"/>
              <w:rPr>
                <w:sz w:val="20"/>
                <w:szCs w:val="20"/>
                <w:color w:val="auto"/>
              </w:rPr>
            </w:pPr>
            <w:r>
              <w:rPr>
                <w:rFonts w:ascii="Courier New" w:cs="Courier New" w:eastAsia="Courier New" w:hAnsi="Courier New"/>
                <w:sz w:val="15"/>
                <w:szCs w:val="15"/>
                <w:color w:val="auto"/>
              </w:rPr>
              <w:t>PMV Productions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gridSpan w:val="2"/>
          </w:tcPr>
          <w:p>
            <w:pPr>
              <w:spacing w:after="0"/>
              <w:rPr>
                <w:sz w:val="20"/>
                <w:szCs w:val="20"/>
                <w:color w:val="auto"/>
              </w:rPr>
            </w:pPr>
            <w:r>
              <w:rPr>
                <w:rFonts w:ascii="Courier New" w:cs="Courier New" w:eastAsia="Courier New" w:hAnsi="Courier New"/>
                <w:sz w:val="15"/>
                <w:szCs w:val="15"/>
                <w:color w:val="auto"/>
              </w:rPr>
              <w:t>Pocket Books of Canada, Ltd.</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Canada (Federal)</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680" w:type="dxa"/>
            <w:vAlign w:val="bottom"/>
          </w:tcPr>
          <w:p>
            <w:pPr>
              <w:spacing w:after="0"/>
              <w:rPr>
                <w:sz w:val="20"/>
                <w:szCs w:val="20"/>
                <w:color w:val="auto"/>
              </w:rPr>
            </w:pPr>
            <w:r>
              <w:rPr>
                <w:rFonts w:ascii="Courier New" w:cs="Courier New" w:eastAsia="Courier New" w:hAnsi="Courier New"/>
                <w:sz w:val="15"/>
                <w:szCs w:val="15"/>
                <w:color w:val="auto"/>
              </w:rPr>
              <w:t>Premier Advertiser</w:t>
            </w:r>
          </w:p>
        </w:tc>
        <w:tc>
          <w:tcPr>
            <w:tcW w:w="2380" w:type="dxa"/>
            <w:vAlign w:val="bottom"/>
          </w:tcPr>
          <w:p>
            <w:pPr>
              <w:spacing w:after="0"/>
              <w:rPr>
                <w:sz w:val="20"/>
                <w:szCs w:val="20"/>
                <w:color w:val="auto"/>
              </w:rPr>
            </w:pPr>
            <w:r>
              <w:rPr>
                <w:rFonts w:ascii="Courier New" w:cs="Courier New" w:eastAsia="Courier New" w:hAnsi="Courier New"/>
                <w:sz w:val="15"/>
                <w:szCs w:val="15"/>
                <w:color w:val="auto"/>
              </w:rPr>
              <w:t>Sales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gridSpan w:val="2"/>
          </w:tcPr>
          <w:p>
            <w:pPr>
              <w:spacing w:after="0"/>
              <w:rPr>
                <w:sz w:val="20"/>
                <w:szCs w:val="20"/>
                <w:color w:val="auto"/>
              </w:rPr>
            </w:pPr>
            <w:r>
              <w:rPr>
                <w:rFonts w:ascii="Courier New" w:cs="Courier New" w:eastAsia="Courier New" w:hAnsi="Courier New"/>
                <w:sz w:val="15"/>
                <w:szCs w:val="15"/>
                <w:color w:val="auto"/>
              </w:rPr>
              <w:t>Premiere House,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gridSpan w:val="2"/>
          </w:tcPr>
          <w:p>
            <w:pPr>
              <w:spacing w:after="0"/>
              <w:rPr>
                <w:sz w:val="20"/>
                <w:szCs w:val="20"/>
                <w:color w:val="auto"/>
              </w:rPr>
            </w:pPr>
            <w:r>
              <w:rPr>
                <w:rFonts w:ascii="Courier New" w:cs="Courier New" w:eastAsia="Courier New" w:hAnsi="Courier New"/>
                <w:sz w:val="15"/>
                <w:szCs w:val="15"/>
                <w:color w:val="auto"/>
              </w:rPr>
              <w:t>Pren-Hall Corporation, The</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New York</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680" w:type="dxa"/>
            <w:vAlign w:val="bottom"/>
          </w:tcPr>
          <w:p>
            <w:pPr>
              <w:spacing w:after="0"/>
              <w:rPr>
                <w:sz w:val="20"/>
                <w:szCs w:val="20"/>
                <w:color w:val="auto"/>
              </w:rPr>
            </w:pPr>
            <w:r>
              <w:rPr>
                <w:rFonts w:ascii="Courier New" w:cs="Courier New" w:eastAsia="Courier New" w:hAnsi="Courier New"/>
                <w:sz w:val="15"/>
                <w:szCs w:val="15"/>
                <w:color w:val="auto"/>
                <w:w w:val="97"/>
              </w:rPr>
              <w:t>Prentice-Hall, Inc.</w:t>
            </w:r>
          </w:p>
        </w:tc>
        <w:tc>
          <w:tcPr>
            <w:tcW w:w="2380" w:type="dxa"/>
            <w:vAlign w:val="bottom"/>
          </w:tcPr>
          <w:p>
            <w:pPr>
              <w:spacing w:after="0"/>
              <w:rPr>
                <w:sz w:val="14"/>
                <w:szCs w:val="14"/>
                <w:color w:val="auto"/>
              </w:rPr>
            </w:pP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gridSpan w:val="2"/>
          </w:tcPr>
          <w:p>
            <w:pPr>
              <w:spacing w:after="0"/>
              <w:rPr>
                <w:sz w:val="20"/>
                <w:szCs w:val="20"/>
                <w:color w:val="auto"/>
              </w:rPr>
            </w:pPr>
            <w:r>
              <w:rPr>
                <w:rFonts w:ascii="Courier New" w:cs="Courier New" w:eastAsia="Courier New" w:hAnsi="Courier New"/>
                <w:sz w:val="15"/>
                <w:szCs w:val="15"/>
                <w:color w:val="auto"/>
              </w:rPr>
              <w:t>Prentice-Hall (China) Pte. Limited</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Hong Kong</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1">
            <w:col w:w="10059"/>
          </w:cols>
          <w:pgMar w:left="400" w:top="791" w:right="1440" w:bottom="1440" w:gutter="0" w:footer="0" w:header="0"/>
        </w:sectPr>
      </w:pPr>
    </w:p>
    <w:bookmarkStart w:id="362" w:name="page363"/>
    <w:bookmarkEnd w:id="3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PERCENTAGE OF VOTING</w:t>
            </w:r>
          </w:p>
        </w:tc>
      </w:tr>
      <w:tr>
        <w:trPr>
          <w:trHeight w:val="170"/>
        </w:trPr>
        <w:tc>
          <w:tcPr>
            <w:tcW w:w="4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6520" w:type="dxa"/>
            <w:vAlign w:val="bottom"/>
            <w:gridSpan w:val="2"/>
          </w:tcPr>
          <w:p>
            <w:pPr>
              <w:ind w:left="3540"/>
              <w:spacing w:after="0"/>
              <w:rPr>
                <w:sz w:val="20"/>
                <w:szCs w:val="20"/>
                <w:color w:val="auto"/>
              </w:rPr>
            </w:pPr>
            <w:r>
              <w:rPr>
                <w:rFonts w:ascii="Courier New" w:cs="Courier New" w:eastAsia="Courier New" w:hAnsi="Courier New"/>
                <w:sz w:val="15"/>
                <w:szCs w:val="15"/>
                <w:color w:val="auto"/>
              </w:rPr>
              <w:t>STATE OR OTHER JURISDICTION OF</w:t>
            </w:r>
          </w:p>
        </w:tc>
        <w:tc>
          <w:tcPr>
            <w:tcW w:w="282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7"/>
              </w:rPr>
              <w:t>SECURITIES OWNED DIRECTLY OR</w:t>
            </w:r>
          </w:p>
        </w:tc>
      </w:tr>
      <w:tr>
        <w:trPr>
          <w:trHeight w:val="170"/>
        </w:trPr>
        <w:tc>
          <w:tcPr>
            <w:tcW w:w="6520" w:type="dxa"/>
            <w:vAlign w:val="bottom"/>
            <w:gridSpan w:val="2"/>
          </w:tcPr>
          <w:p>
            <w:pPr>
              <w:ind w:left="3540"/>
              <w:spacing w:after="0"/>
              <w:rPr>
                <w:sz w:val="20"/>
                <w:szCs w:val="20"/>
                <w:color w:val="auto"/>
              </w:rPr>
            </w:pPr>
            <w:r>
              <w:rPr>
                <w:rFonts w:ascii="Courier New" w:cs="Courier New" w:eastAsia="Courier New" w:hAnsi="Courier New"/>
                <w:sz w:val="15"/>
                <w:szCs w:val="15"/>
                <w:color w:val="auto"/>
              </w:rPr>
              <w:t>------------------------------</w:t>
            </w:r>
          </w:p>
        </w:tc>
        <w:tc>
          <w:tcPr>
            <w:tcW w:w="282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060" w:type="dxa"/>
            <w:vAlign w:val="bottom"/>
          </w:tcPr>
          <w:p>
            <w:pPr>
              <w:ind w:left="800"/>
              <w:spacing w:after="0"/>
              <w:rPr>
                <w:sz w:val="20"/>
                <w:szCs w:val="20"/>
                <w:color w:val="auto"/>
              </w:rPr>
            </w:pPr>
            <w:r>
              <w:rPr>
                <w:rFonts w:ascii="Courier New" w:cs="Courier New" w:eastAsia="Courier New" w:hAnsi="Courier New"/>
                <w:sz w:val="15"/>
                <w:szCs w:val="15"/>
                <w:color w:val="auto"/>
              </w:rPr>
              <w:t>SUBSIDIARIES</w:t>
            </w:r>
          </w:p>
        </w:tc>
        <w:tc>
          <w:tcPr>
            <w:tcW w:w="2460" w:type="dxa"/>
            <w:vAlign w:val="bottom"/>
          </w:tcPr>
          <w:p>
            <w:pPr>
              <w:ind w:left="260"/>
              <w:spacing w:after="0"/>
              <w:rPr>
                <w:sz w:val="20"/>
                <w:szCs w:val="20"/>
                <w:color w:val="auto"/>
              </w:rPr>
            </w:pPr>
            <w:r>
              <w:rPr>
                <w:rFonts w:ascii="Courier New" w:cs="Courier New" w:eastAsia="Courier New" w:hAnsi="Courier New"/>
                <w:sz w:val="15"/>
                <w:szCs w:val="15"/>
                <w:color w:val="auto"/>
              </w:rPr>
              <w:t>INCORPORATION</w:t>
            </w:r>
          </w:p>
        </w:tc>
        <w:tc>
          <w:tcPr>
            <w:tcW w:w="282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INDIRECTLY</w:t>
            </w:r>
          </w:p>
        </w:tc>
      </w:tr>
      <w:tr>
        <w:trPr>
          <w:trHeight w:val="170"/>
        </w:trPr>
        <w:tc>
          <w:tcPr>
            <w:tcW w:w="4060" w:type="dxa"/>
            <w:vAlign w:val="bottom"/>
          </w:tcPr>
          <w:p>
            <w:pPr>
              <w:ind w:left="800"/>
              <w:spacing w:after="0"/>
              <w:rPr>
                <w:sz w:val="20"/>
                <w:szCs w:val="20"/>
                <w:color w:val="auto"/>
              </w:rPr>
            </w:pPr>
            <w:r>
              <w:rPr>
                <w:rFonts w:ascii="Courier New" w:cs="Courier New" w:eastAsia="Courier New" w:hAnsi="Courier New"/>
                <w:sz w:val="15"/>
                <w:szCs w:val="15"/>
                <w:color w:val="auto"/>
              </w:rPr>
              <w:t>------------</w:t>
            </w:r>
          </w:p>
        </w:tc>
        <w:tc>
          <w:tcPr>
            <w:tcW w:w="24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82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w:t>
            </w:r>
          </w:p>
        </w:tc>
      </w:tr>
      <w:tr>
        <w:trPr>
          <w:trHeight w:val="678"/>
        </w:trPr>
        <w:tc>
          <w:tcPr>
            <w:tcW w:w="4060" w:type="dxa"/>
            <w:vAlign w:val="bottom"/>
          </w:tcPr>
          <w:p>
            <w:pPr>
              <w:spacing w:after="0"/>
              <w:rPr>
                <w:sz w:val="20"/>
                <w:szCs w:val="20"/>
                <w:color w:val="auto"/>
              </w:rPr>
            </w:pPr>
            <w:r>
              <w:rPr>
                <w:rFonts w:ascii="Courier New" w:cs="Courier New" w:eastAsia="Courier New" w:hAnsi="Courier New"/>
                <w:sz w:val="15"/>
                <w:szCs w:val="15"/>
                <w:color w:val="auto"/>
              </w:rPr>
              <w:t>Prentice-Hall (M) Sdn Bhd</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Malaysia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Prentice-Hall (South Africa) (Proprietary)</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South Africa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ind w:left="280"/>
              <w:spacing w:after="0"/>
              <w:rPr>
                <w:sz w:val="20"/>
                <w:szCs w:val="20"/>
                <w:color w:val="auto"/>
              </w:rPr>
            </w:pPr>
            <w:r>
              <w:rPr>
                <w:rFonts w:ascii="Courier New" w:cs="Courier New" w:eastAsia="Courier New" w:hAnsi="Courier New"/>
                <w:sz w:val="15"/>
                <w:szCs w:val="15"/>
                <w:color w:val="auto"/>
              </w:rPr>
              <w:t>Limited</w:t>
            </w:r>
          </w:p>
        </w:tc>
        <w:tc>
          <w:tcPr>
            <w:tcW w:w="246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Prentice-Hall Canada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Canada (Ontario)</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Prentice-Hall Developmental Learning</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New Jersey</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ind w:left="280"/>
              <w:spacing w:after="0"/>
              <w:rPr>
                <w:sz w:val="20"/>
                <w:szCs w:val="20"/>
                <w:color w:val="auto"/>
              </w:rPr>
            </w:pPr>
            <w:r>
              <w:rPr>
                <w:rFonts w:ascii="Courier New" w:cs="Courier New" w:eastAsia="Courier New" w:hAnsi="Courier New"/>
                <w:sz w:val="15"/>
                <w:szCs w:val="15"/>
                <w:color w:val="auto"/>
              </w:rPr>
              <w:t>Centers, Inc.</w:t>
            </w:r>
          </w:p>
        </w:tc>
        <w:tc>
          <w:tcPr>
            <w:tcW w:w="246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Prentice-Hall Hispanoamericana, S.A.</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Mexico</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Prentice-Hall International,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New York</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Prentice-Hall International (U.K.) Ltd.</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United Kingdom</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Prentice-Hall Learning Systems,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Prentice-Hall of Australia Pty. Limited</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Australia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Prentice-Hall of Japan,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Japan</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Prentice-Hall Professional Software,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Preye,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California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Prospect Company Ltd.</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Cayman Islands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Proxy Music Corporation</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California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Publishing FSC Ltd.</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US Virgin Islands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QM Music Company</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California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Quebec Oil Refinery, Ltd.</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Canada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Quemahoning Coal Processing Company</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Pennsylvania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QWERTY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R.H. Productions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California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Reality Check Productions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Regents Publishing Co.,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New York</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Remote Productions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Republic Direct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California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Republic Distribution Corporation</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Republic Entertainment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Republic Pictures Corporation, B.V.</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Netherlands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w w:val="99"/>
              </w:rPr>
              <w:t>Republic Pictures Corporation of Canada, Ltd.</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Canada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Republic Pictures Enterprises,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Republic Pictures Entertainment,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Republic Pictures N.V.</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Netherlands Antilles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Republic Pictures Productions,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California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Reston Information Systems,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Pennsylvania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Reston Publishing Co.,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Ritz Video Film Hire Limited</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United Kingdom</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Riverside Broadcasting Co.,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Robert J. Brady Co.</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Maryland</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Rope of Sand Productions,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California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RTV News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San Francisco Broadcasters,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California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Satellite Holdings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Saucon Valley Iron and Railroad Company, The</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Pennsylvania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Scarab Publishing Corporation</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Scott Mattson Farms,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Florida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SEGI Holding Co.</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SFI Music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SFI Song Company</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Show Industries,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California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Showtime Networks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1">
            <w:col w:w="10059"/>
          </w:cols>
          <w:pgMar w:left="400" w:top="791" w:right="1440" w:bottom="1440" w:gutter="0" w:footer="0" w:header="0"/>
        </w:sectPr>
      </w:pPr>
    </w:p>
    <w:bookmarkStart w:id="363" w:name="page364"/>
    <w:bookmarkEnd w:id="3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PERCENTAGE OF VOTING</w:t>
            </w:r>
          </w:p>
        </w:tc>
      </w:tr>
      <w:tr>
        <w:trPr>
          <w:trHeight w:val="170"/>
        </w:trPr>
        <w:tc>
          <w:tcPr>
            <w:tcW w:w="38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6520" w:type="dxa"/>
            <w:vAlign w:val="bottom"/>
            <w:gridSpan w:val="2"/>
          </w:tcPr>
          <w:p>
            <w:pPr>
              <w:ind w:left="3540"/>
              <w:spacing w:after="0"/>
              <w:rPr>
                <w:sz w:val="20"/>
                <w:szCs w:val="20"/>
                <w:color w:val="auto"/>
              </w:rPr>
            </w:pPr>
            <w:r>
              <w:rPr>
                <w:rFonts w:ascii="Courier New" w:cs="Courier New" w:eastAsia="Courier New" w:hAnsi="Courier New"/>
                <w:sz w:val="15"/>
                <w:szCs w:val="15"/>
                <w:color w:val="auto"/>
              </w:rPr>
              <w:t>STATE OR OTHER JURISDICTION OF</w:t>
            </w:r>
          </w:p>
        </w:tc>
        <w:tc>
          <w:tcPr>
            <w:tcW w:w="282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7"/>
              </w:rPr>
              <w:t>SECURITIES OWNED DIRECTLY OR</w:t>
            </w:r>
          </w:p>
        </w:tc>
      </w:tr>
      <w:tr>
        <w:trPr>
          <w:trHeight w:val="170"/>
        </w:trPr>
        <w:tc>
          <w:tcPr>
            <w:tcW w:w="6520" w:type="dxa"/>
            <w:vAlign w:val="bottom"/>
            <w:gridSpan w:val="2"/>
          </w:tcPr>
          <w:p>
            <w:pPr>
              <w:ind w:left="3540"/>
              <w:spacing w:after="0"/>
              <w:rPr>
                <w:sz w:val="20"/>
                <w:szCs w:val="20"/>
                <w:color w:val="auto"/>
              </w:rPr>
            </w:pPr>
            <w:r>
              <w:rPr>
                <w:rFonts w:ascii="Courier New" w:cs="Courier New" w:eastAsia="Courier New" w:hAnsi="Courier New"/>
                <w:sz w:val="15"/>
                <w:szCs w:val="15"/>
                <w:color w:val="auto"/>
              </w:rPr>
              <w:t>------------------------------</w:t>
            </w:r>
          </w:p>
        </w:tc>
        <w:tc>
          <w:tcPr>
            <w:tcW w:w="282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880" w:type="dxa"/>
            <w:vAlign w:val="bottom"/>
          </w:tcPr>
          <w:p>
            <w:pPr>
              <w:ind w:left="800"/>
              <w:spacing w:after="0"/>
              <w:rPr>
                <w:sz w:val="20"/>
                <w:szCs w:val="20"/>
                <w:color w:val="auto"/>
              </w:rPr>
            </w:pPr>
            <w:r>
              <w:rPr>
                <w:rFonts w:ascii="Courier New" w:cs="Courier New" w:eastAsia="Courier New" w:hAnsi="Courier New"/>
                <w:sz w:val="15"/>
                <w:szCs w:val="15"/>
                <w:color w:val="auto"/>
              </w:rPr>
              <w:t>SUBSIDIARIES</w:t>
            </w:r>
          </w:p>
        </w:tc>
        <w:tc>
          <w:tcPr>
            <w:tcW w:w="2640" w:type="dxa"/>
            <w:vAlign w:val="bottom"/>
          </w:tcPr>
          <w:p>
            <w:pPr>
              <w:ind w:left="440"/>
              <w:spacing w:after="0"/>
              <w:rPr>
                <w:sz w:val="20"/>
                <w:szCs w:val="20"/>
                <w:color w:val="auto"/>
              </w:rPr>
            </w:pPr>
            <w:r>
              <w:rPr>
                <w:rFonts w:ascii="Courier New" w:cs="Courier New" w:eastAsia="Courier New" w:hAnsi="Courier New"/>
                <w:sz w:val="15"/>
                <w:szCs w:val="15"/>
                <w:color w:val="auto"/>
              </w:rPr>
              <w:t>INCORPORATION</w:t>
            </w:r>
          </w:p>
        </w:tc>
        <w:tc>
          <w:tcPr>
            <w:tcW w:w="282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INDIRECTLY</w:t>
            </w:r>
          </w:p>
        </w:tc>
      </w:tr>
      <w:tr>
        <w:trPr>
          <w:trHeight w:val="170"/>
        </w:trPr>
        <w:tc>
          <w:tcPr>
            <w:tcW w:w="3880" w:type="dxa"/>
            <w:vAlign w:val="bottom"/>
          </w:tcPr>
          <w:p>
            <w:pPr>
              <w:ind w:left="800"/>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282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w:t>
            </w:r>
          </w:p>
        </w:tc>
      </w:tr>
      <w:tr>
        <w:trPr>
          <w:trHeight w:val="678"/>
        </w:trPr>
        <w:tc>
          <w:tcPr>
            <w:tcW w:w="3880" w:type="dxa"/>
            <w:vAlign w:val="bottom"/>
          </w:tcPr>
          <w:p>
            <w:pPr>
              <w:spacing w:after="0"/>
              <w:rPr>
                <w:sz w:val="20"/>
                <w:szCs w:val="20"/>
                <w:color w:val="auto"/>
              </w:rPr>
            </w:pPr>
            <w:r>
              <w:rPr>
                <w:rFonts w:ascii="Courier New" w:cs="Courier New" w:eastAsia="Courier New" w:hAnsi="Courier New"/>
                <w:sz w:val="15"/>
                <w:szCs w:val="15"/>
                <w:color w:val="auto"/>
              </w:rPr>
              <w:t>Showtime Networks Inc. (U.K.)</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Showtime Networks Middle East Inc.</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Showtime Networks Satellite Programming</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California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tcPr>
          <w:p>
            <w:pPr>
              <w:ind w:left="280"/>
              <w:spacing w:after="0"/>
              <w:rPr>
                <w:sz w:val="20"/>
                <w:szCs w:val="20"/>
                <w:color w:val="auto"/>
              </w:rPr>
            </w:pPr>
            <w:r>
              <w:rPr>
                <w:rFonts w:ascii="Courier New" w:cs="Courier New" w:eastAsia="Courier New" w:hAnsi="Courier New"/>
                <w:sz w:val="15"/>
                <w:szCs w:val="15"/>
                <w:color w:val="auto"/>
              </w:rPr>
              <w:t>Company</w:t>
            </w:r>
          </w:p>
        </w:tc>
        <w:tc>
          <w:tcPr>
            <w:tcW w:w="264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Showtime Satellite Networks Inc.</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Showtime/Sundance Holding Company Inc.</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SIFO One Inc.</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SIFO Two Inc.</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Silver Burdett Ginn Inc.</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Simon &amp; Schuster, Inc.</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New York</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Simon &amp; Schuster (Asia) Pte. Ltd.</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Singapore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Simon &amp; Schuster (Australia) Pty. Limited</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Australia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Simon &amp; Schuster Limited</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United Kingdom</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Simon &amp; Schuster Macmillan France SARL</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France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Simon &amp; Schuster of Canada (1976) Ltd.</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Canada (Federal)</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SNI Development Corp.</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Solar Service Company</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Son of the Morningstar Productions, Inc.</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California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Southeastern Home Video, Inc.</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Special Effects Merchandise, Inc.</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Spelling Entertainment Group Inc.</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75</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Spelling Entertainment Inc.</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Spelling Films Inc.</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Spelling Pictures Inc.</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Spelling Satellite Networks, Inc.</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California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Spelling Television (Canada) Inc.</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Canada (B. C.)</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Spelling Television Inc.</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Spelling/Ball Joint Venture, The</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California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St. Francis Ltd.</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Cayman Islands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St. Ives Company Ltd.</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Cayman Islands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State of Mind Inc.</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Sunn Classic Pictures, Inc.</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Utah</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T &amp; R Payroll Company</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Talent Court Productions, Inc.</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Taylor Forge Memphis, Inc.</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Tele-Vu Ltee.</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Canada (Federal)</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Tele-Vue Systems, Inc.</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Washington</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Television Signal Corporation</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California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Theatre 59 Ltd.</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They Productions Inc.</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Thinner Productions, Inc.</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Third Century Company</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Thirteenth Century Corporation</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Thirtieth Century Corporation</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Ticket Songs Inc.</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Timber Purchase Company</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Florida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Titus Productions, Inc.</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California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Toe-To-Toe Productions Inc.</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Torand Payroll Company</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Torand Productions Inc.</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Total Warehouse Services Corporation</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1">
            <w:col w:w="10059"/>
          </w:cols>
          <w:pgMar w:left="400" w:top="792" w:right="1440" w:bottom="1440" w:gutter="0" w:footer="0" w:header="0"/>
        </w:sectPr>
      </w:pPr>
    </w:p>
    <w:bookmarkStart w:id="364" w:name="page365"/>
    <w:bookmarkEnd w:id="3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PERCENTAGE OF VOTING</w:t>
            </w:r>
          </w:p>
        </w:tc>
      </w:tr>
      <w:tr>
        <w:trPr>
          <w:trHeight w:val="170"/>
        </w:trPr>
        <w:tc>
          <w:tcPr>
            <w:tcW w:w="39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6520" w:type="dxa"/>
            <w:vAlign w:val="bottom"/>
            <w:gridSpan w:val="2"/>
          </w:tcPr>
          <w:p>
            <w:pPr>
              <w:ind w:left="3540"/>
              <w:spacing w:after="0"/>
              <w:rPr>
                <w:sz w:val="20"/>
                <w:szCs w:val="20"/>
                <w:color w:val="auto"/>
              </w:rPr>
            </w:pPr>
            <w:r>
              <w:rPr>
                <w:rFonts w:ascii="Courier New" w:cs="Courier New" w:eastAsia="Courier New" w:hAnsi="Courier New"/>
                <w:sz w:val="15"/>
                <w:szCs w:val="15"/>
                <w:color w:val="auto"/>
              </w:rPr>
              <w:t>STATE OR OTHER JURISDICTION OF</w:t>
            </w:r>
          </w:p>
        </w:tc>
        <w:tc>
          <w:tcPr>
            <w:tcW w:w="282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7"/>
              </w:rPr>
              <w:t>SECURITIES OWNED DIRECTLY OR</w:t>
            </w:r>
          </w:p>
        </w:tc>
      </w:tr>
      <w:tr>
        <w:trPr>
          <w:trHeight w:val="170"/>
        </w:trPr>
        <w:tc>
          <w:tcPr>
            <w:tcW w:w="6520" w:type="dxa"/>
            <w:vAlign w:val="bottom"/>
            <w:gridSpan w:val="2"/>
          </w:tcPr>
          <w:p>
            <w:pPr>
              <w:ind w:left="3540"/>
              <w:spacing w:after="0"/>
              <w:rPr>
                <w:sz w:val="20"/>
                <w:szCs w:val="20"/>
                <w:color w:val="auto"/>
              </w:rPr>
            </w:pPr>
            <w:r>
              <w:rPr>
                <w:rFonts w:ascii="Courier New" w:cs="Courier New" w:eastAsia="Courier New" w:hAnsi="Courier New"/>
                <w:sz w:val="15"/>
                <w:szCs w:val="15"/>
                <w:color w:val="auto"/>
              </w:rPr>
              <w:t>------------------------------</w:t>
            </w:r>
          </w:p>
        </w:tc>
        <w:tc>
          <w:tcPr>
            <w:tcW w:w="282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920" w:type="dxa"/>
            <w:vAlign w:val="bottom"/>
          </w:tcPr>
          <w:p>
            <w:pPr>
              <w:ind w:left="800"/>
              <w:spacing w:after="0"/>
              <w:rPr>
                <w:sz w:val="20"/>
                <w:szCs w:val="20"/>
                <w:color w:val="auto"/>
              </w:rPr>
            </w:pPr>
            <w:r>
              <w:rPr>
                <w:rFonts w:ascii="Courier New" w:cs="Courier New" w:eastAsia="Courier New" w:hAnsi="Courier New"/>
                <w:sz w:val="15"/>
                <w:szCs w:val="15"/>
                <w:color w:val="auto"/>
              </w:rPr>
              <w:t>SUBSIDIARIES</w:t>
            </w:r>
          </w:p>
        </w:tc>
        <w:tc>
          <w:tcPr>
            <w:tcW w:w="2600" w:type="dxa"/>
            <w:vAlign w:val="bottom"/>
          </w:tcPr>
          <w:p>
            <w:pPr>
              <w:ind w:left="400"/>
              <w:spacing w:after="0"/>
              <w:rPr>
                <w:sz w:val="20"/>
                <w:szCs w:val="20"/>
                <w:color w:val="auto"/>
              </w:rPr>
            </w:pPr>
            <w:r>
              <w:rPr>
                <w:rFonts w:ascii="Courier New" w:cs="Courier New" w:eastAsia="Courier New" w:hAnsi="Courier New"/>
                <w:sz w:val="15"/>
                <w:szCs w:val="15"/>
                <w:color w:val="auto"/>
              </w:rPr>
              <w:t>INCORPORATION</w:t>
            </w:r>
          </w:p>
        </w:tc>
        <w:tc>
          <w:tcPr>
            <w:tcW w:w="282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INDIRECTLY</w:t>
            </w:r>
          </w:p>
        </w:tc>
      </w:tr>
      <w:tr>
        <w:trPr>
          <w:trHeight w:val="170"/>
        </w:trPr>
        <w:tc>
          <w:tcPr>
            <w:tcW w:w="3920" w:type="dxa"/>
            <w:vAlign w:val="bottom"/>
          </w:tcPr>
          <w:p>
            <w:pPr>
              <w:ind w:left="800"/>
              <w:spacing w:after="0"/>
              <w:rPr>
                <w:sz w:val="20"/>
                <w:szCs w:val="20"/>
                <w:color w:val="auto"/>
              </w:rPr>
            </w:pPr>
            <w:r>
              <w:rPr>
                <w:rFonts w:ascii="Courier New" w:cs="Courier New" w:eastAsia="Courier New" w:hAnsi="Courier New"/>
                <w:sz w:val="15"/>
                <w:szCs w:val="15"/>
                <w:color w:val="auto"/>
              </w:rPr>
              <w:t>------------</w:t>
            </w:r>
          </w:p>
        </w:tc>
        <w:tc>
          <w:tcPr>
            <w:tcW w:w="26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282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w:t>
            </w:r>
          </w:p>
        </w:tc>
      </w:tr>
      <w:tr>
        <w:trPr>
          <w:trHeight w:val="678"/>
        </w:trPr>
        <w:tc>
          <w:tcPr>
            <w:tcW w:w="3920" w:type="dxa"/>
            <w:vAlign w:val="bottom"/>
          </w:tcPr>
          <w:p>
            <w:pPr>
              <w:spacing w:after="0"/>
              <w:rPr>
                <w:sz w:val="20"/>
                <w:szCs w:val="20"/>
                <w:color w:val="auto"/>
              </w:rPr>
            </w:pPr>
            <w:r>
              <w:rPr>
                <w:rFonts w:ascii="Courier New" w:cs="Courier New" w:eastAsia="Courier New" w:hAnsi="Courier New"/>
                <w:sz w:val="15"/>
                <w:szCs w:val="15"/>
                <w:color w:val="auto"/>
              </w:rPr>
              <w:t>Trans-American Resources,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Tredegars Home Entertainment Limited</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United Kingdom</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TRF III Entertainment,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Triohurst Limited.</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United Kingdom</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TS Video,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Louisiana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TSM Services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Tunes By Nickelodeon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TV Scoop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UI Video Stores,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Colorado</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UIV Acquisition Corporation</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United Community Antenna System,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Washington</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Universal American Corporation</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Uptown Productions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Uro, S.A.</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Spain</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Valdez Oil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VE Development Company</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VE Drive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VE Television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VH-1 Management GmbH</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Germany</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VH-1 OHG</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Germany</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VHONE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Viacom A.G.</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Switzerland</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Viacom Asia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Viacom Bay Area Sports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Viacom Bay Interconnect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California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Viacom Broadcasting East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Viacom Broadcasting of Missouri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Viacom Broadcasting West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Viacom Cablevision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California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Viacom Cablevision of Dayton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Viacom Cablevision of Northern California</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California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ind w:left="280"/>
              <w:spacing w:after="0"/>
              <w:rPr>
                <w:sz w:val="20"/>
                <w:szCs w:val="20"/>
                <w:color w:val="auto"/>
              </w:rPr>
            </w:pPr>
            <w:r>
              <w:rPr>
                <w:rFonts w:ascii="Courier New" w:cs="Courier New" w:eastAsia="Courier New" w:hAnsi="Courier New"/>
                <w:sz w:val="15"/>
                <w:szCs w:val="15"/>
                <w:color w:val="auto"/>
              </w:rPr>
              <w:t>Inc.</w:t>
            </w:r>
          </w:p>
        </w:tc>
        <w:tc>
          <w:tcPr>
            <w:tcW w:w="260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Viacom Camden Lock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Viacom Canada Limited</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Canada (Federal)</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Viacom Capital Ownership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Viacom Communications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California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Viacom Enterprises Canada Ltd.</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Canada (Federal)</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Viacom First Run Development Company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Viacom First Run Limited</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Viacom Group Finance Limited</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United Kingdom</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Viacom HA! Holding Company</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Viacom IDA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Viacom International (Netherlands) B.V.</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Netherlands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Viacom International Canada Ltd.</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Canada (Ontario)</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Viacom International Holdings B.V.</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Netherlands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Viacom International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Viacom International Inc. Political Action</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New York</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ind w:left="280"/>
              <w:spacing w:after="0"/>
              <w:rPr>
                <w:sz w:val="20"/>
                <w:szCs w:val="20"/>
                <w:color w:val="auto"/>
              </w:rPr>
            </w:pPr>
            <w:r>
              <w:rPr>
                <w:rFonts w:ascii="Courier New" w:cs="Courier New" w:eastAsia="Courier New" w:hAnsi="Courier New"/>
                <w:sz w:val="15"/>
                <w:szCs w:val="15"/>
                <w:color w:val="auto"/>
              </w:rPr>
              <w:t>Committee Corporation</w:t>
            </w:r>
          </w:p>
        </w:tc>
        <w:tc>
          <w:tcPr>
            <w:tcW w:w="260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Viacom International Limited</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United Kingdom</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Viacom International Pty. Limited</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Australia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Viacom International Services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Viacom Japan Inc.</w:t>
            </w:r>
          </w:p>
        </w:tc>
        <w:tc>
          <w:tcPr>
            <w:tcW w:w="2600" w:type="dxa"/>
            <w:vAlign w:val="bottom"/>
          </w:tcPr>
          <w:p>
            <w:pPr>
              <w:ind w:left="220"/>
              <w:spacing w:after="0"/>
              <w:rPr>
                <w:sz w:val="20"/>
                <w:szCs w:val="20"/>
                <w:color w:val="auto"/>
              </w:rPr>
            </w:pPr>
            <w:r>
              <w:rPr>
                <w:rFonts w:ascii="Courier New" w:cs="Courier New" w:eastAsia="Courier New" w:hAnsi="Courier New"/>
                <w:sz w:val="15"/>
                <w:szCs w:val="15"/>
                <w:color w:val="auto"/>
              </w:rPr>
              <w:t>New York</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85</w:t>
            </w:r>
          </w:p>
        </w:tc>
      </w:tr>
    </w:tbl>
    <w:p>
      <w:pPr>
        <w:sectPr>
          <w:pgSz w:w="11900" w:h="16838" w:orient="portrait"/>
          <w:cols w:equalWidth="0" w:num="1">
            <w:col w:w="10059"/>
          </w:cols>
          <w:pgMar w:left="400" w:top="792" w:right="1440" w:bottom="1440" w:gutter="0" w:footer="0" w:header="0"/>
        </w:sectPr>
      </w:pPr>
    </w:p>
    <w:bookmarkStart w:id="365" w:name="page366"/>
    <w:bookmarkEnd w:id="3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PERCENTAGE OF VOTING</w:t>
            </w:r>
          </w:p>
        </w:tc>
      </w:tr>
      <w:tr>
        <w:trPr>
          <w:trHeight w:val="170"/>
        </w:trPr>
        <w:tc>
          <w:tcPr>
            <w:tcW w:w="4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6520" w:type="dxa"/>
            <w:vAlign w:val="bottom"/>
            <w:gridSpan w:val="2"/>
          </w:tcPr>
          <w:p>
            <w:pPr>
              <w:ind w:left="3540"/>
              <w:spacing w:after="0"/>
              <w:rPr>
                <w:sz w:val="20"/>
                <w:szCs w:val="20"/>
                <w:color w:val="auto"/>
              </w:rPr>
            </w:pPr>
            <w:r>
              <w:rPr>
                <w:rFonts w:ascii="Courier New" w:cs="Courier New" w:eastAsia="Courier New" w:hAnsi="Courier New"/>
                <w:sz w:val="15"/>
                <w:szCs w:val="15"/>
                <w:color w:val="auto"/>
              </w:rPr>
              <w:t>STATE OR OTHER JURISDICTION OF</w:t>
            </w:r>
          </w:p>
        </w:tc>
        <w:tc>
          <w:tcPr>
            <w:tcW w:w="282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7"/>
              </w:rPr>
              <w:t>SECURITIES OWNED DIRECTLY OR</w:t>
            </w:r>
          </w:p>
        </w:tc>
      </w:tr>
      <w:tr>
        <w:trPr>
          <w:trHeight w:val="170"/>
        </w:trPr>
        <w:tc>
          <w:tcPr>
            <w:tcW w:w="6520" w:type="dxa"/>
            <w:vAlign w:val="bottom"/>
            <w:gridSpan w:val="2"/>
          </w:tcPr>
          <w:p>
            <w:pPr>
              <w:ind w:left="3540"/>
              <w:spacing w:after="0"/>
              <w:rPr>
                <w:sz w:val="20"/>
                <w:szCs w:val="20"/>
                <w:color w:val="auto"/>
              </w:rPr>
            </w:pPr>
            <w:r>
              <w:rPr>
                <w:rFonts w:ascii="Courier New" w:cs="Courier New" w:eastAsia="Courier New" w:hAnsi="Courier New"/>
                <w:sz w:val="15"/>
                <w:szCs w:val="15"/>
                <w:color w:val="auto"/>
              </w:rPr>
              <w:t>------------------------------</w:t>
            </w:r>
          </w:p>
        </w:tc>
        <w:tc>
          <w:tcPr>
            <w:tcW w:w="282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060" w:type="dxa"/>
            <w:vAlign w:val="bottom"/>
          </w:tcPr>
          <w:p>
            <w:pPr>
              <w:ind w:left="800"/>
              <w:spacing w:after="0"/>
              <w:rPr>
                <w:sz w:val="20"/>
                <w:szCs w:val="20"/>
                <w:color w:val="auto"/>
              </w:rPr>
            </w:pPr>
            <w:r>
              <w:rPr>
                <w:rFonts w:ascii="Courier New" w:cs="Courier New" w:eastAsia="Courier New" w:hAnsi="Courier New"/>
                <w:sz w:val="15"/>
                <w:szCs w:val="15"/>
                <w:color w:val="auto"/>
              </w:rPr>
              <w:t>SUBSIDIARIES</w:t>
            </w:r>
          </w:p>
        </w:tc>
        <w:tc>
          <w:tcPr>
            <w:tcW w:w="2460" w:type="dxa"/>
            <w:vAlign w:val="bottom"/>
          </w:tcPr>
          <w:p>
            <w:pPr>
              <w:ind w:left="260"/>
              <w:spacing w:after="0"/>
              <w:rPr>
                <w:sz w:val="20"/>
                <w:szCs w:val="20"/>
                <w:color w:val="auto"/>
              </w:rPr>
            </w:pPr>
            <w:r>
              <w:rPr>
                <w:rFonts w:ascii="Courier New" w:cs="Courier New" w:eastAsia="Courier New" w:hAnsi="Courier New"/>
                <w:sz w:val="15"/>
                <w:szCs w:val="15"/>
                <w:color w:val="auto"/>
              </w:rPr>
              <w:t>INCORPORATION</w:t>
            </w:r>
          </w:p>
        </w:tc>
        <w:tc>
          <w:tcPr>
            <w:tcW w:w="282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INDIRECTLY</w:t>
            </w:r>
          </w:p>
        </w:tc>
      </w:tr>
      <w:tr>
        <w:trPr>
          <w:trHeight w:val="170"/>
        </w:trPr>
        <w:tc>
          <w:tcPr>
            <w:tcW w:w="4060" w:type="dxa"/>
            <w:vAlign w:val="bottom"/>
          </w:tcPr>
          <w:p>
            <w:pPr>
              <w:ind w:left="800"/>
              <w:spacing w:after="0"/>
              <w:rPr>
                <w:sz w:val="20"/>
                <w:szCs w:val="20"/>
                <w:color w:val="auto"/>
              </w:rPr>
            </w:pPr>
            <w:r>
              <w:rPr>
                <w:rFonts w:ascii="Courier New" w:cs="Courier New" w:eastAsia="Courier New" w:hAnsi="Courier New"/>
                <w:sz w:val="15"/>
                <w:szCs w:val="15"/>
                <w:color w:val="auto"/>
              </w:rPr>
              <w:t>------------</w:t>
            </w:r>
          </w:p>
        </w:tc>
        <w:tc>
          <w:tcPr>
            <w:tcW w:w="24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82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w:t>
            </w:r>
          </w:p>
        </w:tc>
      </w:tr>
      <w:tr>
        <w:trPr>
          <w:trHeight w:val="678"/>
        </w:trPr>
        <w:tc>
          <w:tcPr>
            <w:tcW w:w="4060" w:type="dxa"/>
            <w:vAlign w:val="bottom"/>
          </w:tcPr>
          <w:p>
            <w:pPr>
              <w:spacing w:after="0"/>
              <w:rPr>
                <w:sz w:val="20"/>
                <w:szCs w:val="20"/>
                <w:color w:val="auto"/>
              </w:rPr>
            </w:pPr>
            <w:r>
              <w:rPr>
                <w:rFonts w:ascii="Courier New" w:cs="Courier New" w:eastAsia="Courier New" w:hAnsi="Courier New"/>
                <w:sz w:val="15"/>
                <w:szCs w:val="15"/>
                <w:color w:val="auto"/>
              </w:rPr>
              <w:t>Viacom K-Band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Viacom MGS Services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Viacom Middle East VOF</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Netherlands Antilles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Viacom Networks Europe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Viacom Networks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New York</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Viacom Pacific Limited</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Vila, Vanuatu</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Viacom Phoenix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Viacom Pictures Development Company</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Viacom Pictures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Viacom Pictures Movie Music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Viacom Pictures Overseas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Viacom Pictures Songs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Viacom Productions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Viacom Properties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Viacom Realty Corporation</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Viacom Satellite News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Viacom Shopping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Viacom Telecom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Viacom Telecommunications (D.C.)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Viacom VHENO GmbH</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Germany</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Viacom VHENO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Viacom Video-Audio Communicacoes Limitada</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Brazil</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Viacom WBFS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Viacom WGBS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Viacom World Wide Ltd.</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New York</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Viacom WSBK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Video Club (G.B.) Limited</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United Kingdom</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Video Store (Jersey) Limited</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Channel Islands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VIE Holding Company</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Virgin Interactive Entertainment (Espana)</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Spain</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ind w:left="280"/>
              <w:spacing w:after="0"/>
              <w:rPr>
                <w:sz w:val="20"/>
                <w:szCs w:val="20"/>
                <w:color w:val="auto"/>
              </w:rPr>
            </w:pPr>
            <w:r>
              <w:rPr>
                <w:rFonts w:ascii="Courier New" w:cs="Courier New" w:eastAsia="Courier New" w:hAnsi="Courier New"/>
                <w:sz w:val="15"/>
                <w:szCs w:val="15"/>
                <w:color w:val="auto"/>
              </w:rPr>
              <w:t>S.A.</w:t>
            </w:r>
          </w:p>
        </w:tc>
        <w:tc>
          <w:tcPr>
            <w:tcW w:w="246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Virgin Interactive Entertainment (Europe)</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United Kingdom</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ind w:left="280"/>
              <w:spacing w:after="0"/>
              <w:rPr>
                <w:sz w:val="20"/>
                <w:szCs w:val="20"/>
                <w:color w:val="auto"/>
              </w:rPr>
            </w:pPr>
            <w:r>
              <w:rPr>
                <w:rFonts w:ascii="Courier New" w:cs="Courier New" w:eastAsia="Courier New" w:hAnsi="Courier New"/>
                <w:sz w:val="15"/>
                <w:szCs w:val="15"/>
                <w:color w:val="auto"/>
              </w:rPr>
              <w:t>Ltd.</w:t>
            </w:r>
          </w:p>
        </w:tc>
        <w:tc>
          <w:tcPr>
            <w:tcW w:w="246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Virgin Interactive Entertainment (France)</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France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ind w:left="280"/>
              <w:spacing w:after="0"/>
              <w:rPr>
                <w:sz w:val="20"/>
                <w:szCs w:val="20"/>
                <w:color w:val="auto"/>
              </w:rPr>
            </w:pPr>
            <w:r>
              <w:rPr>
                <w:rFonts w:ascii="Courier New" w:cs="Courier New" w:eastAsia="Courier New" w:hAnsi="Courier New"/>
                <w:sz w:val="15"/>
                <w:szCs w:val="15"/>
                <w:color w:val="auto"/>
              </w:rPr>
              <w:t>S.A.R.L. Ltd.</w:t>
            </w:r>
          </w:p>
        </w:tc>
        <w:tc>
          <w:tcPr>
            <w:tcW w:w="246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Virgin Interactive Entertainment (Holdings)</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United Kingdom</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ind w:left="280"/>
              <w:spacing w:after="0"/>
              <w:rPr>
                <w:sz w:val="20"/>
                <w:szCs w:val="20"/>
                <w:color w:val="auto"/>
              </w:rPr>
            </w:pPr>
            <w:r>
              <w:rPr>
                <w:rFonts w:ascii="Courier New" w:cs="Courier New" w:eastAsia="Courier New" w:hAnsi="Courier New"/>
                <w:sz w:val="15"/>
                <w:szCs w:val="15"/>
                <w:color w:val="auto"/>
              </w:rPr>
              <w:t>Ltd.</w:t>
            </w:r>
          </w:p>
        </w:tc>
        <w:tc>
          <w:tcPr>
            <w:tcW w:w="246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Virgin Interactive Entertainment</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United Kingdom</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ind w:left="280"/>
              <w:spacing w:after="0"/>
              <w:rPr>
                <w:sz w:val="20"/>
                <w:szCs w:val="20"/>
                <w:color w:val="auto"/>
              </w:rPr>
            </w:pPr>
            <w:r>
              <w:rPr>
                <w:rFonts w:ascii="Courier New" w:cs="Courier New" w:eastAsia="Courier New" w:hAnsi="Courier New"/>
                <w:sz w:val="15"/>
                <w:szCs w:val="15"/>
                <w:color w:val="auto"/>
              </w:rPr>
              <w:t>(Investments) Limited</w:t>
            </w:r>
          </w:p>
        </w:tc>
        <w:tc>
          <w:tcPr>
            <w:tcW w:w="246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w w:val="99"/>
              </w:rPr>
              <w:t>Virgin Interactive Entertainment (Japan) K.K.</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Japan</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Virgin Interactive Entertainment (Overseas)</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United Kingdom</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ind w:left="280"/>
              <w:spacing w:after="0"/>
              <w:rPr>
                <w:sz w:val="20"/>
                <w:szCs w:val="20"/>
                <w:color w:val="auto"/>
              </w:rPr>
            </w:pPr>
            <w:r>
              <w:rPr>
                <w:rFonts w:ascii="Courier New" w:cs="Courier New" w:eastAsia="Courier New" w:hAnsi="Courier New"/>
                <w:sz w:val="15"/>
                <w:szCs w:val="15"/>
                <w:color w:val="auto"/>
              </w:rPr>
              <w:t>Ltd.</w:t>
            </w:r>
          </w:p>
        </w:tc>
        <w:tc>
          <w:tcPr>
            <w:tcW w:w="246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Virgin Interactive Entertainment Deutschland</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Germany</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ind w:left="280"/>
              <w:spacing w:after="0"/>
              <w:rPr>
                <w:sz w:val="20"/>
                <w:szCs w:val="20"/>
                <w:color w:val="auto"/>
              </w:rPr>
            </w:pPr>
            <w:r>
              <w:rPr>
                <w:rFonts w:ascii="Courier New" w:cs="Courier New" w:eastAsia="Courier New" w:hAnsi="Courier New"/>
                <w:sz w:val="15"/>
                <w:szCs w:val="15"/>
                <w:color w:val="auto"/>
              </w:rPr>
              <w:t>GmbH</w:t>
            </w:r>
          </w:p>
        </w:tc>
        <w:tc>
          <w:tcPr>
            <w:tcW w:w="246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Virgin Interactive Entertainment Limited</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United Kingdom</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Virgin Interactive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Virgin Retail Australia Pty. Ltd.</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Australia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VISI Services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Vision Productions,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New York</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Vista Television Cable,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Washington</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VJK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VNM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VP Direct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VP Programs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California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VSC Cable Inc.</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1">
            <w:col w:w="10059"/>
          </w:cols>
          <w:pgMar w:left="400" w:top="791" w:right="1440" w:bottom="1440" w:gutter="0" w:footer="0" w:header="0"/>
        </w:sectPr>
      </w:pPr>
    </w:p>
    <w:bookmarkStart w:id="366" w:name="page367"/>
    <w:bookmarkEnd w:id="3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PERCENTAGE OF VOTING</w:t>
            </w:r>
          </w:p>
        </w:tc>
      </w:tr>
      <w:tr>
        <w:trPr>
          <w:trHeight w:val="170"/>
        </w:trPr>
        <w:tc>
          <w:tcPr>
            <w:tcW w:w="39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6520" w:type="dxa"/>
            <w:vAlign w:val="bottom"/>
            <w:gridSpan w:val="2"/>
          </w:tcPr>
          <w:p>
            <w:pPr>
              <w:ind w:left="3540"/>
              <w:spacing w:after="0"/>
              <w:rPr>
                <w:sz w:val="20"/>
                <w:szCs w:val="20"/>
                <w:color w:val="auto"/>
              </w:rPr>
            </w:pPr>
            <w:r>
              <w:rPr>
                <w:rFonts w:ascii="Courier New" w:cs="Courier New" w:eastAsia="Courier New" w:hAnsi="Courier New"/>
                <w:sz w:val="15"/>
                <w:szCs w:val="15"/>
                <w:color w:val="auto"/>
              </w:rPr>
              <w:t>STATE OR OTHER JURISDICTION OF</w:t>
            </w:r>
          </w:p>
        </w:tc>
        <w:tc>
          <w:tcPr>
            <w:tcW w:w="282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7"/>
              </w:rPr>
              <w:t>SECURITIES OWNED DIRECTLY OR</w:t>
            </w:r>
          </w:p>
        </w:tc>
      </w:tr>
      <w:tr>
        <w:trPr>
          <w:trHeight w:val="170"/>
        </w:trPr>
        <w:tc>
          <w:tcPr>
            <w:tcW w:w="6520" w:type="dxa"/>
            <w:vAlign w:val="bottom"/>
            <w:gridSpan w:val="2"/>
          </w:tcPr>
          <w:p>
            <w:pPr>
              <w:ind w:left="3540"/>
              <w:spacing w:after="0"/>
              <w:rPr>
                <w:sz w:val="20"/>
                <w:szCs w:val="20"/>
                <w:color w:val="auto"/>
              </w:rPr>
            </w:pPr>
            <w:r>
              <w:rPr>
                <w:rFonts w:ascii="Courier New" w:cs="Courier New" w:eastAsia="Courier New" w:hAnsi="Courier New"/>
                <w:sz w:val="15"/>
                <w:szCs w:val="15"/>
                <w:color w:val="auto"/>
              </w:rPr>
              <w:t>------------------------------</w:t>
            </w:r>
          </w:p>
        </w:tc>
        <w:tc>
          <w:tcPr>
            <w:tcW w:w="282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980" w:type="dxa"/>
            <w:vAlign w:val="bottom"/>
          </w:tcPr>
          <w:p>
            <w:pPr>
              <w:ind w:left="800"/>
              <w:spacing w:after="0"/>
              <w:rPr>
                <w:sz w:val="20"/>
                <w:szCs w:val="20"/>
                <w:color w:val="auto"/>
              </w:rPr>
            </w:pPr>
            <w:r>
              <w:rPr>
                <w:rFonts w:ascii="Courier New" w:cs="Courier New" w:eastAsia="Courier New" w:hAnsi="Courier New"/>
                <w:sz w:val="15"/>
                <w:szCs w:val="15"/>
                <w:color w:val="auto"/>
              </w:rPr>
              <w:t>SUBSIDIARIES</w:t>
            </w:r>
          </w:p>
        </w:tc>
        <w:tc>
          <w:tcPr>
            <w:tcW w:w="2540" w:type="dxa"/>
            <w:vAlign w:val="bottom"/>
          </w:tcPr>
          <w:p>
            <w:pPr>
              <w:ind w:left="340"/>
              <w:spacing w:after="0"/>
              <w:rPr>
                <w:sz w:val="20"/>
                <w:szCs w:val="20"/>
                <w:color w:val="auto"/>
              </w:rPr>
            </w:pPr>
            <w:r>
              <w:rPr>
                <w:rFonts w:ascii="Courier New" w:cs="Courier New" w:eastAsia="Courier New" w:hAnsi="Courier New"/>
                <w:sz w:val="15"/>
                <w:szCs w:val="15"/>
                <w:color w:val="auto"/>
              </w:rPr>
              <w:t>INCORPORATION</w:t>
            </w:r>
          </w:p>
        </w:tc>
        <w:tc>
          <w:tcPr>
            <w:tcW w:w="282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INDIRECTLY</w:t>
            </w:r>
          </w:p>
        </w:tc>
      </w:tr>
      <w:tr>
        <w:trPr>
          <w:trHeight w:val="170"/>
        </w:trPr>
        <w:tc>
          <w:tcPr>
            <w:tcW w:w="3980" w:type="dxa"/>
            <w:vAlign w:val="bottom"/>
          </w:tcPr>
          <w:p>
            <w:pPr>
              <w:ind w:left="800"/>
              <w:spacing w:after="0"/>
              <w:rPr>
                <w:sz w:val="20"/>
                <w:szCs w:val="20"/>
                <w:color w:val="auto"/>
              </w:rPr>
            </w:pPr>
            <w:r>
              <w:rPr>
                <w:rFonts w:ascii="Courier New" w:cs="Courier New" w:eastAsia="Courier New" w:hAnsi="Courier New"/>
                <w:sz w:val="15"/>
                <w:szCs w:val="15"/>
                <w:color w:val="auto"/>
              </w:rPr>
              <w:t>------------</w:t>
            </w:r>
          </w:p>
        </w:tc>
        <w:tc>
          <w:tcPr>
            <w:tcW w:w="254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282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w:t>
            </w:r>
          </w:p>
        </w:tc>
      </w:tr>
      <w:tr>
        <w:trPr>
          <w:trHeight w:val="678"/>
        </w:trPr>
        <w:tc>
          <w:tcPr>
            <w:tcW w:w="3980" w:type="dxa"/>
            <w:vAlign w:val="bottom"/>
          </w:tcPr>
          <w:p>
            <w:pPr>
              <w:spacing w:after="0"/>
              <w:rPr>
                <w:sz w:val="20"/>
                <w:szCs w:val="20"/>
                <w:color w:val="auto"/>
              </w:rPr>
            </w:pPr>
            <w:r>
              <w:rPr>
                <w:rFonts w:ascii="Courier New" w:cs="Courier New" w:eastAsia="Courier New" w:hAnsi="Courier New"/>
                <w:sz w:val="15"/>
                <w:szCs w:val="15"/>
                <w:color w:val="auto"/>
              </w:rPr>
              <w:t>VSC Communications Inc.</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VSC Compositions Inc.</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New York</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VSC Music Inc.</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New York</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Warren Schloat Productions, Inc.</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New York</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Western Row Properties, Inc.</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Ohio</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Westside Amphitheater Corporation, The</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Arizona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Westwood Studios, Inc.</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Nevada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Wheatsheaf Books Limited</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United Kingdom</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Wilshire Court Productions, Inc.</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Wilshire Entertainment Inc.</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Wilshire Payroll Inc.</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Wilshire/Hauser Company</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WMJX, Inc.</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Florida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WMZQ Inc.</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WNYT Inc.</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Woburn Insurance Ltd.</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Bermuda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Woodhead-Faulkner (Publishers) Limited</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United Kingdom</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World Entertainment Corporation</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New York</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World Volleyball League, Inc.</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New York</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Worldvision Enterprises, Inc.</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New York</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Worldvision Enterprises, GmbH</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Germany</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Worldvision Enterprises (France) S.A.R.L.</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France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Worldvision Enterprises (United Kingdom),</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New York</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ind w:left="180"/>
              <w:spacing w:after="0"/>
              <w:rPr>
                <w:sz w:val="20"/>
                <w:szCs w:val="20"/>
                <w:color w:val="auto"/>
              </w:rPr>
            </w:pPr>
            <w:r>
              <w:rPr>
                <w:rFonts w:ascii="Courier New" w:cs="Courier New" w:eastAsia="Courier New" w:hAnsi="Courier New"/>
                <w:sz w:val="15"/>
                <w:szCs w:val="15"/>
                <w:color w:val="auto"/>
              </w:rPr>
              <w:t>Ltd.</w:t>
            </w:r>
          </w:p>
        </w:tc>
        <w:tc>
          <w:tcPr>
            <w:tcW w:w="254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Worldvision Enterprises de Venezuela</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Venezuela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Worldvision Enterprises Latino-Americana</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Panama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Worldvision Enterprises of Australia, Pty.,</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Australia</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ind w:left="180"/>
              <w:spacing w:after="0"/>
              <w:rPr>
                <w:sz w:val="20"/>
                <w:szCs w:val="20"/>
                <w:color w:val="auto"/>
              </w:rPr>
            </w:pPr>
            <w:r>
              <w:rPr>
                <w:rFonts w:ascii="Courier New" w:cs="Courier New" w:eastAsia="Courier New" w:hAnsi="Courier New"/>
                <w:sz w:val="15"/>
                <w:szCs w:val="15"/>
                <w:color w:val="auto"/>
              </w:rPr>
              <w:t>Ltd.</w:t>
            </w:r>
          </w:p>
        </w:tc>
        <w:tc>
          <w:tcPr>
            <w:tcW w:w="254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Worldvision Enterprises of Canada, Limited</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New York</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Worldvision Filmes do Brasil, Ltda.</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Brazil</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Worldvision Foreign Sales Corporation</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Virgin Islands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Worldvision Home Video, Inc.</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New York</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Worldvision Television Programming, Inc.</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Worldwide Productions, Inc.</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WSBK License, Inc.</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WV Productions, Inc.</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WVIT Inc.</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Yellams LDC</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Cayman Islands</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Young Reader's Press, Inc.</w:t>
            </w:r>
          </w:p>
        </w:tc>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Delaware</w:t>
            </w:r>
          </w:p>
        </w:tc>
        <w:tc>
          <w:tcPr>
            <w:tcW w:w="2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1">
            <w:col w:w="10059"/>
          </w:cols>
          <w:pgMar w:left="400" w:top="960" w:right="1440" w:bottom="1440" w:gutter="0" w:footer="0" w:header="0"/>
        </w:sectPr>
      </w:pPr>
    </w:p>
    <w:bookmarkStart w:id="367" w:name="page368"/>
    <w:bookmarkEnd w:id="367"/>
    <w:p>
      <w:pPr>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5" w:lineRule="exact"/>
        <w:rPr>
          <w:sz w:val="20"/>
          <w:szCs w:val="20"/>
          <w:color w:val="auto"/>
        </w:rPr>
      </w:pPr>
    </w:p>
    <w:p>
      <w:pPr>
        <w:ind w:right="3699"/>
        <w:spacing w:after="0" w:line="238" w:lineRule="auto"/>
        <w:rPr>
          <w:sz w:val="20"/>
          <w:szCs w:val="20"/>
          <w:color w:val="auto"/>
        </w:rPr>
      </w:pPr>
      <w:r>
        <w:rPr>
          <w:rFonts w:ascii="Courier New" w:cs="Courier New" w:eastAsia="Courier New" w:hAnsi="Courier New"/>
          <w:sz w:val="15"/>
          <w:szCs w:val="15"/>
          <w:color w:val="auto"/>
        </w:rPr>
        <w:t>We hereby consent to the incorporation by reference in the Prospectus constituting part of the Registration Statements on Form S-3 (No. 33-53485 and No. 33-55785) of Viacom Inc. and Viacom International Inc. and in the Registration Statements on Form S-8 (No. 41934, No. 56088, No. 59049, No. 59141, No. 55173, No. 55709 and No. 60943) of Viacom Inc. of our report dated February 14, 1996 included in Item 8 of this Form 10-K.</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WATERHOUSE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rPr>
          <w:sz w:val="20"/>
          <w:szCs w:val="20"/>
          <w:color w:val="auto"/>
        </w:rPr>
      </w:pPr>
      <w:r>
        <w:rPr>
          <w:rFonts w:ascii="Courier New" w:cs="Courier New" w:eastAsia="Courier New" w:hAnsi="Courier New"/>
          <w:sz w:val="15"/>
          <w:szCs w:val="15"/>
          <w:color w:val="auto"/>
        </w:rPr>
        <w:t>March 29, 1996</w:t>
      </w:r>
    </w:p>
    <w:p>
      <w:pPr>
        <w:sectPr>
          <w:pgSz w:w="11900" w:h="16838" w:orient="portrait"/>
          <w:cols w:equalWidth="0" w:num="1">
            <w:col w:w="10219"/>
          </w:cols>
          <w:pgMar w:left="240" w:top="305" w:right="1440" w:bottom="1440" w:gutter="0" w:footer="0" w:header="0"/>
        </w:sectPr>
      </w:pPr>
    </w:p>
    <w:bookmarkStart w:id="368" w:name="page369"/>
    <w:bookmarkEnd w:id="368"/>
    <w:p>
      <w:pPr>
        <w:jc w:val="center"/>
        <w:ind w:right="3099"/>
        <w:spacing w:after="0"/>
        <w:rPr>
          <w:sz w:val="20"/>
          <w:szCs w:val="20"/>
          <w:color w:val="auto"/>
        </w:rPr>
      </w:pPr>
      <w:r>
        <w:rPr>
          <w:rFonts w:ascii="Courier New" w:cs="Courier New" w:eastAsia="Courier New" w:hAnsi="Courier New"/>
          <w:sz w:val="15"/>
          <w:szCs w:val="15"/>
          <w:color w:val="auto"/>
        </w:rPr>
        <w:t>VIACOM INC.</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Power of Attorney</w:t>
      </w:r>
    </w:p>
    <w:p>
      <w:pPr>
        <w:spacing w:after="0" w:line="344"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KNOW ALL MEN BY THESE PRESENTS that the undersigned director of VIACOM INC., a Delaware corporation (the "Company"), hereby constitutes and appoints Philippe Dauman and Michael Fricklas his true lawful attorney-in-fact and agent, with full power of substitution and resubstitution, for him and in his name, place and stead, in any and all capacities, to sign the Company's Annual Report on Form 10-K for the fiscal year ended December 31, 1995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8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 WITNESS WHEREOF, I have hereunto signed my name this 25th day of March,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w:t>
      </w:r>
    </w:p>
    <w:p>
      <w:pPr>
        <w:spacing w:after="0" w:line="339"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5"/>
          <w:szCs w:val="15"/>
          <w:color w:val="auto"/>
        </w:rPr>
        <w:t>/s/ George S. Abrams</w:t>
      </w:r>
    </w:p>
    <w:p>
      <w:pPr>
        <w:ind w:left="4300"/>
        <w:spacing w:after="0"/>
        <w:rPr>
          <w:sz w:val="20"/>
          <w:szCs w:val="20"/>
          <w:color w:val="auto"/>
        </w:rPr>
      </w:pPr>
      <w:r>
        <w:rPr>
          <w:rFonts w:ascii="Courier New" w:cs="Courier New" w:eastAsia="Courier New" w:hAnsi="Courier New"/>
          <w:sz w:val="15"/>
          <w:szCs w:val="15"/>
          <w:color w:val="auto"/>
        </w:rPr>
        <w:t>--------------------------</w:t>
      </w:r>
    </w:p>
    <w:p>
      <w:pPr>
        <w:ind w:left="4760"/>
        <w:spacing w:after="0"/>
        <w:rPr>
          <w:sz w:val="20"/>
          <w:szCs w:val="20"/>
          <w:color w:val="auto"/>
        </w:rPr>
      </w:pPr>
      <w:r>
        <w:rPr>
          <w:rFonts w:ascii="Courier New" w:cs="Courier New" w:eastAsia="Courier New" w:hAnsi="Courier New"/>
          <w:sz w:val="15"/>
          <w:szCs w:val="15"/>
          <w:color w:val="auto"/>
        </w:rPr>
        <w:t>George S. Abrams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VIACOM INC.</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Power of Attorney</w:t>
      </w:r>
    </w:p>
    <w:p>
      <w:pPr>
        <w:spacing w:after="0" w:line="344"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KNOW ALL MEN BY THESE PRESENTS that the undersigned director of VIACOM INC., a Delaware corporation (the "Company"), hereby constitutes and appoints Philippe Dauman and Michael Fricklas his true lawful attorney-in-fact and agent, with full power of substitution and resubstitution, for him and in his name, place and stead, in any and all capacities, to sign the Company's Annual Report on Form 10-K for the fiscal year ended December 31, 1995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8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 WITNESS WHEREOF, I have hereunto signed my name this 25th day of March,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w:t>
      </w:r>
    </w:p>
    <w:p>
      <w:pPr>
        <w:spacing w:after="0" w:line="339"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5"/>
          <w:szCs w:val="15"/>
          <w:color w:val="auto"/>
        </w:rPr>
        <w:t>/s/ Ivan Seidenberg</w:t>
      </w:r>
    </w:p>
    <w:p>
      <w:pPr>
        <w:ind w:left="4300"/>
        <w:spacing w:after="0"/>
        <w:rPr>
          <w:sz w:val="20"/>
          <w:szCs w:val="20"/>
          <w:color w:val="auto"/>
        </w:rPr>
      </w:pPr>
      <w:r>
        <w:rPr>
          <w:rFonts w:ascii="Courier New" w:cs="Courier New" w:eastAsia="Courier New" w:hAnsi="Courier New"/>
          <w:sz w:val="15"/>
          <w:szCs w:val="15"/>
          <w:color w:val="auto"/>
        </w:rPr>
        <w:t>--------------------------</w:t>
      </w:r>
    </w:p>
    <w:p>
      <w:pPr>
        <w:ind w:left="4760"/>
        <w:spacing w:after="0"/>
        <w:rPr>
          <w:sz w:val="20"/>
          <w:szCs w:val="20"/>
          <w:color w:val="auto"/>
        </w:rPr>
      </w:pPr>
      <w:r>
        <w:rPr>
          <w:rFonts w:ascii="Courier New" w:cs="Courier New" w:eastAsia="Courier New" w:hAnsi="Courier New"/>
          <w:sz w:val="15"/>
          <w:szCs w:val="15"/>
          <w:color w:val="auto"/>
        </w:rPr>
        <w:t>Ivan Seidenberg</w:t>
      </w:r>
    </w:p>
    <w:p>
      <w:pPr>
        <w:sectPr>
          <w:pgSz w:w="11900" w:h="16838" w:orient="portrait"/>
          <w:cols w:equalWidth="0" w:num="1">
            <w:col w:w="10219"/>
          </w:cols>
          <w:pgMar w:left="240" w:top="475" w:right="1440" w:bottom="1440" w:gutter="0" w:footer="0" w:header="0"/>
        </w:sectPr>
      </w:pPr>
    </w:p>
    <w:bookmarkStart w:id="369" w:name="page370"/>
    <w:bookmarkEnd w:id="369"/>
    <w:p>
      <w:pPr>
        <w:jc w:val="center"/>
        <w:ind w:right="3099"/>
        <w:spacing w:after="0"/>
        <w:rPr>
          <w:sz w:val="20"/>
          <w:szCs w:val="20"/>
          <w:color w:val="auto"/>
        </w:rPr>
      </w:pPr>
      <w:r>
        <w:rPr>
          <w:rFonts w:ascii="Courier New" w:cs="Courier New" w:eastAsia="Courier New" w:hAnsi="Courier New"/>
          <w:sz w:val="15"/>
          <w:szCs w:val="15"/>
          <w:color w:val="auto"/>
        </w:rPr>
        <w:t>VIACOM INC.</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Power of Attorney</w:t>
      </w:r>
    </w:p>
    <w:p>
      <w:pPr>
        <w:spacing w:after="0" w:line="344"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KNOW ALL MEN BY THESE PRESENTS that the undersigned director of VIACOM INC., a Delaware corporation (the "Company"), hereby constitutes and appoints Philippe Dauman and Michael Fricklas his true lawful attorney-in-fact and agent, with full power of substitution and resubstitution, for him and in his name, place and stead, in any and all capacities, to sign the Company's Annual Report on Form 10-K for the fiscal year ended December 31, 1995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8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 WITNESS WHEREOF, I have hereunto signed my name this 25th day of March,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w:t>
      </w:r>
    </w:p>
    <w:p>
      <w:pPr>
        <w:spacing w:after="0" w:line="339"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5"/>
          <w:szCs w:val="15"/>
          <w:color w:val="auto"/>
        </w:rPr>
        <w:t>/s/ Thomas E. Dooley</w:t>
      </w:r>
    </w:p>
    <w:p>
      <w:pPr>
        <w:ind w:left="4300"/>
        <w:spacing w:after="0"/>
        <w:rPr>
          <w:sz w:val="20"/>
          <w:szCs w:val="20"/>
          <w:color w:val="auto"/>
        </w:rPr>
      </w:pPr>
      <w:r>
        <w:rPr>
          <w:rFonts w:ascii="Courier New" w:cs="Courier New" w:eastAsia="Courier New" w:hAnsi="Courier New"/>
          <w:sz w:val="15"/>
          <w:szCs w:val="15"/>
          <w:color w:val="auto"/>
        </w:rPr>
        <w:t>--------------------------</w:t>
      </w:r>
    </w:p>
    <w:p>
      <w:pPr>
        <w:ind w:left="4760"/>
        <w:spacing w:after="0"/>
        <w:rPr>
          <w:sz w:val="20"/>
          <w:szCs w:val="20"/>
          <w:color w:val="auto"/>
        </w:rPr>
      </w:pPr>
      <w:r>
        <w:rPr>
          <w:rFonts w:ascii="Courier New" w:cs="Courier New" w:eastAsia="Courier New" w:hAnsi="Courier New"/>
          <w:sz w:val="15"/>
          <w:szCs w:val="15"/>
          <w:color w:val="auto"/>
        </w:rPr>
        <w:t>Thomas E. Dooley</w:t>
      </w:r>
    </w:p>
    <w:p>
      <w:pPr>
        <w:sectPr>
          <w:pgSz w:w="11900" w:h="16838" w:orient="portrait"/>
          <w:cols w:equalWidth="0" w:num="1">
            <w:col w:w="10219"/>
          </w:cols>
          <w:pgMar w:left="240" w:top="791" w:right="1440" w:bottom="1440" w:gutter="0" w:footer="0" w:header="0"/>
        </w:sectPr>
      </w:pPr>
    </w:p>
    <w:bookmarkStart w:id="370" w:name="page371"/>
    <w:bookmarkEnd w:id="370"/>
    <w:p>
      <w:pPr>
        <w:jc w:val="center"/>
        <w:ind w:right="3099"/>
        <w:spacing w:after="0"/>
        <w:rPr>
          <w:sz w:val="20"/>
          <w:szCs w:val="20"/>
          <w:color w:val="auto"/>
        </w:rPr>
      </w:pPr>
      <w:r>
        <w:rPr>
          <w:rFonts w:ascii="Courier New" w:cs="Courier New" w:eastAsia="Courier New" w:hAnsi="Courier New"/>
          <w:sz w:val="15"/>
          <w:szCs w:val="15"/>
          <w:color w:val="auto"/>
        </w:rPr>
        <w:t>VIACOM INC.</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Power of Attorney</w:t>
      </w:r>
    </w:p>
    <w:p>
      <w:pPr>
        <w:spacing w:after="0" w:line="344"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KNOW ALL MEN BY THESE PRESENTS that the undersigned director of VIACOM INC., a Delaware corporation (the "Company"), hereby constitutes and appoints Philippe Dauman and Michael Fricklas his true lawful attorney-in-fact and agent, with full power of substitution and resubstitution, for him and in his name, place and stead, in any and all capacities, to sign the Company's Annual Report on Form 10-K for the fiscal year ended December 31, 1995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8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 WITNESS WHEREOF, I have hereunto signed my name this 25th day of March,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w:t>
      </w:r>
    </w:p>
    <w:p>
      <w:pPr>
        <w:spacing w:after="0" w:line="339"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/s/ George D. Johnson, Jr.</w:t>
      </w:r>
    </w:p>
    <w:p>
      <w:pPr>
        <w:ind w:left="4140"/>
        <w:spacing w:after="0"/>
        <w:rPr>
          <w:sz w:val="20"/>
          <w:szCs w:val="20"/>
          <w:color w:val="auto"/>
        </w:rPr>
      </w:pPr>
      <w:r>
        <w:rPr>
          <w:rFonts w:ascii="Courier New" w:cs="Courier New" w:eastAsia="Courier New" w:hAnsi="Courier New"/>
          <w:sz w:val="15"/>
          <w:szCs w:val="15"/>
          <w:color w:val="auto"/>
        </w:rPr>
        <w:t>----------------------------</w:t>
      </w:r>
    </w:p>
    <w:p>
      <w:pPr>
        <w:ind w:left="4480"/>
        <w:spacing w:after="0"/>
        <w:rPr>
          <w:sz w:val="20"/>
          <w:szCs w:val="20"/>
          <w:color w:val="auto"/>
        </w:rPr>
      </w:pPr>
      <w:r>
        <w:rPr>
          <w:rFonts w:ascii="Courier New" w:cs="Courier New" w:eastAsia="Courier New" w:hAnsi="Courier New"/>
          <w:sz w:val="15"/>
          <w:szCs w:val="15"/>
          <w:color w:val="auto"/>
        </w:rPr>
        <w:t>George D. Johnson, Jr.</w:t>
      </w:r>
    </w:p>
    <w:p>
      <w:pPr>
        <w:sectPr>
          <w:pgSz w:w="11900" w:h="16838" w:orient="portrait"/>
          <w:cols w:equalWidth="0" w:num="1">
            <w:col w:w="10219"/>
          </w:cols>
          <w:pgMar w:left="240" w:top="791" w:right="1440" w:bottom="1440" w:gutter="0" w:footer="0" w:header="0"/>
        </w:sectPr>
      </w:pPr>
    </w:p>
    <w:bookmarkStart w:id="371" w:name="page372"/>
    <w:bookmarkEnd w:id="371"/>
    <w:p>
      <w:pPr>
        <w:jc w:val="center"/>
        <w:ind w:right="3099"/>
        <w:spacing w:after="0"/>
        <w:rPr>
          <w:sz w:val="20"/>
          <w:szCs w:val="20"/>
          <w:color w:val="auto"/>
        </w:rPr>
      </w:pPr>
      <w:r>
        <w:rPr>
          <w:rFonts w:ascii="Courier New" w:cs="Courier New" w:eastAsia="Courier New" w:hAnsi="Courier New"/>
          <w:sz w:val="15"/>
          <w:szCs w:val="15"/>
          <w:color w:val="auto"/>
        </w:rPr>
        <w:t>VIACOM INC.</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Power of Attorney</w:t>
      </w:r>
    </w:p>
    <w:p>
      <w:pPr>
        <w:spacing w:after="0" w:line="344"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KNOW ALL MEN BY THESE PRESENTS that the undersigned director of VIACOM INC., a Delaware corporation (the "Company"), hereby constitutes and appoints Philippe Dauman and Michael Fricklas his true lawful attorney-in-fact and agent, with full power of substitution and resubstitution, for him and in his name, place and stead, in any and all capacities, to sign the Company's Annual Report on Form 10-K for the fiscal year ended December 31, 1995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8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 WITNESS WHEREOF, I have hereunto signed my name this 25th day of March,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w:t>
      </w:r>
    </w:p>
    <w:p>
      <w:pPr>
        <w:spacing w:after="0" w:line="339" w:lineRule="exact"/>
        <w:rPr>
          <w:sz w:val="20"/>
          <w:szCs w:val="20"/>
          <w:color w:val="auto"/>
        </w:rPr>
      </w:pPr>
    </w:p>
    <w:p>
      <w:pPr>
        <w:ind w:left="4300"/>
        <w:spacing w:after="0"/>
        <w:tabs>
          <w:tab w:leader="none" w:pos="474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Ken Miller</w:t>
      </w:r>
    </w:p>
    <w:p>
      <w:pPr>
        <w:ind w:left="4300"/>
        <w:spacing w:after="0"/>
        <w:rPr>
          <w:sz w:val="20"/>
          <w:szCs w:val="20"/>
          <w:color w:val="auto"/>
        </w:rPr>
      </w:pPr>
      <w:r>
        <w:rPr>
          <w:rFonts w:ascii="Courier New" w:cs="Courier New" w:eastAsia="Courier New" w:hAnsi="Courier New"/>
          <w:sz w:val="15"/>
          <w:szCs w:val="15"/>
          <w:color w:val="auto"/>
        </w:rPr>
        <w:t>--------------------------</w:t>
      </w:r>
    </w:p>
    <w:p>
      <w:pPr>
        <w:jc w:val="center"/>
        <w:ind w:right="-160"/>
        <w:spacing w:after="0"/>
        <w:rPr>
          <w:sz w:val="20"/>
          <w:szCs w:val="20"/>
          <w:color w:val="auto"/>
        </w:rPr>
      </w:pPr>
      <w:r>
        <w:rPr>
          <w:rFonts w:ascii="Courier New" w:cs="Courier New" w:eastAsia="Courier New" w:hAnsi="Courier New"/>
          <w:sz w:val="15"/>
          <w:szCs w:val="15"/>
          <w:color w:val="auto"/>
        </w:rPr>
        <w:t>Ken Miller</w:t>
      </w:r>
    </w:p>
    <w:p>
      <w:pPr>
        <w:sectPr>
          <w:pgSz w:w="11900" w:h="16838" w:orient="portrait"/>
          <w:cols w:equalWidth="0" w:num="1">
            <w:col w:w="10219"/>
          </w:cols>
          <w:pgMar w:left="240" w:top="791" w:right="1440" w:bottom="1440" w:gutter="0" w:footer="0" w:header="0"/>
        </w:sectPr>
      </w:pPr>
    </w:p>
    <w:bookmarkStart w:id="372" w:name="page373"/>
    <w:bookmarkEnd w:id="372"/>
    <w:p>
      <w:pPr>
        <w:jc w:val="center"/>
        <w:ind w:right="3099"/>
        <w:spacing w:after="0"/>
        <w:rPr>
          <w:sz w:val="20"/>
          <w:szCs w:val="20"/>
          <w:color w:val="auto"/>
        </w:rPr>
      </w:pPr>
      <w:r>
        <w:rPr>
          <w:rFonts w:ascii="Courier New" w:cs="Courier New" w:eastAsia="Courier New" w:hAnsi="Courier New"/>
          <w:sz w:val="15"/>
          <w:szCs w:val="15"/>
          <w:color w:val="auto"/>
        </w:rPr>
        <w:t>VIACOM INC.</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Power of Attorney</w:t>
      </w:r>
    </w:p>
    <w:p>
      <w:pPr>
        <w:spacing w:after="0" w:line="344"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KNOW ALL MEN BY THESE PRESENTS that the undersigned director of VIACOM INC., a Delaware corporation (the "Company"), hereby constitutes and appoints Philippe Dauman and Michael Fricklas his true lawful attorney-in-fact and agent, with full power of substitution and resubstitution, for him and in his name, place and stead, in any and all capacities, to sign the Company's Annual Report on Form 10-K for the fiscal year ended December 31, 1995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8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 WITNESS WHEREOF, I have hereunto signed my name this 25th day of March,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w:t>
      </w:r>
    </w:p>
    <w:p>
      <w:pPr>
        <w:spacing w:after="0" w:line="339"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/s/ Brent D. Redstone</w:t>
      </w:r>
    </w:p>
    <w:p>
      <w:pPr>
        <w:ind w:left="4300"/>
        <w:spacing w:after="0"/>
        <w:rPr>
          <w:sz w:val="20"/>
          <w:szCs w:val="20"/>
          <w:color w:val="auto"/>
        </w:rPr>
      </w:pPr>
      <w:r>
        <w:rPr>
          <w:rFonts w:ascii="Courier New" w:cs="Courier New" w:eastAsia="Courier New" w:hAnsi="Courier New"/>
          <w:sz w:val="15"/>
          <w:szCs w:val="15"/>
          <w:color w:val="auto"/>
        </w:rPr>
        <w:t>--------------------------</w:t>
      </w:r>
    </w:p>
    <w:p>
      <w:pPr>
        <w:ind w:left="4760"/>
        <w:spacing w:after="0"/>
        <w:rPr>
          <w:sz w:val="20"/>
          <w:szCs w:val="20"/>
          <w:color w:val="auto"/>
        </w:rPr>
      </w:pPr>
      <w:r>
        <w:rPr>
          <w:rFonts w:ascii="Courier New" w:cs="Courier New" w:eastAsia="Courier New" w:hAnsi="Courier New"/>
          <w:sz w:val="15"/>
          <w:szCs w:val="15"/>
          <w:color w:val="auto"/>
        </w:rPr>
        <w:t>Brent D. Redstone</w:t>
      </w:r>
    </w:p>
    <w:p>
      <w:pPr>
        <w:sectPr>
          <w:pgSz w:w="11900" w:h="16838" w:orient="portrait"/>
          <w:cols w:equalWidth="0" w:num="1">
            <w:col w:w="10219"/>
          </w:cols>
          <w:pgMar w:left="240" w:top="791" w:right="1440" w:bottom="1440" w:gutter="0" w:footer="0" w:header="0"/>
        </w:sectPr>
      </w:pPr>
    </w:p>
    <w:bookmarkStart w:id="373" w:name="page374"/>
    <w:bookmarkEnd w:id="373"/>
    <w:p>
      <w:pPr>
        <w:jc w:val="center"/>
        <w:ind w:right="3099"/>
        <w:spacing w:after="0"/>
        <w:rPr>
          <w:sz w:val="20"/>
          <w:szCs w:val="20"/>
          <w:color w:val="auto"/>
        </w:rPr>
      </w:pPr>
      <w:r>
        <w:rPr>
          <w:rFonts w:ascii="Courier New" w:cs="Courier New" w:eastAsia="Courier New" w:hAnsi="Courier New"/>
          <w:sz w:val="15"/>
          <w:szCs w:val="15"/>
          <w:color w:val="auto"/>
        </w:rPr>
        <w:t>VIACOM INC.</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Power of Attorney</w:t>
      </w:r>
    </w:p>
    <w:p>
      <w:pPr>
        <w:spacing w:after="0" w:line="344"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KNOW ALL MEN BY THESE PRESENTS that the undersigned director of VIACOM INC., a Delaware corporation (the "Company"), hereby constitutes and appoints Philippe Dauman and Michael Fricklas her true lawful attorney-in-fact and agent, with full power of substitution and resubstitution, for her and in her name, place and stead, in any and all capacities, to sign the Company's Annual Report on Form 10-K for the fiscal year ended December 31, 1995 (and any amendments thereto); granting unto said attorney-in-fact and agent, full power and authority to do and perform each and every act and thing requisite and necessary to be done, as fully for all intents and purposes as she might or could do in person hereby ratifying and confirming all that the said attorney-in-fact and agent, shall do or cause to be done by virtue hereof.</w:t>
      </w:r>
    </w:p>
    <w:p>
      <w:pPr>
        <w:spacing w:after="0" w:line="18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 WITNESS WHEREOF, I have hereunto signed my name this 25th day of March,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w:t>
      </w:r>
    </w:p>
    <w:p>
      <w:pPr>
        <w:spacing w:after="0" w:line="339"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5"/>
          <w:szCs w:val="15"/>
          <w:color w:val="auto"/>
        </w:rPr>
        <w:t>/s/ Shari Redstone</w:t>
      </w:r>
    </w:p>
    <w:p>
      <w:pPr>
        <w:ind w:left="4300"/>
        <w:spacing w:after="0"/>
        <w:rPr>
          <w:sz w:val="20"/>
          <w:szCs w:val="20"/>
          <w:color w:val="auto"/>
        </w:rPr>
      </w:pPr>
      <w:r>
        <w:rPr>
          <w:rFonts w:ascii="Courier New" w:cs="Courier New" w:eastAsia="Courier New" w:hAnsi="Courier New"/>
          <w:sz w:val="15"/>
          <w:szCs w:val="15"/>
          <w:color w:val="auto"/>
        </w:rPr>
        <w:t>--------------------------</w:t>
      </w:r>
    </w:p>
    <w:p>
      <w:pPr>
        <w:ind w:left="4760"/>
        <w:spacing w:after="0"/>
        <w:rPr>
          <w:sz w:val="20"/>
          <w:szCs w:val="20"/>
          <w:color w:val="auto"/>
        </w:rPr>
      </w:pPr>
      <w:r>
        <w:rPr>
          <w:rFonts w:ascii="Courier New" w:cs="Courier New" w:eastAsia="Courier New" w:hAnsi="Courier New"/>
          <w:sz w:val="15"/>
          <w:szCs w:val="15"/>
          <w:color w:val="auto"/>
        </w:rPr>
        <w:t>Shari Redstone</w:t>
      </w:r>
    </w:p>
    <w:p>
      <w:pPr>
        <w:sectPr>
          <w:pgSz w:w="11900" w:h="16838" w:orient="portrait"/>
          <w:cols w:equalWidth="0" w:num="1">
            <w:col w:w="10219"/>
          </w:cols>
          <w:pgMar w:left="240" w:top="791" w:right="1440" w:bottom="1440" w:gutter="0" w:footer="0" w:header="0"/>
        </w:sectPr>
      </w:pPr>
    </w:p>
    <w:bookmarkStart w:id="374" w:name="page375"/>
    <w:bookmarkEnd w:id="374"/>
    <w:p>
      <w:pPr>
        <w:jc w:val="center"/>
        <w:ind w:right="3099"/>
        <w:spacing w:after="0"/>
        <w:rPr>
          <w:sz w:val="20"/>
          <w:szCs w:val="20"/>
          <w:color w:val="auto"/>
        </w:rPr>
      </w:pPr>
      <w:r>
        <w:rPr>
          <w:rFonts w:ascii="Courier New" w:cs="Courier New" w:eastAsia="Courier New" w:hAnsi="Courier New"/>
          <w:sz w:val="15"/>
          <w:szCs w:val="15"/>
          <w:color w:val="auto"/>
        </w:rPr>
        <w:t>VIACOM INC.</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Power of Attorney</w:t>
      </w:r>
    </w:p>
    <w:p>
      <w:pPr>
        <w:spacing w:after="0" w:line="344"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KNOW ALL MEN BY THESE PRESENTS that the undersigned director of VIACOM INC., a Delaware corporation (the "Company"), hereby constitutes and appoints Philippe Dauman and Michael Fricklas his true lawful attorney-in-fact and agent, with full power of substitution and resubstitution, for him and in his name, place and stead, in any and all capacities, to sign the Company's Annual Report on Form 10-K for the fiscal year ended December 31, 1995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8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 WITNESS WHEREOF, I have hereunto signed my name this 25th day of March,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w:t>
      </w:r>
    </w:p>
    <w:p>
      <w:pPr>
        <w:spacing w:after="0" w:line="339"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/s/ Frederic V. Salerno</w:t>
      </w:r>
    </w:p>
    <w:p>
      <w:pPr>
        <w:ind w:left="4300"/>
        <w:spacing w:after="0"/>
        <w:rPr>
          <w:sz w:val="20"/>
          <w:szCs w:val="20"/>
          <w:color w:val="auto"/>
        </w:rPr>
      </w:pPr>
      <w:r>
        <w:rPr>
          <w:rFonts w:ascii="Courier New" w:cs="Courier New" w:eastAsia="Courier New" w:hAnsi="Courier New"/>
          <w:sz w:val="15"/>
          <w:szCs w:val="15"/>
          <w:color w:val="auto"/>
        </w:rPr>
        <w:t>--------------------------</w:t>
      </w:r>
    </w:p>
    <w:p>
      <w:pPr>
        <w:ind w:left="4660"/>
        <w:spacing w:after="0"/>
        <w:rPr>
          <w:sz w:val="20"/>
          <w:szCs w:val="20"/>
          <w:color w:val="auto"/>
        </w:rPr>
      </w:pPr>
      <w:r>
        <w:rPr>
          <w:rFonts w:ascii="Courier New" w:cs="Courier New" w:eastAsia="Courier New" w:hAnsi="Courier New"/>
          <w:sz w:val="15"/>
          <w:szCs w:val="15"/>
          <w:color w:val="auto"/>
        </w:rPr>
        <w:t>Frederic V. Salerno</w:t>
      </w:r>
    </w:p>
    <w:p>
      <w:pPr>
        <w:sectPr>
          <w:pgSz w:w="11900" w:h="16838" w:orient="portrait"/>
          <w:cols w:equalWidth="0" w:num="1">
            <w:col w:w="10219"/>
          </w:cols>
          <w:pgMar w:left="240" w:top="791" w:right="1440" w:bottom="1440" w:gutter="0" w:footer="0" w:header="0"/>
        </w:sectPr>
      </w:pPr>
    </w:p>
    <w:bookmarkStart w:id="375" w:name="page376"/>
    <w:bookmarkEnd w:id="375"/>
    <w:p>
      <w:pPr>
        <w:jc w:val="center"/>
        <w:ind w:right="3099"/>
        <w:spacing w:after="0"/>
        <w:rPr>
          <w:sz w:val="20"/>
          <w:szCs w:val="20"/>
          <w:color w:val="auto"/>
        </w:rPr>
      </w:pPr>
      <w:r>
        <w:rPr>
          <w:rFonts w:ascii="Courier New" w:cs="Courier New" w:eastAsia="Courier New" w:hAnsi="Courier New"/>
          <w:sz w:val="15"/>
          <w:szCs w:val="15"/>
          <w:color w:val="auto"/>
        </w:rPr>
        <w:t>VIACOM INC.</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Power of Attorney</w:t>
      </w:r>
    </w:p>
    <w:p>
      <w:pPr>
        <w:spacing w:after="0" w:line="344"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KNOW ALL MEN BY THESE PRESENTS that the undersigned director of VIACOM INC., a Delaware corporation (the "Company"), hereby constitutes and appoints Philippe Dauman and Michael Fricklas his true lawful attorney-in-fact and agent, with full power of substitution and resubstitution, for him and in his name, place and stead, in any and all capacities, to sign the Company's Annual Report on Form 10-K for the fiscal year ended December 31, 1995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8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 WITNESS WHEREOF, I have hereunto signed my name this 25th day of March,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w:t>
      </w:r>
    </w:p>
    <w:p>
      <w:pPr>
        <w:spacing w:after="0" w:line="339"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5"/>
          <w:szCs w:val="15"/>
          <w:color w:val="auto"/>
        </w:rPr>
        <w:t>/s/ William Schwartz</w:t>
      </w:r>
    </w:p>
    <w:p>
      <w:pPr>
        <w:ind w:left="4300"/>
        <w:spacing w:after="0"/>
        <w:rPr>
          <w:sz w:val="20"/>
          <w:szCs w:val="20"/>
          <w:color w:val="auto"/>
        </w:rPr>
      </w:pPr>
      <w:r>
        <w:rPr>
          <w:rFonts w:ascii="Courier New" w:cs="Courier New" w:eastAsia="Courier New" w:hAnsi="Courier New"/>
          <w:sz w:val="15"/>
          <w:szCs w:val="15"/>
          <w:color w:val="auto"/>
        </w:rPr>
        <w:t>--------------------------</w:t>
      </w:r>
    </w:p>
    <w:p>
      <w:pPr>
        <w:ind w:left="4760"/>
        <w:spacing w:after="0"/>
        <w:rPr>
          <w:sz w:val="20"/>
          <w:szCs w:val="20"/>
          <w:color w:val="auto"/>
        </w:rPr>
      </w:pPr>
      <w:r>
        <w:rPr>
          <w:rFonts w:ascii="Courier New" w:cs="Courier New" w:eastAsia="Courier New" w:hAnsi="Courier New"/>
          <w:sz w:val="15"/>
          <w:szCs w:val="15"/>
          <w:color w:val="auto"/>
        </w:rPr>
        <w:t>William Schwartz</w:t>
      </w:r>
    </w:p>
    <w:p>
      <w:pPr>
        <w:sectPr>
          <w:pgSz w:w="11900" w:h="16838" w:orient="portrait"/>
          <w:cols w:equalWidth="0" w:num="1">
            <w:col w:w="10219"/>
          </w:cols>
          <w:pgMar w:left="240" w:top="791" w:right="1440" w:bottom="1440" w:gutter="0" w:footer="0" w:header="0"/>
        </w:sectPr>
      </w:pPr>
    </w:p>
    <w:bookmarkStart w:id="376" w:name="page377"/>
    <w:bookmarkEnd w:id="376"/>
    <w:p>
      <w:pPr>
        <w:ind w:left="60"/>
        <w:spacing w:after="0"/>
        <w:rPr>
          <w:sz w:val="20"/>
          <w:szCs w:val="20"/>
          <w:color w:val="auto"/>
        </w:rPr>
      </w:pPr>
      <w:r>
        <w:rPr>
          <w:rFonts w:ascii="Courier New" w:cs="Courier New" w:eastAsia="Courier New" w:hAnsi="Courier New"/>
          <w:sz w:val="15"/>
          <w:szCs w:val="15"/>
          <w:color w:val="auto"/>
        </w:rPr>
        <w:t>5</w:t>
      </w:r>
    </w:p>
    <w:p>
      <w:pPr>
        <w:spacing w:after="0" w:line="17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schedule contains summary financial information extracted from audited financial statements of viacom inc. for the year ended december 31, 1995 and is qualified in its entirety by reference to such financial statements.</w:t>
      </w:r>
    </w:p>
    <w:p>
      <w:pPr>
        <w:spacing w:after="0" w:line="169"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1,000,000</w:t>
      </w:r>
    </w:p>
    <w:p>
      <w:pPr>
        <w:spacing w:after="0" w:line="339"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OTHER</w:t>
      </w:r>
    </w:p>
    <w:p>
      <w:pPr>
        <w:ind w:left="2260"/>
        <w:spacing w:after="0"/>
        <w:rPr>
          <w:sz w:val="20"/>
          <w:szCs w:val="20"/>
          <w:color w:val="auto"/>
        </w:rPr>
      </w:pPr>
      <w:r>
        <w:rPr>
          <w:rFonts w:ascii="Courier New" w:cs="Courier New" w:eastAsia="Courier New" w:hAnsi="Courier New"/>
          <w:sz w:val="15"/>
          <w:szCs w:val="15"/>
          <w:color w:val="auto"/>
        </w:rPr>
        <w:t>DEC-31-1995</w:t>
      </w:r>
    </w:p>
    <w:p>
      <w:pPr>
        <w:ind w:left="2700"/>
        <w:spacing w:after="0"/>
        <w:rPr>
          <w:sz w:val="20"/>
          <w:szCs w:val="20"/>
          <w:color w:val="auto"/>
        </w:rPr>
      </w:pPr>
      <w:r>
        <w:rPr>
          <w:rFonts w:ascii="Courier New" w:cs="Courier New" w:eastAsia="Courier New" w:hAnsi="Courier New"/>
          <w:sz w:val="15"/>
          <w:szCs w:val="15"/>
          <w:color w:val="auto"/>
        </w:rPr>
        <w:t>DEC-31-1995</w:t>
      </w:r>
    </w:p>
    <w:p>
      <w:pPr>
        <w:ind w:left="3940"/>
        <w:spacing w:after="0" w:line="238" w:lineRule="auto"/>
        <w:rPr>
          <w:sz w:val="20"/>
          <w:szCs w:val="20"/>
          <w:color w:val="auto"/>
        </w:rPr>
      </w:pPr>
      <w:r>
        <w:rPr>
          <w:rFonts w:ascii="Courier New" w:cs="Courier New" w:eastAsia="Courier New" w:hAnsi="Courier New"/>
          <w:sz w:val="15"/>
          <w:szCs w:val="15"/>
          <w:color w:val="auto"/>
        </w:rPr>
        <w:t>464</w:t>
      </w:r>
    </w:p>
    <w:p>
      <w:pPr>
        <w:ind w:left="3580"/>
        <w:spacing w:after="0"/>
        <w:rPr>
          <w:sz w:val="20"/>
          <w:szCs w:val="20"/>
          <w:color w:val="auto"/>
        </w:rPr>
      </w:pPr>
      <w:r>
        <w:rPr>
          <w:rFonts w:ascii="Courier New" w:cs="Courier New" w:eastAsia="Courier New" w:hAnsi="Courier New"/>
          <w:sz w:val="15"/>
          <w:szCs w:val="15"/>
          <w:color w:val="auto"/>
        </w:rPr>
        <w:t>0</w:t>
      </w:r>
    </w:p>
    <w:p>
      <w:pPr>
        <w:ind w:left="3140"/>
        <w:spacing w:after="0"/>
        <w:rPr>
          <w:sz w:val="20"/>
          <w:szCs w:val="20"/>
          <w:color w:val="auto"/>
        </w:rPr>
      </w:pPr>
      <w:r>
        <w:rPr>
          <w:rFonts w:ascii="Courier New" w:cs="Courier New" w:eastAsia="Courier New" w:hAnsi="Courier New"/>
          <w:sz w:val="15"/>
          <w:szCs w:val="15"/>
          <w:color w:val="auto"/>
        </w:rPr>
        <w:t>1,998</w:t>
      </w:r>
    </w:p>
    <w:p>
      <w:pPr>
        <w:ind w:left="3400"/>
        <w:spacing w:after="0" w:line="238" w:lineRule="auto"/>
        <w:rPr>
          <w:sz w:val="20"/>
          <w:szCs w:val="20"/>
          <w:color w:val="auto"/>
        </w:rPr>
      </w:pPr>
      <w:r>
        <w:rPr>
          <w:rFonts w:ascii="Courier New" w:cs="Courier New" w:eastAsia="Courier New" w:hAnsi="Courier New"/>
          <w:sz w:val="15"/>
          <w:szCs w:val="15"/>
          <w:color w:val="auto"/>
        </w:rPr>
        <w:t>126</w:t>
      </w:r>
    </w:p>
    <w:p>
      <w:pPr>
        <w:ind w:left="3500"/>
        <w:spacing w:after="0"/>
        <w:rPr>
          <w:sz w:val="20"/>
          <w:szCs w:val="20"/>
          <w:color w:val="auto"/>
        </w:rPr>
      </w:pPr>
      <w:r>
        <w:rPr>
          <w:rFonts w:ascii="Courier New" w:cs="Courier New" w:eastAsia="Courier New" w:hAnsi="Courier New"/>
          <w:sz w:val="15"/>
          <w:szCs w:val="15"/>
          <w:color w:val="auto"/>
        </w:rPr>
        <w:t>903</w:t>
      </w:r>
    </w:p>
    <w:p>
      <w:pPr>
        <w:ind w:left="2880"/>
        <w:spacing w:after="0"/>
        <w:rPr>
          <w:sz w:val="20"/>
          <w:szCs w:val="20"/>
          <w:color w:val="auto"/>
        </w:rPr>
      </w:pPr>
      <w:r>
        <w:rPr>
          <w:rFonts w:ascii="Courier New" w:cs="Courier New" w:eastAsia="Courier New" w:hAnsi="Courier New"/>
          <w:sz w:val="15"/>
          <w:szCs w:val="15"/>
          <w:color w:val="auto"/>
        </w:rPr>
        <w:t>5,199</w:t>
      </w:r>
    </w:p>
    <w:p>
      <w:pPr>
        <w:ind w:left="3760"/>
        <w:spacing w:after="0"/>
        <w:rPr>
          <w:sz w:val="20"/>
          <w:szCs w:val="20"/>
          <w:color w:val="auto"/>
        </w:rPr>
      </w:pPr>
      <w:r>
        <w:rPr>
          <w:rFonts w:ascii="Courier New" w:cs="Courier New" w:eastAsia="Courier New" w:hAnsi="Courier New"/>
          <w:sz w:val="15"/>
          <w:szCs w:val="15"/>
          <w:color w:val="auto"/>
        </w:rPr>
        <w:t>3,975</w:t>
      </w:r>
    </w:p>
    <w:p>
      <w:pPr>
        <w:jc w:val="right"/>
        <w:ind w:right="6699"/>
        <w:spacing w:after="0" w:line="238" w:lineRule="auto"/>
        <w:rPr>
          <w:sz w:val="20"/>
          <w:szCs w:val="20"/>
          <w:color w:val="auto"/>
        </w:rPr>
      </w:pPr>
      <w:r>
        <w:rPr>
          <w:rFonts w:ascii="Courier New" w:cs="Courier New" w:eastAsia="Courier New" w:hAnsi="Courier New"/>
          <w:sz w:val="15"/>
          <w:szCs w:val="15"/>
          <w:color w:val="auto"/>
        </w:rPr>
        <w:t>757</w:t>
      </w:r>
    </w:p>
    <w:p>
      <w:pPr>
        <w:jc w:val="right"/>
        <w:ind w:right="6699"/>
        <w:spacing w:after="0"/>
        <w:rPr>
          <w:sz w:val="20"/>
          <w:szCs w:val="20"/>
          <w:color w:val="auto"/>
        </w:rPr>
      </w:pPr>
      <w:r>
        <w:rPr>
          <w:rFonts w:ascii="Courier New" w:cs="Courier New" w:eastAsia="Courier New" w:hAnsi="Courier New"/>
          <w:sz w:val="15"/>
          <w:szCs w:val="15"/>
          <w:color w:val="auto"/>
        </w:rPr>
        <w:t>29,026</w:t>
      </w:r>
    </w:p>
    <w:p>
      <w:pPr>
        <w:ind w:left="2440"/>
        <w:spacing w:after="0"/>
        <w:rPr>
          <w:sz w:val="20"/>
          <w:szCs w:val="20"/>
          <w:color w:val="auto"/>
        </w:rPr>
      </w:pPr>
      <w:r>
        <w:rPr>
          <w:rFonts w:ascii="Courier New" w:cs="Courier New" w:eastAsia="Courier New" w:hAnsi="Courier New"/>
          <w:sz w:val="15"/>
          <w:szCs w:val="15"/>
          <w:color w:val="auto"/>
        </w:rPr>
        <w:t>4,099</w:t>
      </w:r>
    </w:p>
    <w:p>
      <w:pPr>
        <w:ind w:left="3580"/>
        <w:spacing w:after="0" w:line="238" w:lineRule="auto"/>
        <w:rPr>
          <w:sz w:val="20"/>
          <w:szCs w:val="20"/>
          <w:color w:val="auto"/>
        </w:rPr>
      </w:pPr>
      <w:r>
        <w:rPr>
          <w:rFonts w:ascii="Courier New" w:cs="Courier New" w:eastAsia="Courier New" w:hAnsi="Courier New"/>
          <w:sz w:val="15"/>
          <w:szCs w:val="15"/>
          <w:color w:val="auto"/>
        </w:rPr>
        <w:t>10,712</w:t>
      </w:r>
    </w:p>
    <w:p>
      <w:pPr>
        <w:ind w:left="2800"/>
        <w:spacing w:after="0"/>
        <w:rPr>
          <w:sz w:val="20"/>
          <w:szCs w:val="20"/>
          <w:color w:val="auto"/>
        </w:rPr>
      </w:pPr>
      <w:r>
        <w:rPr>
          <w:rFonts w:ascii="Courier New" w:cs="Courier New" w:eastAsia="Courier New" w:hAnsi="Courier New"/>
          <w:sz w:val="15"/>
          <w:szCs w:val="15"/>
          <w:color w:val="auto"/>
        </w:rPr>
        <w:t>0</w:t>
      </w:r>
    </w:p>
    <w:p>
      <w:pPr>
        <w:ind w:left="3320"/>
        <w:spacing w:after="0"/>
        <w:rPr>
          <w:sz w:val="20"/>
          <w:szCs w:val="20"/>
          <w:color w:val="auto"/>
        </w:rPr>
      </w:pPr>
      <w:r>
        <w:rPr>
          <w:rFonts w:ascii="Courier New" w:cs="Courier New" w:eastAsia="Courier New" w:hAnsi="Courier New"/>
          <w:sz w:val="15"/>
          <w:szCs w:val="15"/>
          <w:color w:val="auto"/>
        </w:rPr>
        <w:t>1,200</w:t>
      </w:r>
    </w:p>
    <w:p>
      <w:pPr>
        <w:ind w:left="3940"/>
        <w:spacing w:after="0"/>
        <w:rPr>
          <w:sz w:val="20"/>
          <w:szCs w:val="20"/>
          <w:color w:val="auto"/>
        </w:rPr>
      </w:pPr>
      <w:r>
        <w:rPr>
          <w:rFonts w:ascii="Courier New" w:cs="Courier New" w:eastAsia="Courier New" w:hAnsi="Courier New"/>
          <w:sz w:val="15"/>
          <w:szCs w:val="15"/>
          <w:color w:val="auto"/>
        </w:rPr>
        <w:t>4</w:t>
      </w:r>
    </w:p>
    <w:p>
      <w:pPr>
        <w:ind w:left="3320"/>
        <w:spacing w:after="0" w:line="238" w:lineRule="auto"/>
        <w:rPr>
          <w:sz w:val="20"/>
          <w:szCs w:val="20"/>
          <w:color w:val="auto"/>
        </w:rPr>
      </w:pPr>
      <w:r>
        <w:rPr>
          <w:rFonts w:ascii="Courier New" w:cs="Courier New" w:eastAsia="Courier New" w:hAnsi="Courier New"/>
          <w:sz w:val="15"/>
          <w:szCs w:val="15"/>
          <w:color w:val="auto"/>
        </w:rPr>
        <w:t>10,890</w:t>
      </w:r>
    </w:p>
    <w:p>
      <w:pPr>
        <w:ind w:left="1740"/>
        <w:spacing w:after="0"/>
        <w:rPr>
          <w:sz w:val="20"/>
          <w:szCs w:val="20"/>
          <w:color w:val="auto"/>
        </w:rPr>
      </w:pPr>
      <w:r>
        <w:rPr>
          <w:rFonts w:ascii="Courier New" w:cs="Courier New" w:eastAsia="Courier New" w:hAnsi="Courier New"/>
          <w:sz w:val="15"/>
          <w:szCs w:val="15"/>
          <w:color w:val="auto"/>
        </w:rPr>
        <w:t>29,026</w:t>
      </w:r>
    </w:p>
    <w:p>
      <w:pPr>
        <w:ind w:left="3580"/>
        <w:spacing w:after="0"/>
        <w:rPr>
          <w:sz w:val="20"/>
          <w:szCs w:val="20"/>
          <w:color w:val="auto"/>
        </w:rPr>
      </w:pPr>
      <w:r>
        <w:rPr>
          <w:rFonts w:ascii="Courier New" w:cs="Courier New" w:eastAsia="Courier New" w:hAnsi="Courier New"/>
          <w:sz w:val="15"/>
          <w:szCs w:val="15"/>
          <w:color w:val="auto"/>
        </w:rPr>
        <w:t>11,689</w:t>
      </w:r>
    </w:p>
    <w:p>
      <w:pPr>
        <w:ind w:left="2800"/>
        <w:spacing w:after="0" w:line="238" w:lineRule="auto"/>
        <w:rPr>
          <w:sz w:val="20"/>
          <w:szCs w:val="20"/>
          <w:color w:val="auto"/>
        </w:rPr>
      </w:pPr>
      <w:r>
        <w:rPr>
          <w:rFonts w:ascii="Courier New" w:cs="Courier New" w:eastAsia="Courier New" w:hAnsi="Courier New"/>
          <w:sz w:val="15"/>
          <w:szCs w:val="15"/>
          <w:color w:val="auto"/>
        </w:rPr>
        <w:t>11,689</w:t>
      </w:r>
    </w:p>
    <w:p>
      <w:pPr>
        <w:ind w:left="3840"/>
        <w:spacing w:after="0"/>
        <w:rPr>
          <w:sz w:val="20"/>
          <w:szCs w:val="20"/>
          <w:color w:val="auto"/>
        </w:rPr>
      </w:pPr>
      <w:r>
        <w:rPr>
          <w:rFonts w:ascii="Courier New" w:cs="Courier New" w:eastAsia="Courier New" w:hAnsi="Courier New"/>
          <w:sz w:val="15"/>
          <w:szCs w:val="15"/>
          <w:color w:val="auto"/>
        </w:rPr>
        <w:t>7,073</w:t>
      </w:r>
    </w:p>
    <w:p>
      <w:pPr>
        <w:ind w:left="3060"/>
        <w:spacing w:after="0"/>
        <w:rPr>
          <w:sz w:val="20"/>
          <w:szCs w:val="20"/>
          <w:color w:val="auto"/>
        </w:rPr>
      </w:pPr>
      <w:r>
        <w:rPr>
          <w:rFonts w:ascii="Courier New" w:cs="Courier New" w:eastAsia="Courier New" w:hAnsi="Courier New"/>
          <w:sz w:val="15"/>
          <w:szCs w:val="15"/>
          <w:color w:val="auto"/>
        </w:rPr>
        <w:t>10,195</w:t>
      </w:r>
    </w:p>
    <w:p>
      <w:pPr>
        <w:ind w:left="3240"/>
        <w:spacing w:after="0"/>
        <w:rPr>
          <w:sz w:val="20"/>
          <w:szCs w:val="20"/>
          <w:color w:val="auto"/>
        </w:rPr>
      </w:pPr>
      <w:r>
        <w:rPr>
          <w:rFonts w:ascii="Courier New" w:cs="Courier New" w:eastAsia="Courier New" w:hAnsi="Courier New"/>
          <w:sz w:val="15"/>
          <w:szCs w:val="15"/>
          <w:color w:val="auto"/>
        </w:rPr>
        <w:t>0</w:t>
      </w:r>
    </w:p>
    <w:p>
      <w:pPr>
        <w:ind w:left="3240"/>
        <w:spacing w:after="0" w:line="238" w:lineRule="auto"/>
        <w:rPr>
          <w:sz w:val="20"/>
          <w:szCs w:val="20"/>
          <w:color w:val="auto"/>
        </w:rPr>
      </w:pPr>
      <w:r>
        <w:rPr>
          <w:rFonts w:ascii="Courier New" w:cs="Courier New" w:eastAsia="Courier New" w:hAnsi="Courier New"/>
          <w:sz w:val="15"/>
          <w:szCs w:val="15"/>
          <w:color w:val="auto"/>
        </w:rPr>
        <w:t>0</w:t>
      </w:r>
    </w:p>
    <w:p>
      <w:pPr>
        <w:ind w:left="2880"/>
        <w:spacing w:after="0"/>
        <w:rPr>
          <w:sz w:val="20"/>
          <w:szCs w:val="20"/>
          <w:color w:val="auto"/>
        </w:rPr>
      </w:pPr>
      <w:r>
        <w:rPr>
          <w:rFonts w:ascii="Courier New" w:cs="Courier New" w:eastAsia="Courier New" w:hAnsi="Courier New"/>
          <w:sz w:val="15"/>
          <w:szCs w:val="15"/>
          <w:color w:val="auto"/>
        </w:rPr>
        <w:t>821</w:t>
      </w:r>
    </w:p>
    <w:p>
      <w:pPr>
        <w:ind w:left="3140"/>
        <w:spacing w:after="0"/>
        <w:rPr>
          <w:sz w:val="20"/>
          <w:szCs w:val="20"/>
          <w:color w:val="auto"/>
        </w:rPr>
      </w:pPr>
      <w:r>
        <w:rPr>
          <w:rFonts w:ascii="Courier New" w:cs="Courier New" w:eastAsia="Courier New" w:hAnsi="Courier New"/>
          <w:sz w:val="15"/>
          <w:szCs w:val="15"/>
          <w:color w:val="auto"/>
        </w:rPr>
        <w:t>689</w:t>
      </w:r>
    </w:p>
    <w:p>
      <w:pPr>
        <w:ind w:left="3400"/>
        <w:spacing w:after="0" w:line="238" w:lineRule="auto"/>
        <w:rPr>
          <w:sz w:val="20"/>
          <w:szCs w:val="20"/>
          <w:color w:val="auto"/>
        </w:rPr>
      </w:pPr>
      <w:r>
        <w:rPr>
          <w:rFonts w:ascii="Courier New" w:cs="Courier New" w:eastAsia="Courier New" w:hAnsi="Courier New"/>
          <w:sz w:val="15"/>
          <w:szCs w:val="15"/>
          <w:color w:val="auto"/>
        </w:rPr>
        <w:t>417</w:t>
      </w:r>
    </w:p>
    <w:p>
      <w:pPr>
        <w:ind w:left="2800"/>
        <w:spacing w:after="0"/>
        <w:rPr>
          <w:sz w:val="20"/>
          <w:szCs w:val="20"/>
          <w:color w:val="auto"/>
        </w:rPr>
      </w:pPr>
      <w:r>
        <w:rPr>
          <w:rFonts w:ascii="Courier New" w:cs="Courier New" w:eastAsia="Courier New" w:hAnsi="Courier New"/>
          <w:sz w:val="15"/>
          <w:szCs w:val="15"/>
          <w:color w:val="auto"/>
        </w:rPr>
        <w:t>215</w:t>
      </w:r>
    </w:p>
    <w:p>
      <w:pPr>
        <w:ind w:left="3400"/>
        <w:spacing w:after="0"/>
        <w:rPr>
          <w:sz w:val="20"/>
          <w:szCs w:val="20"/>
          <w:color w:val="auto"/>
        </w:rPr>
      </w:pPr>
      <w:r>
        <w:rPr>
          <w:rFonts w:ascii="Courier New" w:cs="Courier New" w:eastAsia="Courier New" w:hAnsi="Courier New"/>
          <w:sz w:val="15"/>
          <w:szCs w:val="15"/>
          <w:color w:val="auto"/>
        </w:rPr>
        <w:t>8</w:t>
      </w:r>
    </w:p>
    <w:p>
      <w:pPr>
        <w:ind w:left="3320"/>
        <w:spacing w:after="0" w:line="238" w:lineRule="auto"/>
        <w:rPr>
          <w:sz w:val="20"/>
          <w:szCs w:val="20"/>
          <w:color w:val="auto"/>
        </w:rPr>
      </w:pPr>
      <w:r>
        <w:rPr>
          <w:rFonts w:ascii="Courier New" w:cs="Courier New" w:eastAsia="Courier New" w:hAnsi="Courier New"/>
          <w:sz w:val="15"/>
          <w:szCs w:val="15"/>
          <w:color w:val="auto"/>
        </w:rPr>
        <w:t>0</w:t>
      </w:r>
    </w:p>
    <w:p>
      <w:pPr>
        <w:ind w:left="3840"/>
        <w:spacing w:after="0"/>
        <w:rPr>
          <w:sz w:val="20"/>
          <w:szCs w:val="20"/>
          <w:color w:val="auto"/>
        </w:rPr>
      </w:pPr>
      <w:r>
        <w:rPr>
          <w:rFonts w:ascii="Courier New" w:cs="Courier New" w:eastAsia="Courier New" w:hAnsi="Courier New"/>
          <w:sz w:val="15"/>
          <w:szCs w:val="15"/>
          <w:color w:val="auto"/>
        </w:rPr>
        <w:t>0</w:t>
      </w:r>
    </w:p>
    <w:p>
      <w:pPr>
        <w:ind w:left="3400"/>
        <w:spacing w:after="0"/>
        <w:rPr>
          <w:sz w:val="20"/>
          <w:szCs w:val="20"/>
          <w:color w:val="auto"/>
        </w:rPr>
      </w:pPr>
      <w:r>
        <w:rPr>
          <w:rFonts w:ascii="Courier New" w:cs="Courier New" w:eastAsia="Courier New" w:hAnsi="Courier New"/>
          <w:sz w:val="15"/>
          <w:szCs w:val="15"/>
          <w:color w:val="auto"/>
        </w:rPr>
        <w:t>163</w:t>
      </w:r>
    </w:p>
    <w:p>
      <w:pPr>
        <w:ind w:left="3240"/>
        <w:spacing w:after="0"/>
        <w:rPr>
          <w:sz w:val="20"/>
          <w:szCs w:val="20"/>
          <w:color w:val="auto"/>
        </w:rPr>
      </w:pPr>
      <w:r>
        <w:rPr>
          <w:rFonts w:ascii="Courier New" w:cs="Courier New" w:eastAsia="Courier New" w:hAnsi="Courier New"/>
          <w:sz w:val="15"/>
          <w:szCs w:val="15"/>
          <w:color w:val="auto"/>
        </w:rPr>
        <w:t>0.43</w:t>
      </w:r>
    </w:p>
    <w:p>
      <w:pPr>
        <w:ind w:left="3240"/>
        <w:spacing w:after="0" w:line="238" w:lineRule="auto"/>
        <w:rPr>
          <w:sz w:val="20"/>
          <w:szCs w:val="20"/>
          <w:color w:val="auto"/>
        </w:rPr>
      </w:pPr>
      <w:r>
        <w:rPr>
          <w:rFonts w:ascii="Courier New" w:cs="Courier New" w:eastAsia="Courier New" w:hAnsi="Courier New"/>
          <w:sz w:val="15"/>
          <w:szCs w:val="15"/>
          <w:color w:val="auto"/>
        </w:rPr>
        <w:t>0.43</w:t>
      </w:r>
    </w:p>
    <w:sectPr>
      <w:pgSz w:w="11900" w:h="16838" w:orient="portrait"/>
      <w:cols w:equalWidth="0" w:num="1">
        <w:col w:w="10199"/>
      </w:cols>
      <w:pgMar w:left="260" w:top="4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A5F7029"/>
    <w:multiLevelType w:val="hybridMultilevel"/>
    <w:lvl w:ilvl="0">
      <w:lvlJc w:val="left"/>
      <w:lvlText w:val="&amp;"/>
      <w:numFmt w:val="bullet"/>
      <w:start w:val="1"/>
    </w:lvl>
  </w:abstractNum>
  <w:abstractNum w:abstractNumId="1">
    <w:nsid w:val="7D5E18F8"/>
    <w:multiLevelType w:val="hybridMultilevel"/>
    <w:lvl w:ilvl="0">
      <w:lvlJc w:val="left"/>
      <w:lvlText w:val="&amp;"/>
      <w:numFmt w:val="bullet"/>
      <w:start w:val="1"/>
    </w:lvl>
  </w:abstractNum>
  <w:abstractNum w:abstractNumId="2">
    <w:nsid w:val="5F3534A4"/>
    <w:multiLevelType w:val="hybridMultilevel"/>
    <w:lvl w:ilvl="0">
      <w:lvlJc w:val="left"/>
      <w:lvlText w:val="(%1)"/>
      <w:numFmt w:val="decimal"/>
      <w:start w:val="1"/>
    </w:lvl>
  </w:abstractNum>
  <w:abstractNum w:abstractNumId="3">
    <w:nsid w:val="73A1821B"/>
    <w:multiLevelType w:val="hybridMultilevel"/>
    <w:lvl w:ilvl="0">
      <w:lvlJc w:val="left"/>
      <w:lvlText w:val="(%1)"/>
      <w:numFmt w:val="lowerLetter"/>
      <w:start w:val="1"/>
    </w:lvl>
  </w:abstractNum>
  <w:abstractNum w:abstractNumId="4">
    <w:nsid w:val="7DE67713"/>
    <w:multiLevelType w:val="hybridMultilevel"/>
    <w:lvl w:ilvl="0">
      <w:lvlJc w:val="left"/>
      <w:lvlText w:val="(%1)"/>
      <w:numFmt w:val="lowerLetter"/>
      <w:start w:val="1"/>
    </w:lvl>
  </w:abstractNum>
  <w:abstractNum w:abstractNumId="5">
    <w:nsid w:val="555C55B5"/>
    <w:multiLevelType w:val="hybridMultilevel"/>
    <w:lvl w:ilvl="0">
      <w:lvlJc w:val="left"/>
      <w:lvlText w:val="-"/>
      <w:numFmt w:val="bullet"/>
      <w:start w:val="1"/>
    </w:lvl>
  </w:abstractNum>
  <w:abstractNum w:abstractNumId="6">
    <w:nsid w:val="3FA62ACA"/>
    <w:multiLevelType w:val="hybridMultilevel"/>
    <w:lvl w:ilvl="0">
      <w:lvlJc w:val="left"/>
      <w:lvlText w:val="-"/>
      <w:numFmt w:val="bullet"/>
      <w:start w:val="1"/>
    </w:lvl>
  </w:abstractNum>
  <w:abstractNum w:abstractNumId="7">
    <w:nsid w:val="14FCE74E"/>
    <w:multiLevelType w:val="hybridMultilevel"/>
    <w:lvl w:ilvl="0">
      <w:lvlJc w:val="left"/>
      <w:lvlText w:val="%1)"/>
      <w:numFmt w:val="decimal"/>
      <w:start w:val="1"/>
    </w:lvl>
  </w:abstractNum>
  <w:abstractNum w:abstractNumId="8">
    <w:nsid w:val="6A3DD3E8"/>
    <w:multiLevelType w:val="hybridMultilevel"/>
    <w:lvl w:ilvl="0">
      <w:lvlJc w:val="left"/>
      <w:lvlText w:val="%1)"/>
      <w:numFmt w:val="decimal"/>
      <w:start w:val="2"/>
    </w:lvl>
  </w:abstractNum>
  <w:abstractNum w:abstractNumId="9">
    <w:nsid w:val="71C91298"/>
    <w:multiLevelType w:val="hybridMultilevel"/>
    <w:lvl w:ilvl="0">
      <w:lvlJc w:val="left"/>
      <w:lvlText w:val="(%1)"/>
      <w:numFmt w:val="decimal"/>
      <w:start w:val="1"/>
    </w:lvl>
  </w:abstractNum>
  <w:abstractNum w:abstractNumId="10">
    <w:nsid w:val="9DAF632"/>
    <w:multiLevelType w:val="hybridMultilevel"/>
    <w:lvl w:ilvl="0">
      <w:lvlJc w:val="left"/>
      <w:lvlText w:val="*"/>
      <w:numFmt w:val="bullet"/>
      <w:start w:val="1"/>
    </w:lvl>
    <w:lvl w:ilvl="1">
      <w:lvlJc w:val="left"/>
      <w:lvlText w:val="(%2)"/>
      <w:numFmt w:val="lowerLetter"/>
      <w:start w:val="1"/>
    </w:lvl>
  </w:abstractNum>
  <w:abstractNum w:abstractNumId="11">
    <w:nsid w:val="53299938"/>
    <w:multiLevelType w:val="hybridMultilevel"/>
    <w:lvl w:ilvl="0">
      <w:lvlJc w:val="left"/>
      <w:lvlText w:val="(%1)"/>
      <w:numFmt w:val="lowerRoman"/>
      <w:start w:val="2"/>
    </w:lvl>
  </w:abstractNum>
  <w:abstractNum w:abstractNumId="12">
    <w:nsid w:val="1FBFE8E0"/>
    <w:multiLevelType w:val="hybridMultilevel"/>
    <w:lvl w:ilvl="0">
      <w:lvlJc w:val="left"/>
      <w:lvlText w:val="(%1)"/>
      <w:numFmt w:val="lowerLetter"/>
      <w:start w:val="2"/>
    </w:lvl>
  </w:abstractNum>
  <w:abstractNum w:abstractNumId="13">
    <w:nsid w:val="5092CA79"/>
    <w:multiLevelType w:val="hybridMultilevel"/>
    <w:lvl w:ilvl="0">
      <w:lvlJc w:val="left"/>
      <w:lvlText w:val="(%1)"/>
      <w:numFmt w:val="lowerLetter"/>
      <w:start w:val="4"/>
    </w:lvl>
  </w:abstractNum>
  <w:abstractNum w:abstractNumId="14">
    <w:nsid w:val="1D545C4D"/>
    <w:multiLevelType w:val="hybridMultilevel"/>
    <w:lvl w:ilvl="0">
      <w:lvlJc w:val="left"/>
      <w:lvlText w:val="%1)"/>
      <w:numFmt w:val="decimal"/>
      <w:start w:val="11"/>
    </w:lvl>
  </w:abstractNum>
  <w:abstractNum w:abstractNumId="15">
    <w:nsid w:val="59ADEA3D"/>
    <w:multiLevelType w:val="hybridMultilevel"/>
    <w:lvl w:ilvl="0">
      <w:lvlJc w:val="left"/>
      <w:lvlText w:val="(%1)"/>
      <w:numFmt w:val="decimal"/>
      <w:start w:val="1"/>
    </w:lvl>
  </w:abstractNum>
  <w:abstractNum w:abstractNumId="16">
    <w:nsid w:val="288F1A34"/>
    <w:multiLevelType w:val="hybridMultilevel"/>
    <w:lvl w:ilvl="0">
      <w:lvlJc w:val="left"/>
      <w:lvlText w:val="(%1)"/>
      <w:numFmt w:val="lowerLetter"/>
      <w:start w:val="1"/>
    </w:lvl>
  </w:abstractNum>
  <w:abstractNum w:abstractNumId="17">
    <w:nsid w:val="2A155DBC"/>
    <w:multiLevelType w:val="hybridMultilevel"/>
    <w:lvl w:ilvl="0">
      <w:lvlJc w:val="left"/>
      <w:lvlText w:val="(%1)"/>
      <w:numFmt w:val="lowerLetter"/>
      <w:start w:val="3"/>
    </w:lvl>
  </w:abstractNum>
  <w:abstractNum w:abstractNumId="18">
    <w:nsid w:val="1D9F6E5F"/>
    <w:multiLevelType w:val="hybridMultilevel"/>
    <w:lvl w:ilvl="0">
      <w:lvlJc w:val="left"/>
      <w:lvlText w:val="-"/>
      <w:numFmt w:val="bullet"/>
      <w:start w:val="1"/>
    </w:lvl>
  </w:abstractNum>
  <w:abstractNum w:abstractNumId="19">
    <w:nsid w:val="97E1B4E"/>
    <w:multiLevelType w:val="hybridMultilevel"/>
    <w:lvl w:ilvl="0">
      <w:lvlJc w:val="left"/>
      <w:lvlText w:val="-"/>
      <w:numFmt w:val="bullet"/>
      <w:start w:val="1"/>
    </w:lvl>
  </w:abstractNum>
  <w:abstractNum w:abstractNumId="20">
    <w:nsid w:val="51088277"/>
    <w:multiLevelType w:val="hybridMultilevel"/>
    <w:lvl w:ilvl="0">
      <w:lvlJc w:val="left"/>
      <w:lvlText w:val="-"/>
      <w:numFmt w:val="bullet"/>
      <w:start w:val="1"/>
    </w:lvl>
  </w:abstractNum>
  <w:abstractNum w:abstractNumId="21">
    <w:nsid w:val="1CA0C5FA"/>
    <w:multiLevelType w:val="hybridMultilevel"/>
    <w:lvl w:ilvl="0">
      <w:lvlJc w:val="left"/>
      <w:lvlText w:val="(%1)"/>
      <w:numFmt w:val="decimal"/>
      <w:start w:val="2"/>
    </w:lvl>
    <w:lvl w:ilvl="1">
      <w:lvlJc w:val="left"/>
      <w:lvlText w:val="(%2)"/>
      <w:numFmt w:val="lowerLetter"/>
      <w:start w:val="1"/>
    </w:lvl>
  </w:abstractNum>
  <w:abstractNum w:abstractNumId="22">
    <w:nsid w:val="53584BCB"/>
    <w:multiLevelType w:val="hybridMultilevel"/>
    <w:lvl w:ilvl="0">
      <w:lvlJc w:val="left"/>
      <w:lvlText w:val="(%1)"/>
      <w:numFmt w:val="lowerLetter"/>
      <w:start w:val="2"/>
    </w:lvl>
  </w:abstractNum>
  <w:abstractNum w:abstractNumId="23">
    <w:nsid w:val="415E286C"/>
    <w:multiLevelType w:val="hybridMultilevel"/>
    <w:lvl w:ilvl="0">
      <w:lvlJc w:val="left"/>
      <w:lvlText w:val="%1"/>
      <w:numFmt w:val="decimal"/>
      <w:start w:val="1"/>
    </w:lvl>
    <w:lvl w:ilvl="1">
      <w:lvlJc w:val="left"/>
      <w:lvlText w:val="(%2)"/>
      <w:numFmt w:val="lowerLetter"/>
      <w:start w:val="8"/>
    </w:lvl>
  </w:abstractNum>
  <w:abstractNum w:abstractNumId="24">
    <w:nsid w:val="7C58FD05"/>
    <w:multiLevelType w:val="hybridMultilevel"/>
    <w:lvl w:ilvl="0">
      <w:lvlJc w:val="left"/>
      <w:lvlText w:val="(%1)"/>
      <w:numFmt w:val="decimal"/>
      <w:start w:val="10"/>
    </w:lvl>
    <w:lvl w:ilvl="1">
      <w:lvlJc w:val="left"/>
      <w:lvlText w:val="(%2)"/>
      <w:numFmt w:val="lowerLetter"/>
      <w:start w:val="1"/>
    </w:lvl>
  </w:abstractNum>
  <w:abstractNum w:abstractNumId="25">
    <w:nsid w:val="23D86AAC"/>
    <w:multiLevelType w:val="hybridMultilevel"/>
    <w:lvl w:ilvl="0">
      <w:lvlJc w:val="left"/>
      <w:lvlText w:val="(%1)"/>
      <w:numFmt w:val="lowerLetter"/>
      <w:start w:val="11"/>
    </w:lvl>
  </w:abstractNum>
  <w:abstractNum w:abstractNumId="26">
    <w:nsid w:val="45E6D486"/>
    <w:multiLevelType w:val="hybridMultilevel"/>
    <w:lvl w:ilvl="0">
      <w:lvlJc w:val="left"/>
      <w:lvlText w:val="%1"/>
      <w:numFmt w:val="decimal"/>
      <w:start w:val="1"/>
    </w:lvl>
    <w:lvl w:ilvl="1">
      <w:lvlJc w:val="left"/>
      <w:lvlText w:val="(%2)"/>
      <w:numFmt w:val="lowerLetter"/>
      <w:start w:val="18"/>
    </w:lvl>
  </w:abstractNum>
  <w:abstractNum w:abstractNumId="27">
    <w:nsid w:val="5C10FE21"/>
    <w:multiLevelType w:val="hybridMultilevel"/>
    <w:lvl w:ilvl="0">
      <w:lvlJc w:val="left"/>
      <w:lvlText w:val="(%1)"/>
      <w:numFmt w:val="decimal"/>
      <w:start w:val="11"/>
    </w:lvl>
    <w:lvl w:ilvl="1">
      <w:lvlJc w:val="left"/>
      <w:lvlText w:val="%2"/>
      <w:numFmt w:val="lowerLetter"/>
      <w:start w:val="1"/>
    </w:lvl>
  </w:abstractNum>
  <w:abstractNum w:abstractNumId="28">
    <w:nsid w:val="E7FFA2B"/>
    <w:multiLevelType w:val="hybridMultilevel"/>
    <w:lvl w:ilvl="0">
      <w:lvlJc w:val="left"/>
      <w:lvlText w:val="(%1)"/>
      <w:numFmt w:val="decimal"/>
      <w:start w:val="21"/>
    </w:lvl>
  </w:abstractNum>
  <w:abstractNum w:abstractNumId="29">
    <w:nsid w:val="3C5991AA"/>
    <w:multiLevelType w:val="hybridMultilevel"/>
    <w:lvl w:ilvl="0">
      <w:lvlJc w:val="left"/>
      <w:lvlText w:val="(%1)"/>
      <w:numFmt w:val="decimal"/>
      <w:start w:val="23"/>
    </w:lvl>
    <w:lvl w:ilvl="1">
      <w:lvlJc w:val="left"/>
      <w:lvlText w:val="(%2)"/>
      <w:numFmt w:val="lowerLetter"/>
      <w:start w:val="1"/>
    </w:lvl>
  </w:abstractNum>
  <w:abstractNum w:abstractNumId="30">
    <w:nsid w:val="4BD8591A"/>
    <w:multiLevelType w:val="hybridMultilevel"/>
    <w:lvl w:ilvl="0">
      <w:lvlJc w:val="left"/>
      <w:lvlText w:val="(%1)"/>
      <w:numFmt w:val="upperLetter"/>
      <w:start w:val="1"/>
    </w:lvl>
  </w:abstractNum>
  <w:abstractNum w:abstractNumId="31">
    <w:nsid w:val="78DF6A55"/>
    <w:multiLevelType w:val="hybridMultilevel"/>
    <w:lvl w:ilvl="0">
      <w:lvlJc w:val="left"/>
      <w:lvlText w:val="(%1)"/>
      <w:numFmt w:val="lowerRoman"/>
      <w:start w:val="1"/>
    </w:lvl>
  </w:abstractNum>
  <w:abstractNum w:abstractNumId="32">
    <w:nsid w:val="39B7AAA2"/>
    <w:multiLevelType w:val="hybridMultilevel"/>
    <w:lvl w:ilvl="0">
      <w:lvlJc w:val="left"/>
      <w:lvlText w:val="%1"/>
      <w:numFmt w:val="lowerLetter"/>
      <w:start w:val="1"/>
    </w:lvl>
    <w:lvl w:ilvl="1">
      <w:lvlJc w:val="left"/>
      <w:lvlText w:val="(%2)"/>
      <w:numFmt w:val="lowerLetter"/>
      <w:start w:val="9"/>
    </w:lvl>
  </w:abstractNum>
  <w:abstractNum w:abstractNumId="33">
    <w:nsid w:val="2B0D8DBE"/>
    <w:multiLevelType w:val="hybridMultilevel"/>
    <w:lvl w:ilvl="0">
      <w:lvlJc w:val="left"/>
      <w:lvlText w:val="(%1)"/>
      <w:numFmt w:val="lowerLetter"/>
      <w:start w:val="25"/>
    </w:lvl>
    <w:lvl w:ilvl="1">
      <w:lvlJc w:val="left"/>
      <w:lvlText w:val="%2"/>
      <w:numFmt w:val="lowerLetter"/>
      <w:start w:val="1"/>
    </w:lvl>
  </w:abstractNum>
  <w:abstractNum w:abstractNumId="34">
    <w:nsid w:val="6C80EC70"/>
    <w:multiLevelType w:val="hybridMultilevel"/>
    <w:lvl w:ilvl="0">
      <w:lvlJc w:val="left"/>
      <w:lvlText w:val="%1"/>
      <w:numFmt w:val="lowerRoman"/>
      <w:start w:val="1"/>
    </w:lvl>
    <w:lvl w:ilvl="1">
      <w:lvlJc w:val="left"/>
      <w:lvlText w:val="(%2)"/>
      <w:numFmt w:val="lowerRoman"/>
      <w:start w:val="2"/>
    </w:lvl>
  </w:abstractNum>
  <w:abstractNum w:abstractNumId="35">
    <w:nsid w:val="379E21B5"/>
    <w:multiLevelType w:val="hybridMultilevel"/>
    <w:lvl w:ilvl="0">
      <w:lvlJc w:val="left"/>
      <w:lvlText w:val="(%1)"/>
      <w:numFmt w:val="lowerRoman"/>
      <w:start w:val="1"/>
    </w:lvl>
    <w:lvl w:ilvl="1">
      <w:lvlJc w:val="left"/>
      <w:lvlText w:val="%2"/>
      <w:numFmt w:val="lowerRoman"/>
      <w:start w:val="1"/>
    </w:lvl>
  </w:abstractNum>
  <w:abstractNum w:abstractNumId="36">
    <w:nsid w:val="69E373"/>
    <w:multiLevelType w:val="hybridMultilevel"/>
    <w:lvl w:ilvl="0">
      <w:lvlJc w:val="left"/>
      <w:lvlText w:val="(%1)"/>
      <w:numFmt w:val="lowerRoman"/>
      <w:start w:val="1"/>
    </w:lvl>
  </w:abstractNum>
  <w:abstractNum w:abstractNumId="37">
    <w:nsid w:val="2C27173B"/>
    <w:multiLevelType w:val="hybridMultilevel"/>
    <w:lvl w:ilvl="0">
      <w:lvlJc w:val="left"/>
      <w:lvlText w:val="&amp;"/>
      <w:numFmt w:val="bullet"/>
      <w:start w:val="1"/>
    </w:lvl>
  </w:abstractNum>
  <w:abstractNum w:abstractNumId="38">
    <w:nsid w:val="4C9B0904"/>
    <w:multiLevelType w:val="hybridMultilevel"/>
    <w:lvl w:ilvl="0">
      <w:lvlJc w:val="left"/>
      <w:lvlText w:val="(%1)"/>
      <w:numFmt w:val="lowerRoman"/>
      <w:start w:val="1"/>
    </w:lvl>
  </w:abstractNum>
  <w:abstractNum w:abstractNumId="39">
    <w:nsid w:val="6AA7B75C"/>
    <w:multiLevelType w:val="hybridMultilevel"/>
    <w:lvl w:ilvl="0">
      <w:lvlJc w:val="left"/>
      <w:lvlText w:val="(%1)"/>
      <w:numFmt w:val="lowerRoman"/>
      <w:start w:val="2"/>
    </w:lvl>
  </w:abstractNum>
  <w:abstractNum w:abstractNumId="40">
    <w:nsid w:val="1DF029D3"/>
    <w:multiLevelType w:val="hybridMultilevel"/>
    <w:lvl w:ilvl="0">
      <w:lvlJc w:val="left"/>
      <w:lvlText w:val="(%1)"/>
      <w:numFmt w:val="lowerLetter"/>
      <w:start w:val="2"/>
    </w:lvl>
  </w:abstractNum>
  <w:abstractNum w:abstractNumId="41">
    <w:nsid w:val="5675FF36"/>
    <w:multiLevelType w:val="hybridMultilevel"/>
    <w:lvl w:ilvl="0">
      <w:lvlJc w:val="left"/>
      <w:lvlText w:val="(%1)"/>
      <w:numFmt w:val="lowerLetter"/>
      <w:start w:val="4"/>
    </w:lvl>
  </w:abstractNum>
  <w:abstractNum w:abstractNumId="42">
    <w:nsid w:val="3DD15094"/>
    <w:multiLevelType w:val="hybridMultilevel"/>
    <w:lvl w:ilvl="0">
      <w:lvlJc w:val="left"/>
      <w:lvlText w:val="(%1)"/>
      <w:numFmt w:val="lowerLetter"/>
      <w:start w:val="5"/>
    </w:lvl>
  </w:abstractNum>
  <w:abstractNum w:abstractNumId="43">
    <w:nsid w:val="3DB012B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44">
    <w:nsid w:val="2708C9AF"/>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45">
    <w:nsid w:val="5B25ACE2"/>
    <w:multiLevelType w:val="hybridMultilevel"/>
    <w:lvl w:ilvl="0">
      <w:lvlJc w:val="left"/>
      <w:lvlText w:val="(%1)"/>
      <w:numFmt w:val="lowerLetter"/>
      <w:start w:val="6"/>
    </w:lvl>
    <w:lvl w:ilvl="1">
      <w:lvlJc w:val="left"/>
      <w:lvlText w:val="%2"/>
      <w:numFmt w:val="lowerLetter"/>
      <w:start w:val="1"/>
    </w:lvl>
    <w:lvl w:ilvl="2">
      <w:lvlJc w:val="left"/>
      <w:lvlText w:val="%3"/>
      <w:numFmt w:val="lowerLetter"/>
      <w:start w:val="1"/>
    </w:lvl>
  </w:abstractNum>
  <w:abstractNum w:abstractNumId="46">
    <w:nsid w:val="175DFCF0"/>
    <w:multiLevelType w:val="hybridMultilevel"/>
    <w:lvl w:ilvl="0">
      <w:lvlJc w:val="left"/>
      <w:lvlText w:val="(%1)"/>
      <w:numFmt w:val="lowerLetter"/>
      <w:start w:val="7"/>
    </w:lvl>
  </w:abstractNum>
  <w:abstractNum w:abstractNumId="47">
    <w:nsid w:val="4F97E3E4"/>
    <w:multiLevelType w:val="hybridMultilevel"/>
    <w:lvl w:ilvl="0">
      <w:lvlJc w:val="left"/>
      <w:lvlText w:val="(%1)"/>
      <w:numFmt w:val="lowerLetter"/>
      <w:start w:val="8"/>
    </w:lvl>
  </w:abstractNum>
  <w:abstractNum w:abstractNumId="48">
    <w:nsid w:val="53B0A9E"/>
    <w:multiLevelType w:val="hybridMultilevel"/>
    <w:lvl w:ilvl="0">
      <w:lvlJc w:val="left"/>
      <w:lvlText w:val="(%1)"/>
      <w:numFmt w:val="lowerLetter"/>
      <w:start w:val="9"/>
    </w:lvl>
  </w:abstractNum>
  <w:abstractNum w:abstractNumId="49">
    <w:nsid w:val="34FD6B4F"/>
    <w:multiLevelType w:val="hybridMultilevel"/>
    <w:lvl w:ilvl="0">
      <w:lvlJc w:val="left"/>
      <w:lvlText w:val="(%1)"/>
      <w:numFmt w:val="lowerLetter"/>
      <w:start w:val="11"/>
    </w:lvl>
  </w:abstractNum>
  <w:abstractNum w:abstractNumId="50">
    <w:nsid w:val="5915FF32"/>
    <w:multiLevelType w:val="hybridMultilevel"/>
    <w:lvl w:ilvl="0">
      <w:lvlJc w:val="left"/>
      <w:lvlText w:val="(%1)"/>
      <w:numFmt w:val="lowerLetter"/>
      <w:start w:val="2"/>
    </w:lvl>
  </w:abstractNum>
  <w:abstractNum w:abstractNumId="51">
    <w:nsid w:val="56438D15"/>
    <w:multiLevelType w:val="hybridMultilevel"/>
    <w:lvl w:ilvl="0">
      <w:lvlJc w:val="left"/>
      <w:lvlText w:val="-"/>
      <w:numFmt w:val="bullet"/>
      <w:start w:val="1"/>
    </w:lvl>
  </w:abstractNum>
  <w:abstractNum w:abstractNumId="52">
    <w:nsid w:val="519E3149"/>
    <w:multiLevelType w:val="hybridMultilevel"/>
    <w:lvl w:ilvl="0">
      <w:lvlJc w:val="left"/>
      <w:lvlText w:val="-"/>
      <w:numFmt w:val="bullet"/>
      <w:start w:val="1"/>
    </w:lvl>
  </w:abstractNum>
  <w:abstractNum w:abstractNumId="53">
    <w:nsid w:val="2C6E4AFD"/>
    <w:multiLevelType w:val="hybridMultilevel"/>
    <w:lvl w:ilvl="0">
      <w:lvlJc w:val="left"/>
      <w:lvlText w:val="(%1)"/>
      <w:numFmt w:val="lowerRoman"/>
      <w:start w:val="2"/>
    </w:lvl>
  </w:abstractNum>
  <w:abstractNum w:abstractNumId="54">
    <w:nsid w:val="17A1B582"/>
    <w:multiLevelType w:val="hybridMultilevel"/>
    <w:lvl w:ilvl="0">
      <w:lvlJc w:val="left"/>
      <w:lvlText w:val="(%1)"/>
      <w:numFmt w:val="lowerLetter"/>
      <w:start w:val="2"/>
    </w:lvl>
  </w:abstractNum>
  <w:abstractNum w:abstractNumId="55">
    <w:nsid w:val="4DF72E4E"/>
    <w:multiLevelType w:val="hybridMultilevel"/>
    <w:lvl w:ilvl="0">
      <w:lvlJc w:val="left"/>
      <w:lvlText w:val="(%1)"/>
      <w:numFmt w:val="lowerLetter"/>
      <w:start w:val="4"/>
    </w:lvl>
  </w:abstractNum>
  <w:abstractNum w:abstractNumId="56">
    <w:nsid w:val="5046B5A9"/>
    <w:multiLevelType w:val="hybridMultilevel"/>
    <w:lvl w:ilvl="0">
      <w:lvlJc w:val="left"/>
      <w:lvlText w:val="(%1)"/>
      <w:numFmt w:val="lowerRoman"/>
      <w:start w:val="1"/>
    </w:lvl>
  </w:abstractNum>
  <w:abstractNum w:abstractNumId="57">
    <w:nsid w:val="5D888A08"/>
    <w:multiLevelType w:val="hybridMultilevel"/>
    <w:lvl w:ilvl="0">
      <w:lvlJc w:val="left"/>
      <w:lvlText w:val="(%1)"/>
      <w:numFmt w:val="lowerRoman"/>
      <w:start w:val="4"/>
    </w:lvl>
  </w:abstractNum>
  <w:abstractNum w:abstractNumId="58">
    <w:nsid w:val="2A082C70"/>
    <w:multiLevelType w:val="hybridMultilevel"/>
    <w:lvl w:ilvl="0">
      <w:lvlJc w:val="left"/>
      <w:lvlText w:val="%1"/>
      <w:numFmt w:val="lowerLetter"/>
      <w:start w:val="1"/>
    </w:lvl>
    <w:lvl w:ilvl="1">
      <w:lvlJc w:val="left"/>
      <w:lvlText w:val="(%2)"/>
      <w:numFmt w:val="lowerLetter"/>
      <w:start w:val="5"/>
    </w:lvl>
  </w:abstractNum>
  <w:abstractNum w:abstractNumId="59">
    <w:nsid w:val="5EC6AFD4"/>
    <w:multiLevelType w:val="hybridMultilevel"/>
    <w:lvl w:ilvl="0">
      <w:lvlJc w:val="left"/>
      <w:lvlText w:val="(%1)"/>
      <w:numFmt w:val="lowerLetter"/>
      <w:start w:val="1"/>
    </w:lvl>
    <w:lvl w:ilvl="1">
      <w:lvlJc w:val="left"/>
      <w:lvlText w:val="%2"/>
      <w:numFmt w:val="lowerLetter"/>
      <w:start w:val="1"/>
    </w:lvl>
  </w:abstractNum>
  <w:abstractNum w:abstractNumId="60">
    <w:nsid w:val="19E21BB2"/>
    <w:multiLevelType w:val="hybridMultilevel"/>
    <w:lvl w:ilvl="0">
      <w:lvlJc w:val="left"/>
      <w:lvlText w:val="(%1)"/>
      <w:numFmt w:val="lowerLetter"/>
      <w:start w:val="6"/>
    </w:lvl>
  </w:abstractNum>
  <w:abstractNum w:abstractNumId="61">
    <w:nsid w:val="75E0858A"/>
    <w:multiLevelType w:val="hybridMultilevel"/>
    <w:lvl w:ilvl="0">
      <w:lvlJc w:val="left"/>
      <w:lvlText w:val="(%1)"/>
      <w:numFmt w:val="lowerLetter"/>
      <w:start w:val="7"/>
    </w:lvl>
  </w:abstractNum>
  <w:abstractNum w:abstractNumId="62">
    <w:nsid w:val="57A61A29"/>
    <w:multiLevelType w:val="hybridMultilevel"/>
    <w:lvl w:ilvl="0">
      <w:lvlJc w:val="left"/>
      <w:lvlText w:val="(%1)"/>
      <w:numFmt w:val="lowerLetter"/>
      <w:start w:val="2"/>
    </w:lvl>
  </w:abstractNum>
  <w:abstractNum w:abstractNumId="63">
    <w:nsid w:val="5399C654"/>
    <w:multiLevelType w:val="hybridMultilevel"/>
    <w:lvl w:ilvl="0">
      <w:lvlJc w:val="left"/>
      <w:lvlText w:val="&amp;"/>
      <w:numFmt w:val="bullet"/>
      <w:start w:val="1"/>
    </w:lvl>
  </w:abstractNum>
  <w:abstractNum w:abstractNumId="64">
    <w:nsid w:val="20EE1348"/>
    <w:multiLevelType w:val="hybridMultilevel"/>
    <w:lvl w:ilvl="0">
      <w:lvlJc w:val="left"/>
      <w:lvlText w:val="(%1)"/>
      <w:numFmt w:val="lowerLetter"/>
      <w:start w:val="1"/>
    </w:lvl>
  </w:abstractNum>
  <w:abstractNum w:abstractNumId="65">
    <w:nsid w:val="4427069A"/>
    <w:multiLevelType w:val="hybridMultilevel"/>
    <w:lvl w:ilvl="0">
      <w:lvlJc w:val="left"/>
      <w:lvlText w:val="(%1)"/>
      <w:numFmt w:val="lowerLetter"/>
      <w:start w:val="2"/>
    </w:lvl>
  </w:abstractNum>
  <w:abstractNum w:abstractNumId="66">
    <w:nsid w:val="B37E80A"/>
    <w:multiLevelType w:val="hybridMultilevel"/>
    <w:lvl w:ilvl="0">
      <w:lvlJc w:val="left"/>
      <w:lvlText w:val="(%1)"/>
      <w:numFmt w:val="lowerLetter"/>
      <w:start w:val="3"/>
    </w:lvl>
  </w:abstractNum>
  <w:abstractNum w:abstractNumId="67">
    <w:nsid w:val="2157F6BC"/>
    <w:multiLevelType w:val="hybridMultilevel"/>
    <w:lvl w:ilvl="0">
      <w:lvlJc w:val="left"/>
      <w:lvlText w:val="(%1)"/>
      <w:numFmt w:val="lowerLetter"/>
      <w:start w:val="4"/>
    </w:lvl>
  </w:abstractNum>
  <w:abstractNum w:abstractNumId="68">
    <w:nsid w:val="704E1DD5"/>
    <w:multiLevelType w:val="hybridMultilevel"/>
    <w:lvl w:ilvl="0">
      <w:lvlJc w:val="left"/>
      <w:lvlText w:val="(%1)"/>
      <w:numFmt w:val="lowerLetter"/>
      <w:start w:val="5"/>
    </w:lvl>
  </w:abstractNum>
  <w:abstractNum w:abstractNumId="69">
    <w:nsid w:val="57D2F10E"/>
    <w:multiLevelType w:val="hybridMultilevel"/>
    <w:lvl w:ilvl="0">
      <w:lvlJc w:val="left"/>
      <w:lvlText w:val="(%1)"/>
      <w:numFmt w:val="lowerLetter"/>
      <w:start w:val="2"/>
    </w:lvl>
    <w:lvl w:ilvl="1">
      <w:lvlJc w:val="left"/>
      <w:lvlText w:val="(%2)"/>
      <w:numFmt w:val="lowerLetter"/>
      <w:start w:val="6"/>
    </w:lvl>
  </w:abstractNum>
  <w:abstractNum w:abstractNumId="70">
    <w:nsid w:val="BFFAE18"/>
    <w:multiLevelType w:val="hybridMultilevel"/>
    <w:lvl w:ilvl="0">
      <w:lvlJc w:val="left"/>
      <w:lvlText w:val="(%1)"/>
      <w:numFmt w:val="lowerLetter"/>
      <w:start w:val="1"/>
    </w:lvl>
  </w:abstractNum>
  <w:abstractNum w:abstractNumId="71">
    <w:nsid w:val="E3E47A8"/>
    <w:multiLevelType w:val="hybridMultilevel"/>
    <w:lvl w:ilvl="0">
      <w:lvlJc w:val="left"/>
      <w:lvlText w:val="(%1)"/>
      <w:numFmt w:val="lowerLetter"/>
      <w:start w:val="2"/>
    </w:lvl>
  </w:abstractNum>
  <w:abstractNum w:abstractNumId="72">
    <w:nsid w:val="2E48F044"/>
    <w:multiLevelType w:val="hybridMultilevel"/>
    <w:lvl w:ilvl="0">
      <w:lvlJc w:val="left"/>
      <w:lvlText w:val="(%1)"/>
      <w:numFmt w:val="lowerRoman"/>
      <w:start w:val="1"/>
    </w:lvl>
  </w:abstractNum>
  <w:abstractNum w:abstractNumId="73">
    <w:nsid w:val="49D0FEAC"/>
    <w:multiLevelType w:val="hybridMultilevel"/>
    <w:lvl w:ilvl="0">
      <w:lvlJc w:val="left"/>
      <w:lvlText w:val="&amp;"/>
      <w:numFmt w:val="bullet"/>
      <w:start w:val="1"/>
    </w:lvl>
  </w:abstractNum>
  <w:abstractNum w:abstractNumId="74">
    <w:nsid w:val="4BEE5A5B"/>
    <w:multiLevelType w:val="hybridMultilevel"/>
    <w:lvl w:ilvl="0">
      <w:lvlJc w:val="left"/>
      <w:lvlText w:val="%1."/>
      <w:numFmt w:val="decimal"/>
      <w:start w:val="1"/>
    </w:lvl>
  </w:abstractNum>
  <w:abstractNum w:abstractNumId="75">
    <w:nsid w:val="5551B9F3"/>
    <w:multiLevelType w:val="hybridMultilevel"/>
    <w:lvl w:ilvl="0">
      <w:lvlJc w:val="left"/>
      <w:lvlText w:val="(%1)"/>
      <w:numFmt w:val="lowerLetter"/>
      <w:start w:val="1"/>
    </w:lvl>
  </w:abstractNum>
  <w:abstractNum w:abstractNumId="76">
    <w:nsid w:val="24F6AB8E"/>
    <w:multiLevelType w:val="hybridMultilevel"/>
    <w:lvl w:ilvl="0">
      <w:lvlJc w:val="left"/>
      <w:lvlText w:val="(%1)"/>
      <w:numFmt w:val="lowerLetter"/>
      <w:start w:val="2"/>
    </w:lvl>
  </w:abstractNum>
  <w:abstractNum w:abstractNumId="77">
    <w:nsid w:val="634C574C"/>
    <w:multiLevelType w:val="hybridMultilevel"/>
    <w:lvl w:ilvl="0">
      <w:lvlJc w:val="left"/>
      <w:lvlText w:val="(%1)"/>
      <w:numFmt w:val="lowerLetter"/>
      <w:start w:val="2"/>
    </w:lvl>
  </w:abstractNum>
  <w:abstractNum w:abstractNumId="78">
    <w:nsid w:val="24E99DD7"/>
    <w:multiLevelType w:val="hybridMultilevel"/>
    <w:lvl w:ilvl="0">
      <w:lvlJc w:val="left"/>
      <w:lvlText w:val="&amp;"/>
      <w:numFmt w:val="bullet"/>
      <w:start w:val="1"/>
    </w:lvl>
  </w:abstractNum>
  <w:abstractNum w:abstractNumId="79">
    <w:nsid w:val="2A31B62D"/>
    <w:multiLevelType w:val="hybridMultilevel"/>
    <w:lvl w:ilvl="0">
      <w:lvlJc w:val="left"/>
      <w:lvlText w:val="&amp;"/>
      <w:numFmt w:val="bullet"/>
      <w:start w:val="1"/>
    </w:lvl>
  </w:abstractNum>
  <w:abstractNum w:abstractNumId="80">
    <w:nsid w:val="1849C29B"/>
    <w:multiLevelType w:val="hybridMultilevel"/>
    <w:lvl w:ilvl="0">
      <w:lvlJc w:val="left"/>
      <w:lvlText w:val="(%1)"/>
      <w:numFmt w:val="lowerRoman"/>
      <w:start w:val="1"/>
    </w:lvl>
  </w:abstractNum>
  <w:abstractNum w:abstractNumId="81">
    <w:nsid w:val="7DFF9D09"/>
    <w:multiLevelType w:val="hybridMultilevel"/>
    <w:lvl w:ilvl="0">
      <w:lvlJc w:val="left"/>
      <w:lvlText w:val="%1"/>
      <w:numFmt w:val="lowerLetter"/>
      <w:start w:val="1"/>
    </w:lvl>
    <w:lvl w:ilvl="1">
      <w:lvlJc w:val="left"/>
      <w:lvlText w:val="(%2)"/>
      <w:numFmt w:val="lowerLetter"/>
      <w:start w:val="9"/>
    </w:lvl>
  </w:abstractNum>
  <w:abstractNum w:abstractNumId="82">
    <w:nsid w:val="754342"/>
    <w:multiLevelType w:val="hybridMultilevel"/>
    <w:lvl w:ilvl="0">
      <w:lvlJc w:val="left"/>
      <w:lvlText w:val="(%1)"/>
      <w:numFmt w:val="lowerLetter"/>
      <w:start w:val="25"/>
    </w:lvl>
    <w:lvl w:ilvl="1">
      <w:lvlJc w:val="left"/>
      <w:lvlText w:val="%2"/>
      <w:numFmt w:val="lowerLetter"/>
      <w:start w:val="1"/>
    </w:lvl>
  </w:abstractNum>
  <w:abstractNum w:abstractNumId="83">
    <w:nsid w:val="69E7F3E5"/>
    <w:multiLevelType w:val="hybridMultilevel"/>
    <w:lvl w:ilvl="0">
      <w:lvlJc w:val="left"/>
      <w:lvlText w:val="%1"/>
      <w:numFmt w:val="lowerRoman"/>
      <w:start w:val="1"/>
    </w:lvl>
    <w:lvl w:ilvl="1">
      <w:lvlJc w:val="left"/>
      <w:lvlText w:val="(%2)"/>
      <w:numFmt w:val="lowerRoman"/>
      <w:start w:val="2"/>
    </w:lvl>
  </w:abstractNum>
  <w:abstractNum w:abstractNumId="84">
    <w:nsid w:val="2A6DE806"/>
    <w:multiLevelType w:val="hybridMultilevel"/>
    <w:lvl w:ilvl="0">
      <w:lvlJc w:val="left"/>
      <w:lvlText w:val="(%1)"/>
      <w:numFmt w:val="lowerRoman"/>
      <w:start w:val="1"/>
    </w:lvl>
    <w:lvl w:ilvl="1">
      <w:lvlJc w:val="left"/>
      <w:lvlText w:val="%2"/>
      <w:numFmt w:val="lowerRoman"/>
      <w:start w:val="1"/>
    </w:lvl>
  </w:abstractNum>
  <w:abstractNum w:abstractNumId="85">
    <w:nsid w:val="1816F8C4"/>
    <w:multiLevelType w:val="hybridMultilevel"/>
    <w:lvl w:ilvl="0">
      <w:lvlJc w:val="left"/>
      <w:lvlText w:val="(%1)"/>
      <w:numFmt w:val="lowerRoman"/>
      <w:start w:val="1"/>
    </w:lvl>
  </w:abstractNum>
  <w:abstractNum w:abstractNumId="86">
    <w:nsid w:val="37DF2233"/>
    <w:multiLevelType w:val="hybridMultilevel"/>
    <w:lvl w:ilvl="0">
      <w:lvlJc w:val="left"/>
      <w:lvlText w:val="(%1)"/>
      <w:numFmt w:val="lowerRoman"/>
      <w:start w:val="2"/>
    </w:lvl>
  </w:abstractNum>
  <w:abstractNum w:abstractNumId="87">
    <w:nsid w:val="7AB49DAF"/>
    <w:multiLevelType w:val="hybridMultilevel"/>
    <w:lvl w:ilvl="0">
      <w:lvlJc w:val="left"/>
      <w:lvlText w:val="(%1)"/>
      <w:numFmt w:val="lowerLetter"/>
      <w:start w:val="2"/>
    </w:lvl>
  </w:abstractNum>
  <w:abstractNum w:abstractNumId="88">
    <w:nsid w:val="759F82CD"/>
    <w:multiLevelType w:val="hybridMultilevel"/>
    <w:lvl w:ilvl="0">
      <w:lvlJc w:val="left"/>
      <w:lvlText w:val="(%1)"/>
      <w:numFmt w:val="lowerLetter"/>
      <w:start w:val="4"/>
    </w:lvl>
  </w:abstractNum>
  <w:abstractNum w:abstractNumId="89">
    <w:nsid w:val="61E74EA3"/>
    <w:multiLevelType w:val="hybridMultilevel"/>
    <w:lvl w:ilvl="0">
      <w:lvlJc w:val="left"/>
      <w:lvlText w:val="(%1)"/>
      <w:numFmt w:val="lowerRoman"/>
      <w:start w:val="1"/>
    </w:lvl>
  </w:abstractNum>
  <w:abstractNum w:abstractNumId="90">
    <w:nsid w:val="597B4D84"/>
    <w:multiLevelType w:val="hybridMultilevel"/>
    <w:lvl w:ilvl="0">
      <w:lvlJc w:val="left"/>
      <w:lvlText w:val="(%1)"/>
      <w:numFmt w:val="lowerRoman"/>
      <w:start w:val="4"/>
    </w:lvl>
  </w:abstractNum>
  <w:abstractNum w:abstractNumId="91">
    <w:nsid w:val="F819E7F"/>
    <w:multiLevelType w:val="hybridMultilevel"/>
    <w:lvl w:ilvl="0">
      <w:lvlJc w:val="left"/>
      <w:lvlText w:val="%1"/>
      <w:numFmt w:val="lowerLetter"/>
      <w:start w:val="1"/>
    </w:lvl>
    <w:lvl w:ilvl="1">
      <w:lvlJc w:val="left"/>
      <w:lvlText w:val="(%2)"/>
      <w:numFmt w:val="lowerLetter"/>
      <w:start w:val="5"/>
    </w:lvl>
  </w:abstractNum>
  <w:abstractNum w:abstractNumId="92">
    <w:nsid w:val="57C7D42D"/>
    <w:multiLevelType w:val="hybridMultilevel"/>
    <w:lvl w:ilvl="0">
      <w:lvlJc w:val="left"/>
      <w:lvlText w:val="(%1)"/>
      <w:numFmt w:val="lowerLetter"/>
      <w:start w:val="1"/>
    </w:lvl>
    <w:lvl w:ilvl="1">
      <w:lvlJc w:val="left"/>
      <w:lvlText w:val="%2"/>
      <w:numFmt w:val="lowerLetter"/>
      <w:start w:val="1"/>
    </w:lvl>
  </w:abstractNum>
  <w:abstractNum w:abstractNumId="93">
    <w:nsid w:val="312167AD"/>
    <w:multiLevelType w:val="hybridMultilevel"/>
    <w:lvl w:ilvl="0">
      <w:lvlJc w:val="left"/>
      <w:lvlText w:val="(%1)"/>
      <w:numFmt w:val="lowerLetter"/>
      <w:start w:val="6"/>
    </w:lvl>
  </w:abstractNum>
  <w:abstractNum w:abstractNumId="94">
    <w:nsid w:val="631B64D4"/>
    <w:multiLevelType w:val="hybridMultilevel"/>
    <w:lvl w:ilvl="0">
      <w:lvlJc w:val="left"/>
      <w:lvlText w:val="(%1)"/>
      <w:numFmt w:val="lowerLetter"/>
      <w:start w:val="7"/>
    </w:lvl>
  </w:abstractNum>
  <w:abstractNum w:abstractNumId="95">
    <w:nsid w:val="78B5E776"/>
    <w:multiLevelType w:val="hybridMultilevel"/>
    <w:lvl w:ilvl="0">
      <w:lvlJc w:val="left"/>
      <w:lvlText w:val="(%1)"/>
      <w:numFmt w:val="lowerLetter"/>
      <w:start w:val="2"/>
    </w:lvl>
  </w:abstractNum>
  <w:abstractNum w:abstractNumId="96">
    <w:nsid w:val="75486E47"/>
    <w:multiLevelType w:val="hybridMultilevel"/>
    <w:lvl w:ilvl="0">
      <w:lvlJc w:val="left"/>
      <w:lvlText w:val="&amp;"/>
      <w:numFmt w:val="bullet"/>
      <w:start w:val="1"/>
    </w:lvl>
  </w:abstractNum>
  <w:abstractNum w:abstractNumId="97">
    <w:nsid w:val="6E534CDE"/>
    <w:multiLevelType w:val="hybridMultilevel"/>
    <w:lvl w:ilvl="0">
      <w:lvlJc w:val="left"/>
      <w:lvlText w:val="(%1)"/>
      <w:numFmt w:val="lowerLetter"/>
      <w:start w:val="1"/>
    </w:lvl>
  </w:abstractNum>
  <w:abstractNum w:abstractNumId="98">
    <w:nsid w:val="1A0DDE32"/>
    <w:multiLevelType w:val="hybridMultilevel"/>
    <w:lvl w:ilvl="0">
      <w:lvlJc w:val="left"/>
      <w:lvlText w:val="(%1)"/>
      <w:numFmt w:val="lowerLetter"/>
      <w:start w:val="2"/>
    </w:lvl>
  </w:abstractNum>
  <w:abstractNum w:abstractNumId="99">
    <w:nsid w:val="65968C1C"/>
    <w:multiLevelType w:val="hybridMultilevel"/>
    <w:lvl w:ilvl="0">
      <w:lvlJc w:val="left"/>
      <w:lvlText w:val="(%1)"/>
      <w:numFmt w:val="lowerLetter"/>
      <w:start w:val="3"/>
    </w:lvl>
  </w:abstractNum>
  <w:abstractNum w:abstractNumId="100">
    <w:nsid w:val="46263DEC"/>
    <w:multiLevelType w:val="hybridMultilevel"/>
    <w:lvl w:ilvl="0">
      <w:lvlJc w:val="left"/>
      <w:lvlText w:val="(%1)"/>
      <w:numFmt w:val="lowerLetter"/>
      <w:start w:val="4"/>
    </w:lvl>
  </w:abstractNum>
  <w:abstractNum w:abstractNumId="101">
    <w:nsid w:val="260D8C4A"/>
    <w:multiLevelType w:val="hybridMultilevel"/>
    <w:lvl w:ilvl="0">
      <w:lvlJc w:val="left"/>
      <w:lvlText w:val="(%1)"/>
      <w:numFmt w:val="lowerLetter"/>
      <w:start w:val="5"/>
    </w:lvl>
  </w:abstractNum>
  <w:abstractNum w:abstractNumId="102">
    <w:nsid w:val="73D4D3C4"/>
    <w:multiLevelType w:val="hybridMultilevel"/>
    <w:lvl w:ilvl="0">
      <w:lvlJc w:val="left"/>
      <w:lvlText w:val="(%1)"/>
      <w:numFmt w:val="lowerLetter"/>
      <w:start w:val="2"/>
    </w:lvl>
    <w:lvl w:ilvl="1">
      <w:lvlJc w:val="left"/>
      <w:lvlText w:val="(%2)"/>
      <w:numFmt w:val="lowerLetter"/>
      <w:start w:val="6"/>
    </w:lvl>
  </w:abstractNum>
  <w:abstractNum w:abstractNumId="103">
    <w:nsid w:val="746F2E30"/>
    <w:multiLevelType w:val="hybridMultilevel"/>
    <w:lvl w:ilvl="0">
      <w:lvlJc w:val="left"/>
      <w:lvlText w:val="(%1)"/>
      <w:numFmt w:val="lowerLetter"/>
      <w:start w:val="1"/>
    </w:lvl>
  </w:abstractNum>
  <w:abstractNum w:abstractNumId="104">
    <w:nsid w:val="6FDE8AF6"/>
    <w:multiLevelType w:val="hybridMultilevel"/>
    <w:lvl w:ilvl="0">
      <w:lvlJc w:val="left"/>
      <w:lvlText w:val="(%1)"/>
      <w:numFmt w:val="lowerLetter"/>
      <w:start w:val="2"/>
    </w:lvl>
  </w:abstractNum>
  <w:abstractNum w:abstractNumId="105">
    <w:nsid w:val="3FC32E20"/>
    <w:multiLevelType w:val="hybridMultilevel"/>
    <w:lvl w:ilvl="0">
      <w:lvlJc w:val="left"/>
      <w:lvlText w:val="(%1)"/>
      <w:numFmt w:val="lowerRoman"/>
      <w:start w:val="1"/>
    </w:lvl>
  </w:abstractNum>
  <w:abstractNum w:abstractNumId="106">
    <w:nsid w:val="49C0E823"/>
    <w:multiLevelType w:val="hybridMultilevel"/>
    <w:lvl w:ilvl="0">
      <w:lvlJc w:val="left"/>
      <w:lvlText w:val="%1."/>
      <w:numFmt w:val="decimal"/>
      <w:start w:val="1"/>
    </w:lvl>
  </w:abstractNum>
  <w:abstractNum w:abstractNumId="107">
    <w:nsid w:val="14D53685"/>
    <w:multiLevelType w:val="hybridMultilevel"/>
    <w:lvl w:ilvl="0">
      <w:lvlJc w:val="left"/>
      <w:lvlText w:val="(%1)"/>
      <w:numFmt w:val="lowerLetter"/>
      <w:start w:val="1"/>
    </w:lvl>
  </w:abstractNum>
  <w:abstractNum w:abstractNumId="108">
    <w:nsid w:val="230F856C"/>
    <w:multiLevelType w:val="hybridMultilevel"/>
    <w:lvl w:ilvl="0">
      <w:lvlJc w:val="left"/>
      <w:lvlText w:val="(%1)"/>
      <w:numFmt w:val="lowerLetter"/>
      <w:start w:val="2"/>
    </w:lvl>
  </w:abstractNum>
  <w:abstractNum w:abstractNumId="109">
    <w:nsid w:val="6EAA85FB"/>
    <w:multiLevelType w:val="hybridMultilevel"/>
    <w:lvl w:ilvl="0">
      <w:lvlJc w:val="left"/>
      <w:lvlText w:val="(%1)"/>
      <w:numFmt w:val="lowerLetter"/>
      <w:start w:val="2"/>
    </w:lvl>
  </w:abstractNum>
  <w:abstractNum w:abstractNumId="110">
    <w:nsid w:val="3F06ECB2"/>
    <w:multiLevelType w:val="hybridMultilevel"/>
    <w:lvl w:ilvl="0">
      <w:lvlJc w:val="left"/>
      <w:lvlText w:val="&amp;"/>
      <w:numFmt w:val="bullet"/>
      <w:start w:val="1"/>
    </w:lvl>
  </w:abstractNum>
  <w:abstractNum w:abstractNumId="111">
    <w:nsid w:val="3B594807"/>
    <w:multiLevelType w:val="hybridMultilevel"/>
    <w:lvl w:ilvl="0">
      <w:lvlJc w:val="left"/>
      <w:lvlText w:val="&amp;"/>
      <w:numFmt w:val="bullet"/>
      <w:start w:val="1"/>
    </w:lvl>
  </w:abstractNum>
  <w:abstractNum w:abstractNumId="112">
    <w:nsid w:val="6CAA2304"/>
    <w:multiLevelType w:val="hybridMultilevel"/>
    <w:lvl w:ilvl="0">
      <w:lvlJc w:val="left"/>
      <w:lvlText w:val="(%1)"/>
      <w:numFmt w:val="lowerRoman"/>
      <w:start w:val="2"/>
    </w:lvl>
  </w:abstractNum>
  <w:abstractNum w:abstractNumId="113">
    <w:nsid w:val="3F7C2FF4"/>
    <w:multiLevelType w:val="hybridMultilevel"/>
    <w:lvl w:ilvl="0">
      <w:lvlJc w:val="left"/>
      <w:lvlText w:val="(%1)"/>
      <w:numFmt w:val="lowerLetter"/>
      <w:start w:val="2"/>
    </w:lvl>
  </w:abstractNum>
  <w:abstractNum w:abstractNumId="114">
    <w:nsid w:val="25413BEC"/>
    <w:multiLevelType w:val="hybridMultilevel"/>
    <w:lvl w:ilvl="0">
      <w:lvlJc w:val="left"/>
      <w:lvlText w:val="(%1)"/>
      <w:numFmt w:val="lowerLetter"/>
      <w:start w:val="4"/>
    </w:lvl>
  </w:abstractNum>
  <w:abstractNum w:abstractNumId="115">
    <w:nsid w:val="17180B0B"/>
    <w:multiLevelType w:val="hybridMultilevel"/>
    <w:lvl w:ilvl="0">
      <w:lvlJc w:val="left"/>
      <w:lvlText w:val="(%1)"/>
      <w:numFmt w:val="lowerLetter"/>
      <w:start w:val="5"/>
    </w:lvl>
  </w:abstractNum>
  <w:abstractNum w:abstractNumId="116">
    <w:nsid w:val="579328B9"/>
    <w:multiLevelType w:val="hybridMultilevel"/>
    <w:lvl w:ilvl="0">
      <w:lvlJc w:val="left"/>
      <w:lvlText w:val="(%1)"/>
      <w:numFmt w:val="lowerLetter"/>
      <w:start w:val="6"/>
    </w:lvl>
  </w:abstractNum>
  <w:abstractNum w:abstractNumId="117">
    <w:nsid w:val="5D205E20"/>
    <w:multiLevelType w:val="hybridMultilevel"/>
    <w:lvl w:ilvl="0">
      <w:lvlJc w:val="left"/>
      <w:lvlText w:val="(%1)"/>
      <w:numFmt w:val="lowerLetter"/>
      <w:start w:val="2"/>
    </w:lvl>
  </w:abstractNum>
  <w:abstractNum w:abstractNumId="118">
    <w:nsid w:val="11CCA8BA"/>
    <w:multiLevelType w:val="hybridMultilevel"/>
    <w:lvl w:ilvl="0">
      <w:lvlJc w:val="left"/>
      <w:lvlText w:val="(%1)"/>
      <w:numFmt w:val="lowerLetter"/>
      <w:start w:val="1"/>
    </w:lvl>
  </w:abstractNum>
  <w:abstractNum w:abstractNumId="119">
    <w:nsid w:val="4D32AB86"/>
    <w:multiLevelType w:val="hybridMultilevel"/>
    <w:lvl w:ilvl="0">
      <w:lvlJc w:val="left"/>
      <w:lvlText w:val="(%1)"/>
      <w:numFmt w:val="lowerLetter"/>
      <w:start w:val="2"/>
    </w:lvl>
  </w:abstractNum>
  <w:abstractNum w:abstractNumId="120">
    <w:nsid w:val="3F07ACC3"/>
    <w:multiLevelType w:val="hybridMultilevel"/>
    <w:lvl w:ilvl="0">
      <w:lvlJc w:val="left"/>
      <w:lvlText w:val="(%1)"/>
      <w:numFmt w:val="lowerLetter"/>
      <w:start w:val="3"/>
    </w:lvl>
  </w:abstractNum>
  <w:abstractNum w:abstractNumId="121">
    <w:nsid w:val="6B47F63E"/>
    <w:multiLevelType w:val="hybridMultilevel"/>
    <w:lvl w:ilvl="0">
      <w:lvlJc w:val="left"/>
      <w:lvlText w:val="(%1)"/>
      <w:numFmt w:val="lowerLetter"/>
      <w:start w:val="1"/>
    </w:lvl>
  </w:abstractNum>
  <w:abstractNum w:abstractNumId="122">
    <w:nsid w:val="5CB44A05"/>
    <w:multiLevelType w:val="hybridMultilevel"/>
    <w:lvl w:ilvl="0">
      <w:lvlJc w:val="left"/>
      <w:lvlText w:val="(%1)"/>
      <w:numFmt w:val="lowerLetter"/>
      <w:start w:val="3"/>
    </w:lvl>
  </w:abstractNum>
  <w:abstractNum w:abstractNumId="123">
    <w:nsid w:val="16CF80F1"/>
    <w:multiLevelType w:val="hybridMultilevel"/>
    <w:lvl w:ilvl="0">
      <w:lvlJc w:val="left"/>
      <w:lvlText w:val="(%1)"/>
      <w:numFmt w:val="lowerLetter"/>
      <w:start w:val="2"/>
    </w:lvl>
  </w:abstractNum>
  <w:abstractNum w:abstractNumId="124">
    <w:nsid w:val="1C695DEC"/>
    <w:multiLevelType w:val="hybridMultilevel"/>
    <w:lvl w:ilvl="0">
      <w:lvlJc w:val="left"/>
      <w:lvlText w:val="(%1)"/>
      <w:numFmt w:val="lowerLetter"/>
      <w:start w:val="3"/>
    </w:lvl>
  </w:abstractNum>
  <w:abstractNum w:abstractNumId="125">
    <w:nsid w:val="3FCFAED9"/>
    <w:multiLevelType w:val="hybridMultilevel"/>
    <w:lvl w:ilvl="0">
      <w:lvlJc w:val="left"/>
      <w:lvlText w:val="(%1)"/>
      <w:numFmt w:val="lowerRoman"/>
      <w:start w:val="1"/>
    </w:lvl>
  </w:abstractNum>
  <w:abstractNum w:abstractNumId="126">
    <w:nsid w:val="F856867"/>
    <w:multiLevelType w:val="hybridMultilevel"/>
    <w:lvl w:ilvl="0">
      <w:lvlJc w:val="left"/>
      <w:lvlText w:val="%1."/>
      <w:numFmt w:val="decimal"/>
      <w:start w:val="1"/>
    </w:lvl>
  </w:abstractNum>
  <w:abstractNum w:abstractNumId="127">
    <w:nsid w:val="11B1CC33"/>
    <w:multiLevelType w:val="hybridMultilevel"/>
    <w:lvl w:ilvl="0">
      <w:lvlJc w:val="left"/>
      <w:lvlText w:val="(%1)"/>
      <w:numFmt w:val="lowerLetter"/>
      <w:start w:val="1"/>
    </w:lvl>
  </w:abstractNum>
  <w:abstractNum w:abstractNumId="128">
    <w:nsid w:val="2E22FBB7"/>
    <w:multiLevelType w:val="hybridMultilevel"/>
    <w:lvl w:ilvl="0">
      <w:lvlJc w:val="left"/>
      <w:lvlText w:val="(%1)"/>
      <w:numFmt w:val="lowerLetter"/>
      <w:start w:val="2"/>
    </w:lvl>
  </w:abstractNum>
  <w:abstractNum w:abstractNumId="129">
    <w:nsid w:val="29934699"/>
    <w:multiLevelType w:val="hybridMultilevel"/>
    <w:lvl w:ilvl="0">
      <w:lvlJc w:val="left"/>
      <w:lvlText w:val="(%1)"/>
      <w:numFmt w:val="lowerLetter"/>
      <w:start w:val="2"/>
    </w:lvl>
  </w:abstractNum>
  <w:abstractNum w:abstractNumId="130">
    <w:nsid w:val="77485850"/>
    <w:multiLevelType w:val="hybridMultilevel"/>
    <w:lvl w:ilvl="0">
      <w:lvlJc w:val="left"/>
      <w:lvlText w:val="(%1)"/>
      <w:numFmt w:val="lowerLetter"/>
      <w:start w:val="5"/>
    </w:lvl>
  </w:abstractNum>
  <w:abstractNum w:abstractNumId="131">
    <w:nsid w:val="744939A3"/>
    <w:multiLevelType w:val="hybridMultilevel"/>
    <w:lvl w:ilvl="0">
      <w:lvlJc w:val="left"/>
      <w:lvlText w:val="%1."/>
      <w:numFmt w:val="decimal"/>
      <w:start w:val="2"/>
    </w:lvl>
    <w:lvl w:ilvl="1">
      <w:lvlJc w:val="left"/>
      <w:lvlText w:val="(%2)"/>
      <w:numFmt w:val="lowerLetter"/>
      <w:start w:val="1"/>
    </w:lvl>
  </w:abstractNum>
  <w:abstractNum w:abstractNumId="132">
    <w:nsid w:val="4FA0D2E3"/>
    <w:multiLevelType w:val="hybridMultilevel"/>
    <w:lvl w:ilvl="0">
      <w:lvlJc w:val="left"/>
      <w:lvlText w:val="(%1)"/>
      <w:numFmt w:val="lowerLetter"/>
      <w:start w:val="2"/>
    </w:lvl>
  </w:abstractNum>
  <w:abstractNum w:abstractNumId="133">
    <w:nsid w:val="6B1D2C14"/>
    <w:multiLevelType w:val="hybridMultilevel"/>
    <w:lvl w:ilvl="0">
      <w:lvlJc w:val="left"/>
      <w:lvlText w:val="(%1)"/>
      <w:numFmt w:val="lowerRoman"/>
      <w:start w:val="1"/>
    </w:lvl>
  </w:abstractNum>
  <w:abstractNum w:abstractNumId="134">
    <w:nsid w:val="68B867D3"/>
    <w:multiLevelType w:val="hybridMultilevel"/>
    <w:lvl w:ilvl="0">
      <w:lvlJc w:val="left"/>
      <w:lvlText w:val="(%1)"/>
      <w:numFmt w:val="lowerLetter"/>
      <w:start w:val="3"/>
    </w:lvl>
  </w:abstractNum>
  <w:abstractNum w:abstractNumId="135">
    <w:nsid w:val="3F7F5DD9"/>
    <w:multiLevelType w:val="hybridMultilevel"/>
    <w:lvl w:ilvl="0">
      <w:lvlJc w:val="left"/>
      <w:lvlText w:val="(%1)"/>
      <w:numFmt w:val="lowerLetter"/>
      <w:start w:val="4"/>
    </w:lvl>
  </w:abstractNum>
  <w:abstractNum w:abstractNumId="136">
    <w:nsid w:val="2AE05A34"/>
    <w:multiLevelType w:val="hybridMultilevel"/>
    <w:lvl w:ilvl="0">
      <w:lvlJc w:val="left"/>
      <w:lvlText w:val="%1"/>
      <w:numFmt w:val="decimal"/>
      <w:start w:val="1"/>
    </w:lvl>
    <w:lvl w:ilvl="1">
      <w:lvlJc w:val="left"/>
      <w:lvlText w:val="(%2)"/>
      <w:numFmt w:val="lowerRoman"/>
      <w:start w:val="1"/>
    </w:lvl>
  </w:abstractNum>
  <w:abstractNum w:abstractNumId="137">
    <w:nsid w:val="32794FF7"/>
    <w:multiLevelType w:val="hybridMultilevel"/>
    <w:lvl w:ilvl="0">
      <w:lvlJc w:val="left"/>
      <w:lvlText w:val="%1."/>
      <w:numFmt w:val="decimal"/>
      <w:start w:val="4"/>
    </w:lvl>
    <w:lvl w:ilvl="1">
      <w:lvlJc w:val="left"/>
      <w:lvlText w:val="%2"/>
      <w:numFmt w:val="lowerRoman"/>
      <w:start w:val="1"/>
    </w:lvl>
  </w:abstractNum>
  <w:abstractNum w:abstractNumId="138">
    <w:nsid w:val="5454945E"/>
    <w:multiLevelType w:val="hybridMultilevel"/>
    <w:lvl w:ilvl="0">
      <w:lvlJc w:val="left"/>
      <w:lvlText w:val="(%1)"/>
      <w:numFmt w:val="lowerLetter"/>
      <w:start w:val="1"/>
    </w:lvl>
  </w:abstractNum>
  <w:abstractNum w:abstractNumId="139">
    <w:nsid w:val="4DEFDFA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40">
    <w:nsid w:val="2123D5F2"/>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141">
    <w:nsid w:val="135B8110"/>
    <w:multiLevelType w:val="hybridMultilevel"/>
    <w:lvl w:ilvl="0">
      <w:lvlJc w:val="left"/>
      <w:lvlText w:val="(%1)"/>
      <w:numFmt w:val="lowerLetter"/>
      <w:start w:val="25"/>
    </w:lvl>
    <w:lvl w:ilvl="1">
      <w:lvlJc w:val="left"/>
      <w:lvlText w:val="%2"/>
      <w:numFmt w:val="decimal"/>
      <w:start w:val="1"/>
    </w:lvl>
    <w:lvl w:ilvl="2">
      <w:lvlJc w:val="left"/>
      <w:lvlText w:val="(%3)"/>
      <w:numFmt w:val="lowerLetter"/>
      <w:start w:val="2"/>
    </w:lvl>
  </w:abstractNum>
  <w:abstractNum w:abstractNumId="142">
    <w:nsid w:val="94927A8"/>
    <w:multiLevelType w:val="hybridMultilevel"/>
    <w:lvl w:ilvl="0">
      <w:lvlJc w:val="left"/>
      <w:lvlText w:val="%1"/>
      <w:numFmt w:val="decimal"/>
      <w:start w:val="1"/>
    </w:lvl>
    <w:lvl w:ilvl="1">
      <w:lvlJc w:val="left"/>
      <w:lvlText w:val="(%2)"/>
      <w:numFmt w:val="lowerLetter"/>
      <w:start w:val="3"/>
    </w:lvl>
  </w:abstractNum>
  <w:abstractNum w:abstractNumId="143">
    <w:nsid w:val="DCDF8F6"/>
    <w:multiLevelType w:val="hybridMultilevel"/>
    <w:lvl w:ilvl="0">
      <w:lvlJc w:val="left"/>
      <w:lvlText w:val="(%1)"/>
      <w:numFmt w:val="decimal"/>
      <w:start w:val="1"/>
    </w:lvl>
    <w:lvl w:ilvl="1">
      <w:lvlJc w:val="left"/>
      <w:lvlText w:val="%2"/>
      <w:numFmt w:val="lowerLetter"/>
      <w:start w:val="1"/>
    </w:lvl>
  </w:abstractNum>
  <w:abstractNum w:abstractNumId="144">
    <w:nsid w:val="52D7B105"/>
    <w:multiLevelType w:val="hybridMultilevel"/>
    <w:lvl w:ilvl="0">
      <w:lvlJc w:val="left"/>
      <w:lvlText w:val="(%1)"/>
      <w:numFmt w:val="lowerLetter"/>
      <w:start w:val="6"/>
    </w:lvl>
  </w:abstractNum>
  <w:abstractNum w:abstractNumId="145">
    <w:nsid w:val="2E8A6394"/>
    <w:multiLevelType w:val="hybridMultilevel"/>
    <w:lvl w:ilvl="0">
      <w:lvlJc w:val="left"/>
      <w:lvlText w:val="%1."/>
      <w:numFmt w:val="decimal"/>
      <w:start w:val="7"/>
    </w:lvl>
  </w:abstractNum>
  <w:abstractNum w:abstractNumId="146">
    <w:nsid w:val="24E60401"/>
    <w:multiLevelType w:val="hybridMultilevel"/>
    <w:lvl w:ilvl="0">
      <w:lvlJc w:val="left"/>
      <w:lvlText w:val="(%1)"/>
      <w:numFmt w:val="lowerRoman"/>
      <w:start w:val="1"/>
    </w:lvl>
    <w:lvl w:ilvl="1">
      <w:lvlJc w:val="left"/>
      <w:lvlText w:val="(%2)"/>
      <w:numFmt w:val="lowerRoman"/>
      <w:start w:val="10"/>
    </w:lvl>
  </w:abstractNum>
  <w:abstractNum w:abstractNumId="147">
    <w:nsid w:val="2A6AD9BE"/>
    <w:multiLevelType w:val="hybridMultilevel"/>
    <w:lvl w:ilvl="0">
      <w:lvlJc w:val="left"/>
      <w:lvlText w:val="(%1)"/>
      <w:numFmt w:val="lowerLetter"/>
      <w:start w:val="25"/>
    </w:lvl>
    <w:lvl w:ilvl="1">
      <w:lvlJc w:val="left"/>
      <w:lvlText w:val="(%2)"/>
      <w:numFmt w:val="decimal"/>
      <w:start w:val="2"/>
    </w:lvl>
  </w:abstractNum>
  <w:abstractNum w:abstractNumId="148">
    <w:nsid w:val="BAAC1B4"/>
    <w:multiLevelType w:val="hybridMultilevel"/>
    <w:lvl w:ilvl="0">
      <w:lvlJc w:val="left"/>
      <w:lvlText w:val="%1."/>
      <w:numFmt w:val="decimal"/>
      <w:start w:val="8"/>
    </w:lvl>
    <w:lvl w:ilvl="1">
      <w:lvlJc w:val="left"/>
      <w:lvlText w:val="(%2)"/>
      <w:numFmt w:val="lowerLetter"/>
      <w:start w:val="1"/>
    </w:lvl>
  </w:abstractNum>
  <w:abstractNum w:abstractNumId="149">
    <w:nsid w:val="36B2ACBC"/>
    <w:multiLevelType w:val="hybridMultilevel"/>
    <w:lvl w:ilvl="0">
      <w:lvlJc w:val="left"/>
      <w:lvlText w:val="(%1)"/>
      <w:numFmt w:val="lowerLetter"/>
      <w:start w:val="2"/>
    </w:lvl>
  </w:abstractNum>
  <w:abstractNum w:abstractNumId="150">
    <w:nsid w:val="779D8544"/>
    <w:multiLevelType w:val="hybridMultilevel"/>
    <w:lvl w:ilvl="0">
      <w:lvlJc w:val="left"/>
      <w:lvlText w:val="(%1)"/>
      <w:numFmt w:val="lowerLetter"/>
      <w:start w:val="9"/>
    </w:lvl>
    <w:lvl w:ilvl="1">
      <w:lvlJc w:val="left"/>
      <w:lvlText w:val="%2"/>
      <w:numFmt w:val="lowerRoman"/>
      <w:start w:val="1"/>
    </w:lvl>
    <w:lvl w:ilvl="2">
      <w:lvlJc w:val="left"/>
      <w:lvlText w:val="%3"/>
      <w:numFmt w:val="lowerRoman"/>
      <w:start w:val="1"/>
    </w:lvl>
  </w:abstractNum>
  <w:abstractNum w:abstractNumId="151">
    <w:nsid w:val="4AB26E78"/>
    <w:multiLevelType w:val="hybridMultilevel"/>
    <w:lvl w:ilvl="0">
      <w:lvlJc w:val="left"/>
      <w:lvlText w:val="(%1)"/>
      <w:numFmt w:val="lowerLetter"/>
      <w:start w:val="35"/>
    </w:lvl>
    <w:lvl w:ilvl="1">
      <w:lvlJc w:val="left"/>
      <w:lvlText w:val="(%2)"/>
      <w:numFmt w:val="lowerRoman"/>
      <w:start w:val="3"/>
    </w:lvl>
    <w:lvl w:ilvl="2">
      <w:lvlJc w:val="left"/>
      <w:lvlText w:val="(%3)"/>
      <w:numFmt w:val="lowerRoman"/>
      <w:start w:val="5"/>
    </w:lvl>
  </w:abstractNum>
  <w:abstractNum w:abstractNumId="152">
    <w:nsid w:val="21FAA2FA"/>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153">
    <w:nsid w:val="5451CF49"/>
    <w:multiLevelType w:val="hybridMultilevel"/>
    <w:lvl w:ilvl="0">
      <w:lvlJc w:val="left"/>
      <w:lvlText w:val="(%1)"/>
      <w:numFmt w:val="lowerLetter"/>
      <w:start w:val="9"/>
    </w:lvl>
    <w:lvl w:ilvl="1">
      <w:lvlJc w:val="left"/>
      <w:lvlText w:val="%2"/>
      <w:numFmt w:val="lowerRoman"/>
      <w:start w:val="1"/>
    </w:lvl>
    <w:lvl w:ilvl="2">
      <w:lvlJc w:val="left"/>
      <w:lvlText w:val="%3"/>
      <w:numFmt w:val="lowerRoman"/>
      <w:start w:val="1"/>
    </w:lvl>
  </w:abstractNum>
  <w:abstractNum w:abstractNumId="154">
    <w:nsid w:val="6181EF69"/>
    <w:multiLevelType w:val="hybridMultilevel"/>
    <w:lvl w:ilvl="0">
      <w:lvlJc w:val="left"/>
      <w:lvlText w:val="(%1)"/>
      <w:numFmt w:val="lowerLetter"/>
      <w:start w:val="35"/>
    </w:lvl>
    <w:lvl w:ilvl="1">
      <w:lvlJc w:val="left"/>
      <w:lvlText w:val="%2"/>
      <w:numFmt w:val="lowerRoman"/>
      <w:start w:val="1"/>
    </w:lvl>
    <w:lvl w:ilvl="2">
      <w:lvlJc w:val="left"/>
      <w:lvlText w:val="%3"/>
      <w:numFmt w:val="lowerRoman"/>
      <w:start w:val="1"/>
    </w:lvl>
  </w:abstractNum>
  <w:abstractNum w:abstractNumId="155">
    <w:nsid w:val="3E6400E6"/>
    <w:multiLevelType w:val="hybridMultilevel"/>
    <w:lvl w:ilvl="0">
      <w:lvlJc w:val="left"/>
      <w:lvlText w:val="(%1)"/>
      <w:numFmt w:val="lowerRoman"/>
      <w:start w:val="3"/>
    </w:lvl>
    <w:lvl w:ilvl="1">
      <w:lvlJc w:val="left"/>
      <w:lvlText w:val="(%2)"/>
      <w:numFmt w:val="lowerRoman"/>
      <w:start w:val="10"/>
    </w:lvl>
  </w:abstractNum>
  <w:abstractNum w:abstractNumId="156">
    <w:nsid w:val="14217E23"/>
    <w:multiLevelType w:val="hybridMultilevel"/>
    <w:lvl w:ilvl="0">
      <w:lvlJc w:val="left"/>
      <w:lvlText w:val="%1"/>
      <w:numFmt w:val="lowerRoman"/>
      <w:start w:val="1"/>
    </w:lvl>
    <w:lvl w:ilvl="1">
      <w:lvlJc w:val="left"/>
      <w:lvlText w:val="(%2)"/>
      <w:numFmt w:val="lowerLetter"/>
      <w:start w:val="25"/>
    </w:lvl>
  </w:abstractNum>
  <w:abstractNum w:abstractNumId="157">
    <w:nsid w:val="710757D0"/>
    <w:multiLevelType w:val="hybridMultilevel"/>
    <w:lvl w:ilvl="0">
      <w:lvlJc w:val="left"/>
      <w:lvlText w:val="(%1)"/>
      <w:numFmt w:val="lowerRoman"/>
      <w:start w:val="8"/>
    </w:lvl>
    <w:lvl w:ilvl="1">
      <w:lvlJc w:val="left"/>
      <w:lvlText w:val="%2"/>
      <w:numFmt w:val="lowerLetter"/>
      <w:start w:val="1"/>
    </w:lvl>
  </w:abstractNum>
  <w:abstractNum w:abstractNumId="158">
    <w:nsid w:val="5015CD1A"/>
    <w:multiLevelType w:val="hybridMultilevel"/>
    <w:lvl w:ilvl="0">
      <w:lvlJc w:val="left"/>
      <w:lvlText w:val="(%1)"/>
      <w:numFmt w:val="lowerRoman"/>
      <w:start w:val="9"/>
    </w:lvl>
  </w:abstractNum>
  <w:abstractNum w:abstractNumId="159">
    <w:nsid w:val="424479DA"/>
    <w:multiLevelType w:val="hybridMultilevel"/>
    <w:lvl w:ilvl="0">
      <w:lvlJc w:val="left"/>
      <w:lvlText w:val="(%1)"/>
      <w:numFmt w:val="lowerLetter"/>
      <w:start w:val="61"/>
    </w:lvl>
    <w:lvl w:ilvl="1">
      <w:lvlJc w:val="left"/>
      <w:lvlText w:val="%2"/>
      <w:numFmt w:val="lowerLetter"/>
      <w:start w:val="1"/>
    </w:lvl>
  </w:abstractNum>
  <w:abstractNum w:abstractNumId="160">
    <w:nsid w:val="1A9A9E69"/>
    <w:multiLevelType w:val="hybridMultilevel"/>
    <w:lvl w:ilvl="0">
      <w:lvlJc w:val="left"/>
      <w:lvlText w:val="(%1)"/>
      <w:numFmt w:val="lowerLetter"/>
      <w:start w:val="9"/>
    </w:lvl>
    <w:lvl w:ilvl="1">
      <w:lvlJc w:val="left"/>
      <w:lvlText w:val="(%2)"/>
      <w:numFmt w:val="lowerLetter"/>
      <w:start w:val="5"/>
    </w:lvl>
  </w:abstractNum>
  <w:abstractNum w:abstractNumId="161">
    <w:nsid w:val="475E256A"/>
    <w:multiLevelType w:val="hybridMultilevel"/>
    <w:lvl w:ilvl="0">
      <w:lvlJc w:val="left"/>
      <w:lvlText w:val="%1."/>
      <w:numFmt w:val="decimal"/>
      <w:start w:val="9"/>
    </w:lvl>
    <w:lvl w:ilvl="1">
      <w:lvlJc w:val="left"/>
      <w:lvlText w:val="(%2)"/>
      <w:numFmt w:val="lowerLetter"/>
      <w:start w:val="1"/>
    </w:lvl>
  </w:abstractNum>
  <w:abstractNum w:abstractNumId="162">
    <w:nsid w:val="368DB37E"/>
    <w:multiLevelType w:val="hybridMultilevel"/>
    <w:lvl w:ilvl="0">
      <w:lvlJc w:val="left"/>
      <w:lvlText w:val="%1."/>
      <w:numFmt w:val="decimal"/>
      <w:start w:val="13"/>
    </w:lvl>
  </w:abstractNum>
  <w:abstractNum w:abstractNumId="163">
    <w:nsid w:val="6A3B714C"/>
    <w:multiLevelType w:val="hybridMultilevel"/>
    <w:lvl w:ilvl="0">
      <w:lvlJc w:val="left"/>
      <w:lvlText w:val="%1."/>
      <w:numFmt w:val="decimal"/>
      <w:start w:val="19"/>
    </w:lvl>
  </w:abstractNum>
  <w:abstractNum w:abstractNumId="164">
    <w:nsid w:val="327B517E"/>
    <w:multiLevelType w:val="hybridMultilevel"/>
    <w:lvl w:ilvl="0">
      <w:lvlJc w:val="left"/>
      <w:lvlText w:val="-"/>
      <w:numFmt w:val="bullet"/>
      <w:start w:val="1"/>
    </w:lvl>
  </w:abstractNum>
  <w:abstractNum w:abstractNumId="165">
    <w:nsid w:val="1F461B51"/>
    <w:multiLevelType w:val="hybridMultilevel"/>
    <w:lvl w:ilvl="0">
      <w:lvlJc w:val="left"/>
      <w:lvlText w:val="%1."/>
      <w:numFmt w:val="decimal"/>
      <w:start w:val="2"/>
    </w:lvl>
    <w:lvl w:ilvl="1">
      <w:lvlJc w:val="left"/>
      <w:lvlText w:val="(%2)"/>
      <w:numFmt w:val="lowerLetter"/>
      <w:start w:val="1"/>
    </w:lvl>
  </w:abstractNum>
  <w:abstractNum w:abstractNumId="166">
    <w:nsid w:val="29BACF25"/>
    <w:multiLevelType w:val="hybridMultilevel"/>
    <w:lvl w:ilvl="0">
      <w:lvlJc w:val="left"/>
      <w:lvlText w:val="(%1)"/>
      <w:numFmt w:val="lowerLetter"/>
      <w:start w:val="2"/>
    </w:lvl>
  </w:abstractNum>
  <w:abstractNum w:abstractNumId="167">
    <w:nsid w:val="5D5BABB3"/>
    <w:multiLevelType w:val="hybridMultilevel"/>
    <w:lvl w:ilvl="0">
      <w:lvlJc w:val="left"/>
      <w:lvlText w:val="(%1)"/>
      <w:numFmt w:val="lowerRoman"/>
      <w:start w:val="1"/>
    </w:lvl>
  </w:abstractNum>
  <w:abstractNum w:abstractNumId="168">
    <w:nsid w:val="51BF6B48"/>
    <w:multiLevelType w:val="hybridMultilevel"/>
    <w:lvl w:ilvl="0">
      <w:lvlJc w:val="left"/>
      <w:lvlText w:val="(%1)"/>
      <w:numFmt w:val="lowerLetter"/>
      <w:start w:val="3"/>
    </w:lvl>
  </w:abstractNum>
  <w:abstractNum w:abstractNumId="169">
    <w:nsid w:val="7E0F6384"/>
    <w:multiLevelType w:val="hybridMultilevel"/>
    <w:lvl w:ilvl="0">
      <w:lvlJc w:val="left"/>
      <w:lvlText w:val="(%1)"/>
      <w:numFmt w:val="lowerLetter"/>
      <w:start w:val="4"/>
    </w:lvl>
  </w:abstractNum>
  <w:abstractNum w:abstractNumId="170">
    <w:nsid w:val="2B4B8B53"/>
    <w:multiLevelType w:val="hybridMultilevel"/>
    <w:lvl w:ilvl="0">
      <w:lvlJc w:val="left"/>
      <w:lvlText w:val="%1"/>
      <w:numFmt w:val="decimal"/>
      <w:start w:val="1"/>
    </w:lvl>
    <w:lvl w:ilvl="1">
      <w:lvlJc w:val="left"/>
      <w:lvlText w:val="(%2)"/>
      <w:numFmt w:val="lowerRoman"/>
      <w:start w:val="1"/>
    </w:lvl>
  </w:abstractNum>
  <w:abstractNum w:abstractNumId="171">
    <w:nsid w:val="72E3413A"/>
    <w:multiLevelType w:val="hybridMultilevel"/>
    <w:lvl w:ilvl="0">
      <w:lvlJc w:val="left"/>
      <w:lvlText w:val="%1."/>
      <w:numFmt w:val="decimal"/>
      <w:start w:val="4"/>
    </w:lvl>
    <w:lvl w:ilvl="1">
      <w:lvlJc w:val="left"/>
      <w:lvlText w:val="%2"/>
      <w:numFmt w:val="lowerRoman"/>
      <w:start w:val="1"/>
    </w:lvl>
  </w:abstractNum>
  <w:abstractNum w:abstractNumId="172">
    <w:nsid w:val="116AE494"/>
    <w:multiLevelType w:val="hybridMultilevel"/>
    <w:lvl w:ilvl="0">
      <w:lvlJc w:val="left"/>
      <w:lvlText w:val="(%1)"/>
      <w:numFmt w:val="lowerLetter"/>
      <w:start w:val="1"/>
    </w:lvl>
  </w:abstractNum>
  <w:abstractNum w:abstractNumId="173">
    <w:nsid w:val="3494B2F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74">
    <w:nsid w:val="B13A31"/>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175">
    <w:nsid w:val="64429599"/>
    <w:multiLevelType w:val="hybridMultilevel"/>
    <w:lvl w:ilvl="0">
      <w:lvlJc w:val="left"/>
      <w:lvlText w:val="(%1)"/>
      <w:numFmt w:val="lowerLetter"/>
      <w:start w:val="25"/>
    </w:lvl>
    <w:lvl w:ilvl="1">
      <w:lvlJc w:val="left"/>
      <w:lvlText w:val="%2"/>
      <w:numFmt w:val="decimal"/>
      <w:start w:val="1"/>
    </w:lvl>
    <w:lvl w:ilvl="2">
      <w:lvlJc w:val="left"/>
      <w:lvlText w:val="(%3)"/>
      <w:numFmt w:val="lowerLetter"/>
      <w:start w:val="2"/>
    </w:lvl>
  </w:abstractNum>
  <w:abstractNum w:abstractNumId="176">
    <w:nsid w:val="631F1690"/>
    <w:multiLevelType w:val="hybridMultilevel"/>
    <w:lvl w:ilvl="0">
      <w:lvlJc w:val="left"/>
      <w:lvlText w:val="%1"/>
      <w:numFmt w:val="decimal"/>
      <w:start w:val="1"/>
    </w:lvl>
    <w:lvl w:ilvl="1">
      <w:lvlJc w:val="left"/>
      <w:lvlText w:val="(%2)"/>
      <w:numFmt w:val="lowerLetter"/>
      <w:start w:val="4"/>
    </w:lvl>
  </w:abstractNum>
  <w:abstractNum w:abstractNumId="177">
    <w:nsid w:val="25973E32"/>
    <w:multiLevelType w:val="hybridMultilevel"/>
    <w:lvl w:ilvl="0">
      <w:lvlJc w:val="left"/>
      <w:lvlText w:val="(%1)"/>
      <w:numFmt w:val="decimal"/>
      <w:start w:val="1"/>
    </w:lvl>
    <w:lvl w:ilvl="1">
      <w:lvlJc w:val="left"/>
      <w:lvlText w:val="%2"/>
      <w:numFmt w:val="lowerLetter"/>
      <w:start w:val="1"/>
    </w:lvl>
  </w:abstractNum>
  <w:abstractNum w:abstractNumId="178">
    <w:nsid w:val="EAD6F57"/>
    <w:multiLevelType w:val="hybridMultilevel"/>
    <w:lvl w:ilvl="0">
      <w:lvlJc w:val="left"/>
      <w:lvlText w:val="(%1)"/>
      <w:numFmt w:val="lowerLetter"/>
      <w:start w:val="6"/>
    </w:lvl>
  </w:abstractNum>
  <w:abstractNum w:abstractNumId="179">
    <w:nsid w:val="6EC9D844"/>
    <w:multiLevelType w:val="hybridMultilevel"/>
    <w:lvl w:ilvl="0">
      <w:lvlJc w:val="left"/>
      <w:lvlText w:val="%1."/>
      <w:numFmt w:val="decimal"/>
      <w:start w:val="7"/>
    </w:lvl>
  </w:abstractNum>
  <w:abstractNum w:abstractNumId="180">
    <w:nsid w:val="5C49EAEE"/>
    <w:multiLevelType w:val="hybridMultilevel"/>
    <w:lvl w:ilvl="0">
      <w:lvlJc w:val="left"/>
      <w:lvlText w:val="(%1)"/>
      <w:numFmt w:val="lowerRoman"/>
      <w:start w:val="1"/>
    </w:lvl>
    <w:lvl w:ilvl="1">
      <w:lvlJc w:val="left"/>
      <w:lvlText w:val="(%2)"/>
      <w:numFmt w:val="lowerRoman"/>
      <w:start w:val="10"/>
    </w:lvl>
  </w:abstractNum>
  <w:abstractNum w:abstractNumId="181">
    <w:nsid w:val="64AF49B"/>
    <w:multiLevelType w:val="hybridMultilevel"/>
    <w:lvl w:ilvl="0">
      <w:lvlJc w:val="left"/>
      <w:lvlText w:val="(%1)"/>
      <w:numFmt w:val="lowerLetter"/>
      <w:start w:val="25"/>
    </w:lvl>
    <w:lvl w:ilvl="1">
      <w:lvlJc w:val="left"/>
      <w:lvlText w:val="(%2)"/>
      <w:numFmt w:val="decimal"/>
      <w:start w:val="2"/>
    </w:lvl>
  </w:abstractNum>
  <w:abstractNum w:abstractNumId="182">
    <w:nsid w:val="397C46BC"/>
    <w:multiLevelType w:val="hybridMultilevel"/>
    <w:lvl w:ilvl="0">
      <w:lvlJc w:val="left"/>
      <w:lvlText w:val="%1."/>
      <w:numFmt w:val="decimal"/>
      <w:start w:val="8"/>
    </w:lvl>
    <w:lvl w:ilvl="1">
      <w:lvlJc w:val="left"/>
      <w:lvlText w:val="(%2)"/>
      <w:numFmt w:val="lowerLetter"/>
      <w:start w:val="1"/>
    </w:lvl>
  </w:abstractNum>
  <w:abstractNum w:abstractNumId="183">
    <w:nsid w:val="7E448DE9"/>
    <w:multiLevelType w:val="hybridMultilevel"/>
    <w:lvl w:ilvl="0">
      <w:lvlJc w:val="left"/>
      <w:lvlText w:val="(%1)"/>
      <w:numFmt w:val="lowerLetter"/>
      <w:start w:val="9"/>
    </w:lvl>
    <w:lvl w:ilvl="1">
      <w:lvlJc w:val="left"/>
      <w:lvlText w:val="%2"/>
      <w:numFmt w:val="lowerRoman"/>
      <w:start w:val="1"/>
    </w:lvl>
    <w:lvl w:ilvl="2">
      <w:lvlJc w:val="left"/>
      <w:lvlText w:val="%3"/>
      <w:numFmt w:val="lowerRoman"/>
      <w:start w:val="1"/>
    </w:lvl>
  </w:abstractNum>
  <w:abstractNum w:abstractNumId="184">
    <w:nsid w:val="5A9CC3E5"/>
    <w:multiLevelType w:val="hybridMultilevel"/>
    <w:lvl w:ilvl="0">
      <w:lvlJc w:val="left"/>
      <w:lvlText w:val="(%1)"/>
      <w:numFmt w:val="lowerLetter"/>
      <w:start w:val="35"/>
    </w:lvl>
    <w:lvl w:ilvl="1">
      <w:lvlJc w:val="left"/>
      <w:lvlText w:val="(%2)"/>
      <w:numFmt w:val="lowerRoman"/>
      <w:start w:val="3"/>
    </w:lvl>
    <w:lvl w:ilvl="2">
      <w:lvlJc w:val="left"/>
      <w:lvlText w:val="%3"/>
      <w:numFmt w:val="lowerRoman"/>
      <w:start w:val="1"/>
    </w:lvl>
  </w:abstractNum>
  <w:abstractNum w:abstractNumId="185">
    <w:nsid w:val="1AFE3625"/>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186">
    <w:nsid w:val="3CA88ECF"/>
    <w:multiLevelType w:val="hybridMultilevel"/>
    <w:lvl w:ilvl="0">
      <w:lvlJc w:val="left"/>
      <w:lvlText w:val="(%1)"/>
      <w:numFmt w:val="lowerLetter"/>
      <w:start w:val="9"/>
    </w:lvl>
    <w:lvl w:ilvl="1">
      <w:lvlJc w:val="left"/>
      <w:lvlText w:val="%2"/>
      <w:numFmt w:val="lowerRoman"/>
      <w:start w:val="1"/>
    </w:lvl>
    <w:lvl w:ilvl="2">
      <w:lvlJc w:val="left"/>
      <w:lvlText w:val="%3"/>
      <w:numFmt w:val="lowerRoman"/>
      <w:start w:val="1"/>
    </w:lvl>
  </w:abstractNum>
  <w:abstractNum w:abstractNumId="187">
    <w:nsid w:val="6EBE4208"/>
    <w:multiLevelType w:val="hybridMultilevel"/>
    <w:lvl w:ilvl="0">
      <w:lvlJc w:val="left"/>
      <w:lvlText w:val="(%1)"/>
      <w:numFmt w:val="lowerLetter"/>
      <w:start w:val="35"/>
    </w:lvl>
    <w:lvl w:ilvl="1">
      <w:lvlJc w:val="left"/>
      <w:lvlText w:val="%2"/>
      <w:numFmt w:val="lowerRoman"/>
      <w:start w:val="1"/>
    </w:lvl>
    <w:lvl w:ilvl="2">
      <w:lvlJc w:val="left"/>
      <w:lvlText w:val="%3"/>
      <w:numFmt w:val="lowerRoman"/>
      <w:start w:val="1"/>
    </w:lvl>
  </w:abstractNum>
  <w:abstractNum w:abstractNumId="188">
    <w:nsid w:val="C058DF5"/>
    <w:multiLevelType w:val="hybridMultilevel"/>
    <w:lvl w:ilvl="0">
      <w:lvlJc w:val="left"/>
      <w:lvlText w:val="(%1)"/>
      <w:numFmt w:val="lowerLetter"/>
      <w:start w:val="61"/>
    </w:lvl>
    <w:lvl w:ilvl="1">
      <w:lvlJc w:val="left"/>
      <w:lvlText w:val="%2"/>
      <w:numFmt w:val="lowerRoman"/>
      <w:start w:val="1"/>
    </w:lvl>
    <w:lvl w:ilvl="2">
      <w:lvlJc w:val="left"/>
      <w:lvlText w:val="%3"/>
      <w:numFmt w:val="lowerRoman"/>
      <w:start w:val="1"/>
    </w:lvl>
  </w:abstractNum>
  <w:abstractNum w:abstractNumId="189">
    <w:nsid w:val="CBE5BE9"/>
    <w:multiLevelType w:val="hybridMultilevel"/>
    <w:lvl w:ilvl="0">
      <w:lvlJc w:val="left"/>
      <w:lvlText w:val="(%1)"/>
      <w:numFmt w:val="lowerRoman"/>
      <w:start w:val="4"/>
    </w:lvl>
    <w:lvl w:ilvl="1">
      <w:lvlJc w:val="left"/>
      <w:lvlText w:val="(%2)"/>
      <w:numFmt w:val="lowerLetter"/>
      <w:start w:val="24"/>
    </w:lvl>
  </w:abstractNum>
  <w:abstractNum w:abstractNumId="190">
    <w:nsid w:val="3102BBE2"/>
    <w:multiLevelType w:val="hybridMultilevel"/>
    <w:lvl w:ilvl="0">
      <w:lvlJc w:val="left"/>
      <w:lvlText w:val="%1"/>
      <w:numFmt w:val="lowerRoman"/>
      <w:start w:val="1"/>
    </w:lvl>
    <w:lvl w:ilvl="1">
      <w:lvlJc w:val="left"/>
      <w:lvlText w:val="(%2)"/>
      <w:numFmt w:val="lowerLetter"/>
      <w:start w:val="26"/>
    </w:lvl>
  </w:abstractNum>
  <w:abstractNum w:abstractNumId="191">
    <w:nsid w:val="26A02C5E"/>
    <w:multiLevelType w:val="hybridMultilevel"/>
    <w:lvl w:ilvl="0">
      <w:lvlJc w:val="left"/>
      <w:lvlText w:val="(%1)"/>
      <w:numFmt w:val="lowerRoman"/>
      <w:start w:val="8"/>
    </w:lvl>
    <w:lvl w:ilvl="1">
      <w:lvlJc w:val="left"/>
      <w:lvlText w:val="%2"/>
      <w:numFmt w:val="lowerLetter"/>
      <w:start w:val="1"/>
    </w:lvl>
  </w:abstractNum>
  <w:abstractNum w:abstractNumId="192">
    <w:nsid w:val="541C8153"/>
    <w:multiLevelType w:val="hybridMultilevel"/>
    <w:lvl w:ilvl="0">
      <w:lvlJc w:val="left"/>
      <w:lvlText w:val="(%1)"/>
      <w:numFmt w:val="lowerRoman"/>
      <w:start w:val="9"/>
    </w:lvl>
  </w:abstractNum>
  <w:abstractNum w:abstractNumId="193">
    <w:nsid w:val="67906F60"/>
    <w:multiLevelType w:val="hybridMultilevel"/>
    <w:lvl w:ilvl="0">
      <w:lvlJc w:val="left"/>
      <w:lvlText w:val="(%1)"/>
      <w:numFmt w:val="lowerLetter"/>
      <w:start w:val="61"/>
    </w:lvl>
    <w:lvl w:ilvl="1">
      <w:lvlJc w:val="left"/>
      <w:lvlText w:val="%2"/>
      <w:numFmt w:val="lowerLetter"/>
      <w:start w:val="1"/>
    </w:lvl>
  </w:abstractNum>
  <w:abstractNum w:abstractNumId="194">
    <w:nsid w:val="10DB9DAA"/>
    <w:multiLevelType w:val="hybridMultilevel"/>
    <w:lvl w:ilvl="0">
      <w:lvlJc w:val="left"/>
      <w:lvlText w:val="(%1)"/>
      <w:numFmt w:val="lowerLetter"/>
      <w:start w:val="9"/>
    </w:lvl>
    <w:lvl w:ilvl="1">
      <w:lvlJc w:val="left"/>
      <w:lvlText w:val="(%2)"/>
      <w:numFmt w:val="lowerLetter"/>
      <w:start w:val="5"/>
    </w:lvl>
  </w:abstractNum>
  <w:abstractNum w:abstractNumId="195">
    <w:nsid w:val="697D2D2"/>
    <w:multiLevelType w:val="hybridMultilevel"/>
    <w:lvl w:ilvl="0">
      <w:lvlJc w:val="left"/>
      <w:lvlText w:val="%1."/>
      <w:numFmt w:val="decimal"/>
      <w:start w:val="9"/>
    </w:lvl>
    <w:lvl w:ilvl="1">
      <w:lvlJc w:val="left"/>
      <w:lvlText w:val="(%2)"/>
      <w:numFmt w:val="lowerLetter"/>
      <w:start w:val="1"/>
    </w:lvl>
  </w:abstractNum>
  <w:abstractNum w:abstractNumId="196">
    <w:nsid w:val="6D68AB2"/>
    <w:multiLevelType w:val="hybridMultilevel"/>
    <w:lvl w:ilvl="0">
      <w:lvlJc w:val="left"/>
      <w:lvlText w:val="%1."/>
      <w:numFmt w:val="decimal"/>
      <w:start w:val="13"/>
    </w:lvl>
  </w:abstractNum>
  <w:abstractNum w:abstractNumId="197">
    <w:nsid w:val="3A966CD0"/>
    <w:multiLevelType w:val="hybridMultilevel"/>
    <w:lvl w:ilvl="0">
      <w:lvlJc w:val="left"/>
      <w:lvlText w:val="-"/>
      <w:numFmt w:val="bullet"/>
      <w:start w:val="1"/>
    </w:lvl>
  </w:abstractNum>
  <w:abstractNum w:abstractNumId="198">
    <w:nsid w:val="63F37E8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2019-12-20T01:37:12Z</dcterms:created>
  <dcterms:modified xsi:type="dcterms:W3CDTF">2019-12-20T01:37:12Z</dcterms:modified>
</cp:coreProperties>
</file>