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Ellison David Ferris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1"/>
        <w:gridCol w:w="899"/>
        <w:gridCol w:w="771"/>
        <w:gridCol w:w="597"/>
        <w:gridCol w:w="339"/>
        <w:gridCol w:w="1043"/>
        <w:gridCol w:w="431"/>
        <w:gridCol w:w="650"/>
        <w:gridCol w:w="133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250,000</w:t>
            </w:r>
            <w:r>
              <w:rPr>
                <w:rFonts w:ascii="Times;serif" w:hAnsi="Times;serif"/>
                <w:color w:val="008000"/>
                <w:position w:val="7"/>
                <w:sz w:val="16"/>
                <w:sz w:val="20"/>
                <w:shd w:fill="FFFFFF" w:val="clear"/>
              </w:rPr>
              <w:t>(1)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636,159</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127,200</w:t>
            </w:r>
            <w:r>
              <w:rPr>
                <w:rFonts w:ascii="Times;serif" w:hAnsi="Times;serif"/>
                <w:color w:val="008000"/>
                <w:position w:val="7"/>
                <w:sz w:val="16"/>
                <w:sz w:val="20"/>
                <w:shd w:fill="FFFFFF" w:val="clear"/>
              </w:rPr>
              <w:t>(3)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508,959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76,210,742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46"/>
        <w:gridCol w:w="921"/>
        <w:gridCol w:w="801"/>
        <w:gridCol w:w="96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August 7, 2026, upon vesting of an installment of Restricted Stock Units ("RSUs") identified in Table II, which were initially granted on August 7, 2025 and generally vest in equal quarterly installments over a five-year period. On August 7, 2026, the closing price of the Class B common stock on The NASDAQ Global Select Market was $9.19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satisfy tax liability incident to the vesting of, and delivery of shares underlying, the RSUs, and were not actually sold or otherwise disposed of in an open-market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By Skydance Entertainment Group, LLC, of which Mr. Ellison is the manager.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052"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3970</Characters>
  <CharactersWithSpaces>4613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