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FORM 10-K/A</w:t>
      </w:r>
    </w:p>
    <w:p>
      <w:pPr>
        <w:ind w:left="2960"/>
        <w:spacing w:after="0" w:line="238" w:lineRule="auto"/>
        <w:rPr>
          <w:sz w:val="20"/>
          <w:szCs w:val="20"/>
          <w:color w:val="auto"/>
        </w:rPr>
      </w:pPr>
      <w:r>
        <w:rPr>
          <w:rFonts w:ascii="Courier New" w:cs="Courier New" w:eastAsia="Courier New" w:hAnsi="Courier New"/>
          <w:sz w:val="18"/>
          <w:szCs w:val="18"/>
          <w:color w:val="auto"/>
        </w:rPr>
        <w:t>AMENDMENT NO. 1</w:t>
      </w:r>
    </w:p>
    <w:p>
      <w:pPr>
        <w:ind w:left="1380"/>
        <w:spacing w:after="0"/>
        <w:rPr>
          <w:sz w:val="20"/>
          <w:szCs w:val="20"/>
          <w:color w:val="auto"/>
        </w:rPr>
      </w:pPr>
      <w:r>
        <w:rPr>
          <w:rFonts w:ascii="Courier New" w:cs="Courier New" w:eastAsia="Courier New" w:hAnsi="Courier New"/>
          <w:sz w:val="18"/>
          <w:szCs w:val="18"/>
          <w:color w:val="auto"/>
        </w:rPr>
        <w:t>ANNUAL REPORT PURSUANT TO SECTION 13 OR 15(D)</w:t>
      </w:r>
    </w:p>
    <w:p>
      <w:pPr>
        <w:ind w:left="1700"/>
        <w:spacing w:after="0" w:line="237"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FOR THE</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w w:val="92"/>
              </w:rPr>
              <w:t>FISCAL</w:t>
            </w:r>
          </w:p>
        </w:tc>
        <w:tc>
          <w:tcPr>
            <w:tcW w:w="3200" w:type="dxa"/>
            <w:vAlign w:val="bottom"/>
          </w:tcPr>
          <w:p>
            <w:pPr>
              <w:ind w:left="40"/>
              <w:spacing w:after="0"/>
              <w:rPr>
                <w:sz w:val="20"/>
                <w:szCs w:val="20"/>
                <w:color w:val="auto"/>
              </w:rPr>
            </w:pPr>
            <w:r>
              <w:rPr>
                <w:rFonts w:ascii="Courier New" w:cs="Courier New" w:eastAsia="Courier New" w:hAnsi="Courier New"/>
                <w:sz w:val="18"/>
                <w:szCs w:val="18"/>
                <w:color w:val="auto"/>
              </w:rPr>
              <w:t>YEAR ENDED DECEMBER 31, 1993</w:t>
            </w:r>
          </w:p>
        </w:tc>
        <w:tc>
          <w:tcPr>
            <w:tcW w:w="348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6"/>
              </w:rPr>
              <w:t>COMMISSION FILE NUMBER   1-9553</w:t>
            </w:r>
          </w:p>
        </w:tc>
      </w:tr>
      <w:tr>
        <w:trPr>
          <w:trHeight w:val="405"/>
        </w:trPr>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0" w:type="dxa"/>
            <w:vAlign w:val="bottom"/>
          </w:tcPr>
          <w:p>
            <w:pPr>
              <w:ind w:left="1620"/>
              <w:spacing w:after="0"/>
              <w:rPr>
                <w:sz w:val="20"/>
                <w:szCs w:val="20"/>
                <w:color w:val="auto"/>
              </w:rPr>
            </w:pPr>
            <w:r>
              <w:rPr>
                <w:rFonts w:ascii="Courier New" w:cs="Courier New" w:eastAsia="Courier New" w:hAnsi="Courier New"/>
                <w:sz w:val="18"/>
                <w:szCs w:val="18"/>
                <w:color w:val="auto"/>
              </w:rPr>
              <w:t>VIACOM INC.</w:t>
            </w:r>
          </w:p>
        </w:tc>
        <w:tc>
          <w:tcPr>
            <w:tcW w:w="2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(EXACT</w:t>
            </w:r>
          </w:p>
        </w:tc>
        <w:tc>
          <w:tcPr>
            <w:tcW w:w="5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NAME OF REGISTRANT AS SPECIFIED IN ITS CHARTER)</w:t>
            </w:r>
          </w:p>
        </w:tc>
        <w:tc>
          <w:tcPr>
            <w:tcW w:w="1320" w:type="dxa"/>
            <w:vAlign w:val="bottom"/>
          </w:tcPr>
          <w:p>
            <w:pPr>
              <w:spacing w:after="0"/>
              <w:rPr>
                <w:sz w:val="17"/>
                <w:szCs w:val="17"/>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w w:val="97"/>
              </w:rPr>
              <w:t>Delaware</w:t>
            </w:r>
          </w:p>
        </w:tc>
        <w:tc>
          <w:tcPr>
            <w:tcW w:w="6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160" w:type="dxa"/>
            <w:vAlign w:val="bottom"/>
          </w:tcPr>
          <w:p>
            <w:pPr>
              <w:ind w:left="960"/>
              <w:spacing w:after="0"/>
              <w:rPr>
                <w:sz w:val="20"/>
                <w:szCs w:val="20"/>
                <w:color w:val="auto"/>
              </w:rPr>
            </w:pPr>
            <w:r>
              <w:rPr>
                <w:rFonts w:ascii="Courier New" w:cs="Courier New" w:eastAsia="Courier New" w:hAnsi="Courier New"/>
                <w:sz w:val="18"/>
                <w:szCs w:val="18"/>
                <w:color w:val="auto"/>
              </w:rPr>
              <w:t>04-2949533</w:t>
            </w:r>
          </w:p>
        </w:tc>
        <w:tc>
          <w:tcPr>
            <w:tcW w:w="1320" w:type="dxa"/>
            <w:vAlign w:val="bottom"/>
          </w:tcPr>
          <w:p>
            <w:pPr>
              <w:spacing w:after="0"/>
              <w:rPr>
                <w:sz w:val="24"/>
                <w:szCs w:val="24"/>
                <w:color w:val="auto"/>
              </w:rPr>
            </w:pPr>
          </w:p>
        </w:tc>
      </w:tr>
      <w:tr>
        <w:trPr>
          <w:trHeight w:val="203"/>
        </w:trPr>
        <w:tc>
          <w:tcPr>
            <w:tcW w:w="4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34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4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2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IDENTIFICATION</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200 Elm</w:t>
            </w:r>
          </w:p>
        </w:tc>
        <w:tc>
          <w:tcPr>
            <w:tcW w:w="3880" w:type="dxa"/>
            <w:vAlign w:val="bottom"/>
            <w:gridSpan w:val="2"/>
          </w:tcPr>
          <w:p>
            <w:pPr>
              <w:spacing w:after="0"/>
              <w:rPr>
                <w:sz w:val="20"/>
                <w:szCs w:val="20"/>
                <w:color w:val="auto"/>
              </w:rPr>
            </w:pPr>
            <w:r>
              <w:rPr>
                <w:rFonts w:ascii="Courier New" w:cs="Courier New" w:eastAsia="Courier New" w:hAnsi="Courier New"/>
                <w:sz w:val="18"/>
                <w:szCs w:val="18"/>
                <w:color w:val="auto"/>
              </w:rPr>
              <w:t>Street, Dedham, MA</w:t>
            </w:r>
          </w:p>
        </w:tc>
        <w:tc>
          <w:tcPr>
            <w:tcW w:w="2160" w:type="dxa"/>
            <w:vAlign w:val="bottom"/>
          </w:tcPr>
          <w:p>
            <w:pPr>
              <w:ind w:left="1380"/>
              <w:spacing w:after="0"/>
              <w:rPr>
                <w:sz w:val="20"/>
                <w:szCs w:val="20"/>
                <w:color w:val="auto"/>
              </w:rPr>
            </w:pPr>
            <w:r>
              <w:rPr>
                <w:rFonts w:ascii="Courier New" w:cs="Courier New" w:eastAsia="Courier New" w:hAnsi="Courier New"/>
                <w:sz w:val="18"/>
                <w:szCs w:val="18"/>
                <w:color w:val="auto"/>
              </w:rPr>
              <w:t>02026</w:t>
            </w:r>
          </w:p>
        </w:tc>
        <w:tc>
          <w:tcPr>
            <w:tcW w:w="1320" w:type="dxa"/>
            <w:vAlign w:val="bottom"/>
          </w:tcPr>
          <w:p>
            <w:pPr>
              <w:spacing w:after="0"/>
              <w:rPr>
                <w:sz w:val="24"/>
                <w:szCs w:val="24"/>
                <w:color w:val="auto"/>
              </w:rPr>
            </w:pPr>
          </w:p>
        </w:tc>
      </w:tr>
      <w:tr>
        <w:trPr>
          <w:trHeight w:val="203"/>
        </w:trPr>
        <w:tc>
          <w:tcPr>
            <w:tcW w:w="4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(ZIP CODE)</w:t>
            </w:r>
          </w:p>
        </w:tc>
        <w:tc>
          <w:tcPr>
            <w:tcW w:w="1320" w:type="dxa"/>
            <w:vAlign w:val="bottom"/>
          </w:tcPr>
          <w:p>
            <w:pPr>
              <w:spacing w:after="0"/>
              <w:rPr>
                <w:sz w:val="17"/>
                <w:szCs w:val="17"/>
                <w:color w:val="auto"/>
              </w:rPr>
            </w:pPr>
          </w:p>
        </w:tc>
      </w:tr>
      <w:tr>
        <w:trPr>
          <w:trHeight w:val="405"/>
        </w:trPr>
        <w:tc>
          <w:tcPr>
            <w:tcW w:w="1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Registrant's</w:t>
            </w:r>
          </w:p>
        </w:tc>
        <w:tc>
          <w:tcPr>
            <w:tcW w:w="668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telephone number, including area code  (617) 461-1600</w:t>
            </w:r>
          </w:p>
        </w:tc>
      </w:tr>
      <w:tr>
        <w:trPr>
          <w:trHeight w:val="608"/>
        </w:trPr>
        <w:tc>
          <w:tcPr>
            <w:tcW w:w="690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SECURITIES REGISTERED PURSUANT TO SECTION 12(B) OF THE ACT:</w:t>
            </w:r>
          </w:p>
        </w:tc>
        <w:tc>
          <w:tcPr>
            <w:tcW w:w="132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48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NAME OF EACH EXCHANGE</w:t>
            </w:r>
          </w:p>
        </w:tc>
      </w:tr>
      <w:tr>
        <w:trPr>
          <w:trHeight w:val="203"/>
        </w:trPr>
        <w:tc>
          <w:tcPr>
            <w:tcW w:w="4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TITLE OF EACH CLASS</w:t>
            </w:r>
          </w:p>
        </w:tc>
        <w:tc>
          <w:tcPr>
            <w:tcW w:w="34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ON WHICH REGISTERED</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 A</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Common</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 $0.01 par value</w:t>
            </w:r>
          </w:p>
        </w:tc>
        <w:tc>
          <w:tcPr>
            <w:tcW w:w="2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American Stock</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Exchange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 B</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Common</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 $0.01 par value</w:t>
            </w:r>
          </w:p>
        </w:tc>
        <w:tc>
          <w:tcPr>
            <w:tcW w:w="2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American Stock</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Exchange</w:t>
            </w:r>
          </w:p>
        </w:tc>
      </w:tr>
    </w:tbl>
    <w:p>
      <w:pPr>
        <w:spacing w:after="0" w:line="200" w:lineRule="exact"/>
        <w:rPr>
          <w:sz w:val="24"/>
          <w:szCs w:val="24"/>
          <w:color w:val="auto"/>
        </w:rPr>
      </w:pPr>
    </w:p>
    <w:p>
      <w:pPr>
        <w:spacing w:after="0" w:line="204"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8"/>
          <w:szCs w:val="18"/>
          <w:color w:val="auto"/>
        </w:rPr>
        <w:t>SECURITIES REGISTERED PURSUANT TO SECTION 12(G) OF THE ACT:</w:t>
      </w:r>
    </w:p>
    <w:p>
      <w:pPr>
        <w:jc w:val="center"/>
        <w:ind w:right="2839"/>
        <w:spacing w:after="0" w:line="238" w:lineRule="auto"/>
        <w:rPr>
          <w:sz w:val="20"/>
          <w:szCs w:val="20"/>
          <w:color w:val="auto"/>
        </w:rPr>
      </w:pPr>
      <w:r>
        <w:rPr>
          <w:rFonts w:ascii="Courier New" w:cs="Courier New" w:eastAsia="Courier New" w:hAnsi="Courier New"/>
          <w:sz w:val="18"/>
          <w:szCs w:val="18"/>
          <w:color w:val="auto"/>
        </w:rPr>
        <w:t>None</w:t>
      </w:r>
    </w:p>
    <w:p>
      <w:pPr>
        <w:jc w:val="center"/>
        <w:ind w:right="2839"/>
        <w:spacing w:after="0"/>
        <w:rPr>
          <w:sz w:val="20"/>
          <w:szCs w:val="20"/>
          <w:color w:val="auto"/>
        </w:rPr>
      </w:pPr>
      <w:r>
        <w:rPr>
          <w:rFonts w:ascii="Courier New" w:cs="Courier New" w:eastAsia="Courier New" w:hAnsi="Courier New"/>
          <w:sz w:val="18"/>
          <w:szCs w:val="18"/>
          <w:color w:val="auto"/>
        </w:rPr>
        <w:t>(TITLE OF CLASS)</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Indicate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by</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check</w:t>
            </w:r>
          </w:p>
        </w:tc>
        <w:tc>
          <w:tcPr>
            <w:tcW w:w="52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mark whether registrant (1) has filed all reports</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required to</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by Section 13 or 15(d) of the</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Exchange</w:t>
            </w:r>
          </w:p>
        </w:tc>
      </w:tr>
      <w:tr>
        <w:trPr>
          <w:trHeight w:val="0"/>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w w:val="95"/>
              </w:rPr>
              <w:t>Act of 1934</w:t>
            </w:r>
          </w:p>
        </w:tc>
        <w:tc>
          <w:tcPr>
            <w:tcW w:w="410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7"/>
              </w:rPr>
              <w:t>during the preceding 12 months (or for</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w w:val="99"/>
              </w:rPr>
              <w:t>such shorter period</w:t>
            </w:r>
          </w:p>
        </w:tc>
      </w:tr>
    </w:tbl>
    <w:p>
      <w:pPr>
        <w:spacing w:after="0" w:line="207" w:lineRule="exact"/>
        <w:rPr>
          <w:sz w:val="24"/>
          <w:szCs w:val="24"/>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that the registrant was required to file such reports) and (2) has been subject to such filing requirements for the past 90 days. Yes X No ---</w:t>
      </w:r>
    </w:p>
    <w:p>
      <w:pPr>
        <w:spacing w:after="0" w:line="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839" w:firstLine="316"/>
        <w:spacing w:after="0" w:line="273" w:lineRule="auto"/>
        <w:rPr>
          <w:sz w:val="20"/>
          <w:szCs w:val="20"/>
          <w:color w:val="auto"/>
        </w:rPr>
      </w:pPr>
      <w:r>
        <w:rPr>
          <w:rFonts w:ascii="Courier New" w:cs="Courier New" w:eastAsia="Courier New" w:hAnsi="Courier New"/>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85" w:lineRule="exact"/>
        <w:rPr>
          <w:sz w:val="24"/>
          <w:szCs w:val="24"/>
          <w:color w:val="auto"/>
        </w:rPr>
      </w:pPr>
    </w:p>
    <w:p>
      <w:pPr>
        <w:ind w:right="2839" w:firstLine="316"/>
        <w:spacing w:after="0" w:line="237" w:lineRule="auto"/>
        <w:rPr>
          <w:sz w:val="20"/>
          <w:szCs w:val="20"/>
          <w:color w:val="auto"/>
        </w:rPr>
      </w:pPr>
      <w:r>
        <w:rPr>
          <w:rFonts w:ascii="Courier New" w:cs="Courier New" w:eastAsia="Courier New" w:hAnsi="Courier New"/>
          <w:sz w:val="18"/>
          <w:szCs w:val="18"/>
          <w:color w:val="auto"/>
        </w:rPr>
        <w:t>As of March 25, 1994, 53,449,525 shares of Viacom Inc. Class A Common Stock, $0.01 par value ("Class A Common Stock"), and 90,078,203 shares of Viacom Inc. Class B Common Stock, $0.01 par value ("Class B Common Stock"), were outstanding. The aggregate market value of the shares of Class A Common Stock (based upon the closing price of $34 of these shares on the American Stock Exchange on that date) held by non-affiliates was approximately $268,187,512 and the aggregate market value of the shares of the Class B Common Stock (based upon the closing price of $29.125 of these shares on the American Stock Exchange on that date) held by non-affiliates was approximately $599,511,872.</w:t>
      </w: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DOCUMENTS INCORPORATED BY REFERENCE</w:t>
      </w:r>
    </w:p>
    <w:p>
      <w:pPr>
        <w:spacing w:after="0" w:line="207" w:lineRule="exact"/>
        <w:rPr>
          <w:sz w:val="24"/>
          <w:szCs w:val="24"/>
          <w:color w:val="auto"/>
        </w:rPr>
      </w:pPr>
    </w:p>
    <w:p>
      <w:pPr>
        <w:ind w:right="2939" w:firstLine="316"/>
        <w:spacing w:after="0" w:line="235" w:lineRule="auto"/>
        <w:rPr>
          <w:sz w:val="20"/>
          <w:szCs w:val="20"/>
          <w:color w:val="auto"/>
        </w:rPr>
      </w:pPr>
      <w:r>
        <w:rPr>
          <w:rFonts w:ascii="Courier New" w:cs="Courier New" w:eastAsia="Courier New" w:hAnsi="Courier New"/>
          <w:sz w:val="18"/>
          <w:szCs w:val="18"/>
          <w:color w:val="auto"/>
        </w:rPr>
        <w:t>The Definitive Proxy of the Registrant for the 1994 Annual Meeting of Shareholders (Part III to the extent described herein).</w:t>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VIACOM INC.</w:t>
      </w:r>
    </w:p>
    <w:p>
      <w:pPr>
        <w:spacing w:after="0" w:line="200" w:lineRule="exact"/>
        <w:rPr>
          <w:sz w:val="24"/>
          <w:szCs w:val="24"/>
          <w:color w:val="auto"/>
        </w:rPr>
      </w:pPr>
    </w:p>
    <w:p>
      <w:pPr>
        <w:spacing w:after="0" w:line="209"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registrant hereby amends the following items and financial statements of its Annual Report on Form 10-K for the fiscal year ended December 31, 1993, as set forth below:</w:t>
      </w:r>
    </w:p>
    <w:p>
      <w:pPr>
        <w:spacing w:after="0" w:line="200" w:lineRule="exact"/>
        <w:rPr>
          <w:sz w:val="24"/>
          <w:szCs w:val="24"/>
          <w:color w:val="auto"/>
        </w:rPr>
      </w:pPr>
    </w:p>
    <w:p>
      <w:pPr>
        <w:spacing w:after="0" w:line="206" w:lineRule="exact"/>
        <w:rPr>
          <w:sz w:val="24"/>
          <w:szCs w:val="24"/>
          <w:color w:val="auto"/>
        </w:rPr>
      </w:pPr>
    </w:p>
    <w:p>
      <w:pPr>
        <w:ind w:left="640"/>
        <w:spacing w:after="0"/>
        <w:tabs>
          <w:tab w:leader="none" w:pos="694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8"/>
          <w:szCs w:val="18"/>
          <w:color w:val="auto"/>
        </w:rPr>
        <w:t>Page</w:t>
      </w:r>
    </w:p>
    <w:p>
      <w:pPr>
        <w:sectPr>
          <w:pgSz w:w="11900" w:h="16838" w:orient="portrait"/>
          <w:cols w:equalWidth="0" w:num="1">
            <w:col w:w="10219"/>
          </w:cols>
          <w:pgMar w:left="240" w:top="447" w:right="1440" w:bottom="0" w:gutter="0" w:footer="0" w:header="0"/>
        </w:sectPr>
      </w:pPr>
    </w:p>
    <w:bookmarkStart w:id="1" w:name="page2"/>
    <w:bookmarkEnd w:id="1"/>
    <w:tbl>
      <w:tblPr>
        <w:tblLayout w:type="fixed"/>
        <w:tblInd w:w="54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5060" w:type="dxa"/>
            <w:vAlign w:val="bottom"/>
          </w:tcPr>
          <w:p>
            <w:pPr>
              <w:spacing w:after="0"/>
              <w:rPr>
                <w:sz w:val="17"/>
                <w:szCs w:val="17"/>
                <w:color w:val="auto"/>
              </w:rPr>
            </w:pPr>
          </w:p>
        </w:tc>
        <w:tc>
          <w:tcPr>
            <w:tcW w:w="1520" w:type="dxa"/>
            <w:vAlign w:val="bottom"/>
          </w:tcPr>
          <w:p>
            <w:pPr>
              <w:ind w:left="360"/>
              <w:spacing w:after="0"/>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Item 10. Directors and Executive Officers</w:t>
            </w:r>
          </w:p>
        </w:tc>
        <w:tc>
          <w:tcPr>
            <w:tcW w:w="1520" w:type="dxa"/>
            <w:vAlign w:val="bottom"/>
          </w:tcPr>
          <w:p>
            <w:pPr>
              <w:ind w:left="140"/>
              <w:spacing w:after="0"/>
              <w:rPr>
                <w:sz w:val="20"/>
                <w:szCs w:val="20"/>
                <w:color w:val="auto"/>
              </w:rPr>
            </w:pPr>
            <w:r>
              <w:rPr>
                <w:rFonts w:ascii="Courier New" w:cs="Courier New" w:eastAsia="Courier New" w:hAnsi="Courier New"/>
                <w:sz w:val="18"/>
                <w:szCs w:val="18"/>
                <w:color w:val="auto"/>
              </w:rPr>
              <w:t>III - 1</w:t>
            </w:r>
          </w:p>
        </w:tc>
      </w:tr>
      <w:tr>
        <w:trPr>
          <w:trHeight w:val="405"/>
        </w:trPr>
        <w:tc>
          <w:tcPr>
            <w:tcW w:w="1000" w:type="dxa"/>
            <w:vAlign w:val="bottom"/>
          </w:tcPr>
          <w:p>
            <w:pPr>
              <w:ind w:left="100"/>
              <w:spacing w:after="0"/>
              <w:rPr>
                <w:sz w:val="20"/>
                <w:szCs w:val="20"/>
                <w:color w:val="auto"/>
              </w:rPr>
            </w:pPr>
            <w:r>
              <w:rPr>
                <w:rFonts w:ascii="Courier New" w:cs="Courier New" w:eastAsia="Courier New" w:hAnsi="Courier New"/>
                <w:sz w:val="18"/>
                <w:szCs w:val="18"/>
                <w:color w:val="auto"/>
              </w:rPr>
              <w:t>Item 11.</w:t>
            </w:r>
          </w:p>
        </w:tc>
        <w:tc>
          <w:tcPr>
            <w:tcW w:w="5060" w:type="dxa"/>
            <w:vAlign w:val="bottom"/>
          </w:tcPr>
          <w:p>
            <w:pPr>
              <w:ind w:left="40"/>
              <w:spacing w:after="0"/>
              <w:rPr>
                <w:sz w:val="20"/>
                <w:szCs w:val="20"/>
                <w:color w:val="auto"/>
              </w:rPr>
            </w:pPr>
            <w:r>
              <w:rPr>
                <w:rFonts w:ascii="Courier New" w:cs="Courier New" w:eastAsia="Courier New" w:hAnsi="Courier New"/>
                <w:sz w:val="18"/>
                <w:szCs w:val="18"/>
                <w:color w:val="auto"/>
              </w:rPr>
              <w:t>Executive Compensation</w:t>
            </w:r>
          </w:p>
        </w:tc>
        <w:tc>
          <w:tcPr>
            <w:tcW w:w="1520" w:type="dxa"/>
            <w:vAlign w:val="bottom"/>
          </w:tcPr>
          <w:p>
            <w:pPr>
              <w:ind w:left="140"/>
              <w:spacing w:after="0"/>
              <w:rPr>
                <w:sz w:val="20"/>
                <w:szCs w:val="20"/>
                <w:color w:val="auto"/>
              </w:rPr>
            </w:pPr>
            <w:r>
              <w:rPr>
                <w:rFonts w:ascii="Courier New" w:cs="Courier New" w:eastAsia="Courier New" w:hAnsi="Courier New"/>
                <w:sz w:val="18"/>
                <w:szCs w:val="18"/>
                <w:color w:val="auto"/>
              </w:rPr>
              <w:t>III - 5</w:t>
            </w:r>
          </w:p>
        </w:tc>
      </w:tr>
      <w:tr>
        <w:trPr>
          <w:trHeight w:val="405"/>
        </w:trPr>
        <w:tc>
          <w:tcPr>
            <w:tcW w:w="1000" w:type="dxa"/>
            <w:vAlign w:val="bottom"/>
          </w:tcPr>
          <w:p>
            <w:pPr>
              <w:ind w:left="100"/>
              <w:spacing w:after="0"/>
              <w:rPr>
                <w:sz w:val="20"/>
                <w:szCs w:val="20"/>
                <w:color w:val="auto"/>
              </w:rPr>
            </w:pPr>
            <w:r>
              <w:rPr>
                <w:rFonts w:ascii="Courier New" w:cs="Courier New" w:eastAsia="Courier New" w:hAnsi="Courier New"/>
                <w:sz w:val="18"/>
                <w:szCs w:val="18"/>
                <w:color w:val="auto"/>
              </w:rPr>
              <w:t>Item 12.</w:t>
            </w:r>
          </w:p>
        </w:tc>
        <w:tc>
          <w:tcPr>
            <w:tcW w:w="5060" w:type="dxa"/>
            <w:vAlign w:val="bottom"/>
          </w:tcPr>
          <w:p>
            <w:pPr>
              <w:ind w:left="40"/>
              <w:spacing w:after="0"/>
              <w:rPr>
                <w:sz w:val="20"/>
                <w:szCs w:val="20"/>
                <w:color w:val="auto"/>
              </w:rPr>
            </w:pPr>
            <w:r>
              <w:rPr>
                <w:rFonts w:ascii="Courier New" w:cs="Courier New" w:eastAsia="Courier New" w:hAnsi="Courier New"/>
                <w:sz w:val="18"/>
                <w:szCs w:val="18"/>
                <w:color w:val="auto"/>
              </w:rPr>
              <w:t>Security Ownership of Certain Beneficial</w:t>
            </w:r>
          </w:p>
        </w:tc>
        <w:tc>
          <w:tcPr>
            <w:tcW w:w="1520" w:type="dxa"/>
            <w:vAlign w:val="bottom"/>
          </w:tcPr>
          <w:p>
            <w:pPr>
              <w:spacing w:after="0"/>
              <w:rPr>
                <w:sz w:val="24"/>
                <w:szCs w:val="24"/>
                <w:color w:val="auto"/>
              </w:rPr>
            </w:pPr>
          </w:p>
        </w:tc>
      </w:tr>
      <w:tr>
        <w:trPr>
          <w:trHeight w:val="203"/>
        </w:trPr>
        <w:tc>
          <w:tcPr>
            <w:tcW w:w="1000" w:type="dxa"/>
            <w:vAlign w:val="bottom"/>
          </w:tcPr>
          <w:p>
            <w:pPr>
              <w:spacing w:after="0"/>
              <w:rPr>
                <w:sz w:val="17"/>
                <w:szCs w:val="17"/>
                <w:color w:val="auto"/>
              </w:rPr>
            </w:pPr>
          </w:p>
        </w:tc>
        <w:tc>
          <w:tcPr>
            <w:tcW w:w="5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Owners and Management</w:t>
            </w:r>
          </w:p>
        </w:tc>
        <w:tc>
          <w:tcPr>
            <w:tcW w:w="1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III - 20</w:t>
            </w:r>
          </w:p>
        </w:tc>
      </w:tr>
      <w:tr>
        <w:trPr>
          <w:trHeight w:val="405"/>
        </w:trPr>
        <w:tc>
          <w:tcPr>
            <w:tcW w:w="1000" w:type="dxa"/>
            <w:vAlign w:val="bottom"/>
          </w:tcPr>
          <w:p>
            <w:pPr>
              <w:ind w:left="100"/>
              <w:spacing w:after="0"/>
              <w:rPr>
                <w:sz w:val="20"/>
                <w:szCs w:val="20"/>
                <w:color w:val="auto"/>
              </w:rPr>
            </w:pPr>
            <w:r>
              <w:rPr>
                <w:rFonts w:ascii="Courier New" w:cs="Courier New" w:eastAsia="Courier New" w:hAnsi="Courier New"/>
                <w:sz w:val="18"/>
                <w:szCs w:val="18"/>
                <w:color w:val="auto"/>
              </w:rPr>
              <w:t>Item 13.</w:t>
            </w:r>
          </w:p>
        </w:tc>
        <w:tc>
          <w:tcPr>
            <w:tcW w:w="5060" w:type="dxa"/>
            <w:vAlign w:val="bottom"/>
          </w:tcPr>
          <w:p>
            <w:pPr>
              <w:ind w:left="40"/>
              <w:spacing w:after="0"/>
              <w:rPr>
                <w:sz w:val="20"/>
                <w:szCs w:val="20"/>
                <w:color w:val="auto"/>
              </w:rPr>
            </w:pPr>
            <w:r>
              <w:rPr>
                <w:rFonts w:ascii="Courier New" w:cs="Courier New" w:eastAsia="Courier New" w:hAnsi="Courier New"/>
                <w:sz w:val="18"/>
                <w:szCs w:val="18"/>
                <w:color w:val="auto"/>
              </w:rPr>
              <w:t>Certain Relationships and Related Transactions</w:t>
            </w:r>
          </w:p>
        </w:tc>
        <w:tc>
          <w:tcPr>
            <w:tcW w:w="1520" w:type="dxa"/>
            <w:vAlign w:val="bottom"/>
          </w:tcPr>
          <w:p>
            <w:pPr>
              <w:ind w:left="140"/>
              <w:spacing w:after="0"/>
              <w:rPr>
                <w:sz w:val="20"/>
                <w:szCs w:val="20"/>
                <w:color w:val="auto"/>
              </w:rPr>
            </w:pPr>
            <w:r>
              <w:rPr>
                <w:rFonts w:ascii="Courier New" w:cs="Courier New" w:eastAsia="Courier New" w:hAnsi="Courier New"/>
                <w:sz w:val="18"/>
                <w:szCs w:val="18"/>
                <w:color w:val="auto"/>
              </w:rPr>
              <w:t>III - 22</w:t>
            </w:r>
          </w:p>
        </w:tc>
      </w:tr>
      <w:tr>
        <w:trPr>
          <w:trHeight w:val="405"/>
        </w:trPr>
        <w:tc>
          <w:tcPr>
            <w:tcW w:w="60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Item 14(c) Exhibits</w:t>
            </w:r>
          </w:p>
        </w:tc>
        <w:tc>
          <w:tcPr>
            <w:tcW w:w="1520" w:type="dxa"/>
            <w:vAlign w:val="bottom"/>
          </w:tcPr>
          <w:p>
            <w:pPr>
              <w:ind w:left="140"/>
              <w:spacing w:after="0"/>
              <w:rPr>
                <w:sz w:val="20"/>
                <w:szCs w:val="20"/>
                <w:color w:val="auto"/>
              </w:rPr>
            </w:pPr>
            <w:r>
              <w:rPr>
                <w:rFonts w:ascii="Courier New" w:cs="Courier New" w:eastAsia="Courier New" w:hAnsi="Courier New"/>
                <w:sz w:val="18"/>
                <w:szCs w:val="18"/>
                <w:color w:val="auto"/>
                <w:w w:val="96"/>
              </w:rPr>
              <w:t>Exhibit 23(c)</w:t>
            </w:r>
          </w:p>
        </w:tc>
      </w:tr>
      <w:tr>
        <w:trPr>
          <w:trHeight w:val="203"/>
        </w:trPr>
        <w:tc>
          <w:tcPr>
            <w:tcW w:w="100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6"/>
              </w:rPr>
              <w:t>Exhibit 23(d)</w:t>
            </w:r>
          </w:p>
        </w:tc>
      </w:tr>
    </w:tbl>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Pursuant to the requirements of this Securities and Exchange Act of 1934, the registrant has duly caused this amendment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520" w:type="dxa"/>
            <w:vAlign w:val="bottom"/>
            <w:gridSpan w:val="2"/>
          </w:tcPr>
          <w:p>
            <w:pPr>
              <w:ind w:left="1000"/>
              <w:spacing w:after="0"/>
              <w:rPr>
                <w:sz w:val="20"/>
                <w:szCs w:val="20"/>
                <w:color w:val="auto"/>
              </w:rPr>
            </w:pPr>
            <w:r>
              <w:rPr>
                <w:rFonts w:ascii="Courier New" w:cs="Courier New" w:eastAsia="Courier New" w:hAnsi="Courier New"/>
                <w:sz w:val="18"/>
                <w:szCs w:val="18"/>
                <w:color w:val="auto"/>
              </w:rPr>
              <w:t>VIACOM INC.</w:t>
            </w:r>
          </w:p>
        </w:tc>
      </w:tr>
      <w:tr>
        <w:trPr>
          <w:trHeight w:val="810"/>
        </w:trPr>
        <w:tc>
          <w:tcPr>
            <w:tcW w:w="80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May 2, 1994</w:t>
            </w:r>
          </w:p>
        </w:tc>
        <w:tc>
          <w:tcPr>
            <w:tcW w:w="1480" w:type="dxa"/>
            <w:vAlign w:val="bottom"/>
          </w:tcPr>
          <w:p>
            <w:pPr>
              <w:ind w:left="1000"/>
              <w:spacing w:after="0"/>
              <w:rPr>
                <w:sz w:val="20"/>
                <w:szCs w:val="20"/>
                <w:color w:val="auto"/>
              </w:rPr>
            </w:pPr>
            <w:r>
              <w:rPr>
                <w:rFonts w:ascii="Courier New" w:cs="Courier New" w:eastAsia="Courier New" w:hAnsi="Courier New"/>
                <w:sz w:val="18"/>
                <w:szCs w:val="18"/>
                <w:color w:val="auto"/>
              </w:rPr>
              <w:t>By:</w:t>
            </w:r>
          </w:p>
        </w:tc>
        <w:tc>
          <w:tcPr>
            <w:tcW w:w="2040" w:type="dxa"/>
            <w:vAlign w:val="bottom"/>
          </w:tcPr>
          <w:p>
            <w:pPr>
              <w:ind w:left="160"/>
              <w:spacing w:after="0"/>
              <w:rPr>
                <w:sz w:val="20"/>
                <w:szCs w:val="20"/>
                <w:color w:val="auto"/>
              </w:rPr>
            </w:pPr>
            <w:r>
              <w:rPr>
                <w:rFonts w:ascii="Courier New" w:cs="Courier New" w:eastAsia="Courier New" w:hAnsi="Courier New"/>
                <w:sz w:val="18"/>
                <w:szCs w:val="18"/>
                <w:color w:val="auto"/>
                <w:w w:val="95"/>
              </w:rPr>
              <w:t>/s/ Kevin C. Lavan</w:t>
            </w:r>
          </w:p>
        </w:tc>
      </w:tr>
    </w:tbl>
    <w:p>
      <w:pPr>
        <w:ind w:left="1060"/>
        <w:spacing w:after="0" w:line="238" w:lineRule="auto"/>
        <w:tabs>
          <w:tab w:leader="none" w:pos="4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Kevin C. Lavan</w:t>
      </w:r>
    </w:p>
    <w:p>
      <w:pPr>
        <w:ind w:left="4220"/>
        <w:spacing w:after="0" w:line="237" w:lineRule="auto"/>
        <w:rPr>
          <w:sz w:val="20"/>
          <w:szCs w:val="20"/>
          <w:color w:val="auto"/>
        </w:rPr>
      </w:pPr>
      <w:r>
        <w:rPr>
          <w:rFonts w:ascii="Courier New" w:cs="Courier New" w:eastAsia="Courier New" w:hAnsi="Courier New"/>
          <w:sz w:val="18"/>
          <w:szCs w:val="18"/>
          <w:color w:val="auto"/>
        </w:rPr>
        <w:t>Vice President, Controller and</w:t>
      </w:r>
    </w:p>
    <w:p>
      <w:pPr>
        <w:ind w:left="4440"/>
        <w:spacing w:after="0" w:line="238" w:lineRule="auto"/>
        <w:rPr>
          <w:sz w:val="20"/>
          <w:szCs w:val="20"/>
          <w:color w:val="auto"/>
        </w:rPr>
      </w:pPr>
      <w:r>
        <w:rPr>
          <w:rFonts w:ascii="Courier New" w:cs="Courier New" w:eastAsia="Courier New" w:hAnsi="Courier New"/>
          <w:sz w:val="18"/>
          <w:szCs w:val="18"/>
          <w:color w:val="auto"/>
        </w:rPr>
        <w:t>Chief Accounting Officer</w:t>
      </w:r>
    </w:p>
    <w:p>
      <w:pPr>
        <w:sectPr>
          <w:pgSz w:w="11900" w:h="16838" w:orient="portrait"/>
          <w:cols w:equalWidth="0" w:num="1">
            <w:col w:w="10219"/>
          </w:cols>
          <w:pgMar w:left="240" w:top="136" w:right="1440" w:bottom="1440" w:gutter="0" w:footer="0" w:header="0"/>
        </w:sectPr>
      </w:pPr>
    </w:p>
    <w:bookmarkStart w:id="2" w:name="page3"/>
    <w:bookmarkEnd w:id="2"/>
    <w:p>
      <w:pPr>
        <w:ind w:left="3380"/>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BUSINESS.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BACKGROUND</w:t>
      </w:r>
    </w:p>
    <w:p>
      <w:pPr>
        <w:spacing w:after="0" w:line="207" w:lineRule="exact"/>
        <w:rPr>
          <w:sz w:val="20"/>
          <w:szCs w:val="20"/>
          <w:color w:val="auto"/>
        </w:rPr>
      </w:pPr>
    </w:p>
    <w:p>
      <w:pPr>
        <w:ind w:right="3259" w:firstLine="421"/>
        <w:spacing w:after="0" w:line="237" w:lineRule="auto"/>
        <w:rPr>
          <w:sz w:val="20"/>
          <w:szCs w:val="20"/>
          <w:color w:val="auto"/>
        </w:rPr>
      </w:pPr>
      <w:r>
        <w:rPr>
          <w:rFonts w:ascii="Courier New" w:cs="Courier New" w:eastAsia="Courier New" w:hAnsi="Courier New"/>
          <w:sz w:val="18"/>
          <w:szCs w:val="18"/>
          <w:color w:val="auto"/>
        </w:rPr>
        <w:t>Viacom International Inc. (the "Company") is a diversified entertainment and communications company with operations in four principal segments: Networks, Entertainment, Cable Television and Broadcasting.</w:t>
      </w:r>
    </w:p>
    <w:p>
      <w:pPr>
        <w:spacing w:after="0" w:line="207" w:lineRule="exact"/>
        <w:rPr>
          <w:sz w:val="20"/>
          <w:szCs w:val="20"/>
          <w:color w:val="auto"/>
        </w:rPr>
      </w:pPr>
    </w:p>
    <w:p>
      <w:pPr>
        <w:ind w:right="2839" w:firstLine="421"/>
        <w:spacing w:after="0" w:line="238" w:lineRule="auto"/>
        <w:rPr>
          <w:sz w:val="20"/>
          <w:szCs w:val="20"/>
          <w:color w:val="auto"/>
        </w:rPr>
      </w:pPr>
      <w:r>
        <w:rPr>
          <w:rFonts w:ascii="Courier New" w:cs="Courier New" w:eastAsia="Courier New" w:hAnsi="Courier New"/>
          <w:sz w:val="18"/>
          <w:szCs w:val="18"/>
          <w:color w:val="auto"/>
        </w:rPr>
        <w:t>Viacom Networks operates three advertiser-supported basic cable television program services, MTV: MUSIC TELEVISION(R), including MTV EUROPE(TM) and MTV LATINO(TM), VH-1(R)/VIDEO HITS ONE(R), and NICKELODEON(R)/NICK AT NITE(R), and three premium subscription television program services, SHOWTIME(R), THE MOVIE CHANNEL(TM) and FLIX(TM). The Company, directly and through Viacom Networks, participates as a joint venturer in four additional advertiser-supported basic cable program services: LIFETIME(R), COMEDY CENTRAL(TM), NICKELODEON (TM) (U.K.), and ALL NEWS CHANNEL(TM). On March 29, 1994, the Company agreed to sell its one-third partnership interest in LIFETIME to its partners The Hearst Corporation and Capital Cities/ABC Inc. for approximately $317.6 million; this transaction is expected to close in the second quarter of 1994. Viacom Entertainment distributes television series, feature films, made-for-television movies, mini-series and specials for television exhibition in domestic and international markets, produces television series and movies for prime time broadcast network television, acquires and distributes television series for initial exhibition on a "first run" basis, and develops, produces, distributes and markets interactive software for the stand-alone and other multimedia marketplaces. Viacom Cable Television owns and operates cable television systems in California, and the Pacific Northwest and Midwest regions of the United States. Viacom Broadcasting owns and operates five network-affiliated television stations and fourteen radio stations.</w:t>
      </w:r>
    </w:p>
    <w:p>
      <w:pPr>
        <w:spacing w:after="0" w:line="21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Viacom International Inc. was originally organized in Delaware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1970 as a wholly owned subsidiary of CBS Inc., and was</w:t>
      </w:r>
    </w:p>
    <w:p>
      <w:pPr>
        <w:spacing w:after="0"/>
        <w:tabs>
          <w:tab w:leader="none" w:pos="6420" w:val="left"/>
        </w:tabs>
        <w:rPr>
          <w:sz w:val="20"/>
          <w:szCs w:val="20"/>
          <w:color w:val="auto"/>
        </w:rPr>
      </w:pPr>
      <w:r>
        <w:rPr>
          <w:rFonts w:ascii="Courier New" w:cs="Courier New" w:eastAsia="Courier New" w:hAnsi="Courier New"/>
          <w:sz w:val="18"/>
          <w:szCs w:val="18"/>
          <w:color w:val="auto"/>
        </w:rPr>
        <w:t>reincorporated in Ohio in 1975 (the "Predecessor Company").</w:t>
      </w:r>
      <w:r>
        <w:rPr>
          <w:sz w:val="20"/>
          <w:szCs w:val="20"/>
          <w:color w:val="auto"/>
        </w:rPr>
        <w:tab/>
      </w:r>
      <w:r>
        <w:rPr>
          <w:rFonts w:ascii="Courier New" w:cs="Courier New" w:eastAsia="Courier New" w:hAnsi="Courier New"/>
          <w:sz w:val="16"/>
          <w:szCs w:val="16"/>
          <w:color w:val="auto"/>
        </w:rPr>
        <w:t>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9, 1987, the Predecessor Company became an indirect wholly owned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 of Viacom Inc. in a leveraged buyout pursuant to a merger</w:t>
      </w:r>
    </w:p>
    <w:p>
      <w:pPr>
        <w:spacing w:after="0" w:line="238" w:lineRule="auto"/>
        <w:rPr>
          <w:sz w:val="20"/>
          <w:szCs w:val="20"/>
          <w:color w:val="auto"/>
        </w:rPr>
      </w:pPr>
      <w:r>
        <w:rPr>
          <w:rFonts w:ascii="Courier New" w:cs="Courier New" w:eastAsia="Courier New" w:hAnsi="Courier New"/>
          <w:sz w:val="18"/>
          <w:szCs w:val="18"/>
          <w:color w:val="auto"/>
        </w:rPr>
        <w:t>(the "Merger") of a subsidiary of Viacom Inc. into the Predecessor</w:t>
      </w:r>
    </w:p>
    <w:p>
      <w:pPr>
        <w:spacing w:after="0"/>
        <w:tabs>
          <w:tab w:leader="none" w:pos="4940" w:val="left"/>
        </w:tabs>
        <w:rPr>
          <w:sz w:val="20"/>
          <w:szCs w:val="20"/>
          <w:color w:val="auto"/>
        </w:rPr>
      </w:pPr>
      <w:r>
        <w:rPr>
          <w:rFonts w:ascii="Courier New" w:cs="Courier New" w:eastAsia="Courier New" w:hAnsi="Courier New"/>
          <w:sz w:val="18"/>
          <w:szCs w:val="18"/>
          <w:color w:val="auto"/>
        </w:rPr>
        <w:t>Company, which was the surviving corporation.</w:t>
      </w:r>
      <w:r>
        <w:rPr>
          <w:sz w:val="20"/>
          <w:szCs w:val="20"/>
          <w:color w:val="auto"/>
        </w:rPr>
        <w:tab/>
      </w:r>
      <w:r>
        <w:rPr>
          <w:rFonts w:ascii="Courier New" w:cs="Courier New" w:eastAsia="Courier New" w:hAnsi="Courier New"/>
          <w:sz w:val="16"/>
          <w:szCs w:val="16"/>
          <w:color w:val="auto"/>
        </w:rPr>
        <w:t>On April 26, 1990,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pursuant to a plan of liquidation, the Predecessor Company merged into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direct wholly owned subsidiary of Viacom Inc., and the surviving</w:t>
      </w:r>
    </w:p>
    <w:p>
      <w:pPr>
        <w:spacing w:after="0" w:line="238" w:lineRule="auto"/>
        <w:rPr>
          <w:sz w:val="20"/>
          <w:szCs w:val="20"/>
          <w:color w:val="auto"/>
        </w:rPr>
      </w:pPr>
      <w:r>
        <w:rPr>
          <w:rFonts w:ascii="Courier New" w:cs="Courier New" w:eastAsia="Courier New" w:hAnsi="Courier New"/>
          <w:sz w:val="18"/>
          <w:szCs w:val="18"/>
          <w:color w:val="auto"/>
        </w:rPr>
        <w:t>Delaware corporation simultaneously changed its name to "Viacom</w:t>
      </w:r>
    </w:p>
    <w:p>
      <w:pPr>
        <w:spacing w:after="0"/>
        <w:rPr>
          <w:sz w:val="20"/>
          <w:szCs w:val="20"/>
          <w:color w:val="auto"/>
        </w:rPr>
      </w:pPr>
      <w:r>
        <w:rPr>
          <w:rFonts w:ascii="Courier New" w:cs="Courier New" w:eastAsia="Courier New" w:hAnsi="Courier New"/>
          <w:sz w:val="18"/>
          <w:szCs w:val="18"/>
          <w:color w:val="auto"/>
        </w:rPr>
        <w:t>International Inc."</w:t>
      </w:r>
    </w:p>
    <w:p>
      <w:pPr>
        <w:spacing w:after="0" w:line="206" w:lineRule="exact"/>
        <w:rPr>
          <w:sz w:val="20"/>
          <w:szCs w:val="20"/>
          <w:color w:val="auto"/>
        </w:rPr>
      </w:pPr>
    </w:p>
    <w:p>
      <w:pPr>
        <w:ind w:right="2939" w:firstLine="421"/>
        <w:spacing w:after="0" w:line="237" w:lineRule="auto"/>
        <w:rPr>
          <w:sz w:val="20"/>
          <w:szCs w:val="20"/>
          <w:color w:val="auto"/>
        </w:rPr>
      </w:pPr>
      <w:r>
        <w:rPr>
          <w:rFonts w:ascii="Courier New" w:cs="Courier New" w:eastAsia="Courier New" w:hAnsi="Courier New"/>
          <w:sz w:val="18"/>
          <w:szCs w:val="18"/>
          <w:color w:val="auto"/>
        </w:rPr>
        <w:t>All references herein to the term "Company" refer, unless the context otherwise requires, to Viacom International Inc., its consolidated subsidiaries and the Predecessor Company. The Company's principal offices are located at 1515 Broadway, New York, New York 10036 (telephone (212) 258-6000).</w:t>
      </w:r>
    </w:p>
    <w:p>
      <w:pPr>
        <w:spacing w:after="0" w:line="209" w:lineRule="exact"/>
        <w:rPr>
          <w:sz w:val="20"/>
          <w:szCs w:val="20"/>
          <w:color w:val="auto"/>
        </w:rPr>
      </w:pPr>
    </w:p>
    <w:p>
      <w:pPr>
        <w:ind w:right="2939" w:firstLine="421"/>
        <w:spacing w:after="0" w:line="275" w:lineRule="auto"/>
        <w:rPr>
          <w:sz w:val="20"/>
          <w:szCs w:val="20"/>
          <w:color w:val="auto"/>
        </w:rPr>
      </w:pPr>
      <w:r>
        <w:rPr>
          <w:rFonts w:ascii="Courier New" w:cs="Courier New" w:eastAsia="Courier New" w:hAnsi="Courier New"/>
          <w:sz w:val="16"/>
          <w:szCs w:val="16"/>
          <w:color w:val="auto"/>
        </w:rPr>
        <w:t>Viacom Inc. was organized in Delaware in 1986 for the purpose of acquiring the Company. As of December 31, 1993, National Amusements, Inc. ("NAI"), a closely held corporation that owns and operates approximately 850 movie screens in the United States and the United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 - 1</w:t>
      </w:r>
    </w:p>
    <w:p>
      <w:pPr>
        <w:sectPr>
          <w:pgSz w:w="11900" w:h="16838" w:orient="portrait"/>
          <w:cols w:equalWidth="0" w:num="1">
            <w:col w:w="10219"/>
          </w:cols>
          <w:pgMar w:left="240" w:top="717" w:right="1440" w:bottom="1440" w:gutter="0" w:footer="0" w:header="0"/>
        </w:sectPr>
      </w:pPr>
    </w:p>
    <w:bookmarkStart w:id="3" w:name="page4"/>
    <w:bookmarkEnd w:id="3"/>
    <w:p>
      <w:pPr>
        <w:ind w:right="2839"/>
        <w:spacing w:after="0" w:line="237" w:lineRule="auto"/>
        <w:rPr>
          <w:sz w:val="20"/>
          <w:szCs w:val="20"/>
          <w:color w:val="auto"/>
        </w:rPr>
      </w:pPr>
      <w:r>
        <w:rPr>
          <w:rFonts w:ascii="Courier New" w:cs="Courier New" w:eastAsia="Courier New" w:hAnsi="Courier New"/>
          <w:sz w:val="18"/>
          <w:szCs w:val="18"/>
          <w:color w:val="auto"/>
        </w:rPr>
        <w:t>Kingdom, owned 45,547,214 shares or 85.2% of the Class A Common Stock ("Class A Common Stock"), and 46,565,414 shares or 69.1% of the Class B Common Stock ("Class B Common Stock") outstanding on such date. NAI is not subject to the informational filing requirements of the Securities Exchange Act of 1934, as amended. Sumner M. Redstone, the controlling shareholder of NAI, is the Chairman of the Board of Viacom Inc. and the Company.</w:t>
      </w:r>
    </w:p>
    <w:p>
      <w:pPr>
        <w:spacing w:after="0" w:line="211" w:lineRule="exact"/>
        <w:rPr>
          <w:sz w:val="20"/>
          <w:szCs w:val="20"/>
          <w:color w:val="auto"/>
        </w:rPr>
      </w:pPr>
    </w:p>
    <w:p>
      <w:pPr>
        <w:ind w:right="2939" w:firstLine="421"/>
        <w:spacing w:after="0" w:line="237" w:lineRule="auto"/>
        <w:rPr>
          <w:sz w:val="20"/>
          <w:szCs w:val="20"/>
          <w:color w:val="auto"/>
        </w:rPr>
      </w:pPr>
      <w:r>
        <w:rPr>
          <w:rFonts w:ascii="Courier New" w:cs="Courier New" w:eastAsia="Courier New" w:hAnsi="Courier New"/>
          <w:sz w:val="18"/>
          <w:szCs w:val="18"/>
          <w:color w:val="auto"/>
        </w:rPr>
        <w:t>As of December 31, 1993, the principal asset of Viacom Inc. (together with its subsidiaries, unless the context otherwise requires, "Viacom Inc.") was the common stock of the Company. Viacom Inc.'s principal executive offices are located at 200 Elm Street, Dedham, Massachusetts 02026.</w:t>
      </w:r>
    </w:p>
    <w:p>
      <w:pPr>
        <w:spacing w:after="0" w:line="209" w:lineRule="exact"/>
        <w:rPr>
          <w:sz w:val="20"/>
          <w:szCs w:val="20"/>
          <w:color w:val="auto"/>
        </w:rPr>
      </w:pPr>
    </w:p>
    <w:p>
      <w:pPr>
        <w:ind w:right="2939" w:firstLine="421"/>
        <w:spacing w:after="0" w:line="235" w:lineRule="auto"/>
        <w:rPr>
          <w:sz w:val="20"/>
          <w:szCs w:val="20"/>
          <w:color w:val="auto"/>
        </w:rPr>
      </w:pPr>
      <w:r>
        <w:rPr>
          <w:rFonts w:ascii="Courier New" w:cs="Courier New" w:eastAsia="Courier New" w:hAnsi="Courier New"/>
          <w:sz w:val="18"/>
          <w:szCs w:val="18"/>
          <w:color w:val="auto"/>
        </w:rPr>
        <w:t>As of December 31, 1993, the Company and its affiliated companies employed approximately 5,000 persons.</w:t>
      </w:r>
    </w:p>
    <w:p>
      <w:pPr>
        <w:spacing w:after="0" w:line="208" w:lineRule="exact"/>
        <w:rPr>
          <w:sz w:val="20"/>
          <w:szCs w:val="20"/>
          <w:color w:val="auto"/>
        </w:rPr>
      </w:pPr>
    </w:p>
    <w:p>
      <w:pPr>
        <w:ind w:right="2839" w:firstLine="421"/>
        <w:spacing w:after="0" w:line="270" w:lineRule="auto"/>
        <w:rPr>
          <w:sz w:val="20"/>
          <w:szCs w:val="20"/>
          <w:color w:val="auto"/>
        </w:rPr>
      </w:pPr>
      <w:r>
        <w:rPr>
          <w:rFonts w:ascii="Courier New" w:cs="Courier New" w:eastAsia="Courier New" w:hAnsi="Courier New"/>
          <w:sz w:val="16"/>
          <w:szCs w:val="16"/>
          <w:color w:val="auto"/>
        </w:rPr>
        <w:t>On March 11, 1994, pursuant to a tender offer (the "Paramount Offer") commenced in the fourth quarter of 1993, Viacom Inc. acquired 61,657,432 shares of Paramount Communications Inc. ("Paramount") common stock constituting a majority of the shares outstanding. The Paramount Offer was made pursuant to an Amended and Restated Agreement and Plan of Merger dated as of February 4, 1994 (the "Paramount Merger Agreement") between Viacom Inc. and Paramount. As a result of the Paramount Merger Agreement, a new wholly owned subsidiary of Viacom Inc. will merge with and into Paramount (the "Paramount Merger"), and Paramount will become a wholly owned subsidiary of Viacom Inc. after the effective time of the Paramount Merger, which is expected to occur in the second quarter of 1994.</w:t>
      </w:r>
    </w:p>
    <w:p>
      <w:pPr>
        <w:spacing w:after="0" w:line="391" w:lineRule="exact"/>
        <w:rPr>
          <w:sz w:val="20"/>
          <w:szCs w:val="20"/>
          <w:color w:val="auto"/>
        </w:rPr>
      </w:pPr>
    </w:p>
    <w:p>
      <w:pPr>
        <w:ind w:right="2839" w:firstLine="421"/>
        <w:spacing w:after="0" w:line="269" w:lineRule="auto"/>
        <w:rPr>
          <w:sz w:val="20"/>
          <w:szCs w:val="20"/>
          <w:color w:val="auto"/>
        </w:rPr>
      </w:pPr>
      <w:r>
        <w:rPr>
          <w:rFonts w:ascii="Courier New" w:cs="Courier New" w:eastAsia="Courier New" w:hAnsi="Courier New"/>
          <w:sz w:val="16"/>
          <w:szCs w:val="16"/>
          <w:color w:val="auto"/>
        </w:rPr>
        <w:t>Except where expressly noted, information is given as of December 31, 1993, and does not include information on or with respect to Paramount or its businesses. Information with respect to Paramount in response to Item 1 is incorporated by reference herein from (i) Item 1 of Paramount's Transition Report on Form 10-K for the six-month period ended April 30, 1993, as such report was amended in its entirety by Form 10-K/A No. 1 dated September 28, 1993, as further amended by Form 10-K/A No. 2 dated September 30, 1993 and as further amended by Form 10-K/A No. 3 dated March 21, 1994 and (ii) Paramount's Quarterly Reports on Form 10-Q for the quarters ended July 31, 1993, October 31, 1993 and January 31, 1994 (the documents in clauses (i) and (ii) being hereinafter collectively referred to as the "Paramount Reports"). Information in the Paramount Reports is given as of the date of each such report and is not updated herein. A copy of each of the Paramount Reports is included as an exhibit hereto. Descriptions of all documents incorporated by reference herein or included as exhibits hereto are qualified in their entirety by reference to the full text of such documents so incorporated or included.</w:t>
      </w:r>
    </w:p>
    <w:p>
      <w:pPr>
        <w:spacing w:after="0" w:line="395" w:lineRule="exact"/>
        <w:rPr>
          <w:sz w:val="20"/>
          <w:szCs w:val="20"/>
          <w:color w:val="auto"/>
        </w:rPr>
      </w:pPr>
    </w:p>
    <w:p>
      <w:pPr>
        <w:ind w:right="3039" w:firstLine="421"/>
        <w:spacing w:after="0" w:line="271" w:lineRule="auto"/>
        <w:rPr>
          <w:sz w:val="20"/>
          <w:szCs w:val="20"/>
          <w:color w:val="auto"/>
        </w:rPr>
      </w:pPr>
      <w:r>
        <w:rPr>
          <w:rFonts w:ascii="Courier New" w:cs="Courier New" w:eastAsia="Courier New" w:hAnsi="Courier New"/>
          <w:sz w:val="16"/>
          <w:szCs w:val="16"/>
          <w:color w:val="auto"/>
        </w:rPr>
        <w:t>The businesses of Paramount are entertainment and publishing. Entertainment includes the production, financing and distribution of motion pictures, television programming and prerecorded videocassettes, and the operation of motion picture theaters, independent television stations, regional theme parks and Madison Square Garden. Publishing includes the publication and distribution of hard cover and paperback books for the general public, textbooks for elementary schools, high schools and colleges, and the provision of information services for business and professions.</w:t>
      </w:r>
    </w:p>
    <w:p>
      <w:pPr>
        <w:spacing w:after="0" w:line="17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On January 7, 1994, Viacom Inc. and Blockbuster Entertainment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 - 2</w:t>
      </w:r>
    </w:p>
    <w:p>
      <w:pPr>
        <w:sectPr>
          <w:pgSz w:w="11900" w:h="16838" w:orient="portrait"/>
          <w:cols w:equalWidth="0" w:num="1">
            <w:col w:w="10219"/>
          </w:cols>
          <w:pgMar w:left="240" w:top="723" w:right="1440" w:bottom="1440" w:gutter="0" w:footer="0" w:header="0"/>
        </w:sectPr>
      </w:pPr>
    </w:p>
    <w:bookmarkStart w:id="4" w:name="page5"/>
    <w:bookmarkEnd w:id="4"/>
    <w:p>
      <w:pPr>
        <w:ind w:right="2839"/>
        <w:spacing w:after="0" w:line="237" w:lineRule="auto"/>
        <w:rPr>
          <w:sz w:val="20"/>
          <w:szCs w:val="20"/>
          <w:color w:val="auto"/>
        </w:rPr>
      </w:pPr>
      <w:r>
        <w:rPr>
          <w:rFonts w:ascii="Courier New" w:cs="Courier New" w:eastAsia="Courier New" w:hAnsi="Courier New"/>
          <w:sz w:val="18"/>
          <w:szCs w:val="18"/>
          <w:color w:val="auto"/>
        </w:rPr>
        <w:t>Corporation ("Blockbuster") entered into an agreement and plan of merger (the "Blockbuster Merger Agreement") pursuant to which Blockbuster will be merged with and into Viacom Inc. (the "Blockbuster Merger").</w:t>
      </w:r>
    </w:p>
    <w:p>
      <w:pPr>
        <w:spacing w:after="0" w:line="207" w:lineRule="exact"/>
        <w:rPr>
          <w:sz w:val="20"/>
          <w:szCs w:val="20"/>
          <w:color w:val="auto"/>
        </w:rPr>
      </w:pPr>
    </w:p>
    <w:p>
      <w:pPr>
        <w:ind w:right="3039" w:firstLine="421"/>
        <w:spacing w:after="0" w:line="237" w:lineRule="auto"/>
        <w:rPr>
          <w:sz w:val="20"/>
          <w:szCs w:val="20"/>
          <w:color w:val="auto"/>
        </w:rPr>
      </w:pPr>
      <w:r>
        <w:rPr>
          <w:rFonts w:ascii="Courier New" w:cs="Courier New" w:eastAsia="Courier New" w:hAnsi="Courier New"/>
          <w:sz w:val="18"/>
          <w:szCs w:val="18"/>
          <w:color w:val="auto"/>
        </w:rPr>
        <w:t>Blockbuster is an international entertainment company with businesses operating in the home video, music retailing and filmed entertainment industries. Blockbuster also has investments in other entertainment related businesses.</w:t>
      </w:r>
    </w:p>
    <w:p>
      <w:pPr>
        <w:spacing w:after="0" w:line="207" w:lineRule="exact"/>
        <w:rPr>
          <w:sz w:val="20"/>
          <w:szCs w:val="20"/>
          <w:color w:val="auto"/>
        </w:rPr>
      </w:pPr>
    </w:p>
    <w:p>
      <w:pPr>
        <w:ind w:right="2839" w:firstLine="527"/>
        <w:spacing w:after="0" w:line="270" w:lineRule="auto"/>
        <w:rPr>
          <w:sz w:val="20"/>
          <w:szCs w:val="20"/>
          <w:color w:val="auto"/>
        </w:rPr>
      </w:pPr>
      <w:r>
        <w:rPr>
          <w:rFonts w:ascii="Courier New" w:cs="Courier New" w:eastAsia="Courier New" w:hAnsi="Courier New"/>
          <w:sz w:val="16"/>
          <w:szCs w:val="16"/>
          <w:color w:val="auto"/>
        </w:rPr>
        <w:t>The mergers pursuant to the Paramount Merger Agreement and Blockbuster Merger Agreement (collectively, the "Mergers") have been unanimously approved by the Boards of Directors of each of the respective companies. The obligations of Viacom Inc., Blockbuster and Paramount to consummate the mergers are subject to various conditions, including obtaining requisite stockholder approvals. Viacom Inc. holds sufficient shares of Paramount common stock to approve, on behalf of Paramount, the Paramount Merger and intends to vote its shares of Paramount in favor of the merger, and NAI has agreed to vote its shares of Viacom Inc. in favor of the Mergers; therefore, stockholder approval of the Paramount Merger is assured, and approval by Viacom Inc. of the Blockbuster Merger is also assured.</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INFORMATION ABOUT INDUSTRY SEGMENTS</w:t>
      </w:r>
    </w:p>
    <w:p>
      <w:pPr>
        <w:spacing w:after="0" w:line="207"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The contribution to revenues and earnings from operations of each industry segment and the identifiable assets attributable to each industry segment for each of the last three years ending December 31, are set forth in Note 12 ("Business Segments") to the Consolidated Financial Statements of Viacom Inc. and the Company included elsewhere herein.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INFORMATION ABOUT FOREIGN AND DOMESTIC OPERATIONS</w:t>
      </w:r>
    </w:p>
    <w:p>
      <w:pPr>
        <w:spacing w:after="0" w:line="207" w:lineRule="exact"/>
        <w:rPr>
          <w:sz w:val="20"/>
          <w:szCs w:val="20"/>
          <w:color w:val="auto"/>
        </w:rPr>
      </w:pPr>
    </w:p>
    <w:p>
      <w:pPr>
        <w:ind w:right="2939" w:firstLine="421"/>
        <w:spacing w:after="0" w:line="237" w:lineRule="auto"/>
        <w:rPr>
          <w:sz w:val="20"/>
          <w:szCs w:val="20"/>
          <w:color w:val="auto"/>
        </w:rPr>
      </w:pPr>
      <w:r>
        <w:rPr>
          <w:rFonts w:ascii="Courier New" w:cs="Courier New" w:eastAsia="Courier New" w:hAnsi="Courier New"/>
          <w:sz w:val="18"/>
          <w:szCs w:val="18"/>
          <w:color w:val="auto"/>
        </w:rPr>
        <w:t>Financial information relating to foreign and domestic operations for each of the last three years ending December 31, is set forth in Notes 11 and 12 ("Foreign Operations" and "Business Segments") to the Consolidated Financial Statements of Viacom Inc. and the Company included elsewhere herein.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VIACOM NETWORKS</w:t>
      </w:r>
    </w:p>
    <w:p>
      <w:pPr>
        <w:spacing w:after="0" w:line="207" w:lineRule="exact"/>
        <w:rPr>
          <w:sz w:val="20"/>
          <w:szCs w:val="20"/>
          <w:color w:val="auto"/>
        </w:rPr>
      </w:pPr>
    </w:p>
    <w:p>
      <w:pPr>
        <w:ind w:right="2839" w:firstLine="421"/>
        <w:spacing w:after="0" w:line="238" w:lineRule="auto"/>
        <w:rPr>
          <w:sz w:val="20"/>
          <w:szCs w:val="20"/>
          <w:color w:val="auto"/>
        </w:rPr>
      </w:pPr>
      <w:r>
        <w:rPr>
          <w:rFonts w:ascii="Courier New" w:cs="Courier New" w:eastAsia="Courier New" w:hAnsi="Courier New"/>
          <w:sz w:val="18"/>
          <w:szCs w:val="18"/>
          <w:color w:val="auto"/>
        </w:rPr>
        <w:t>Viacom Networks operates three advertiser-supported basic cable television program services, MTV: MUSIC TELEVISION(R) ("MTV"), including MTV EUROPE(TM) and MTV LATINO(TM), VH-1(R)/VIDEO HITS ONE(R) ("VH-1") and NICKELODEON(R)/NICK AT NITE(R), and three premium subscription television program services, SHOWTIME(R), THE MOVIE CHANNEL(TM) and FLIX(TM). The Company, directly and through Viacom Networks, participates as a joint venturer in four additional advertiser-supported basic cable program services: LIFETIME(R) with The Hearst Corporation and Capital Cities/ABC Video Enterprises, Inc., COMEDY CENTRAL(TM) with Home Box Office ("HBO"), a division of Time Warner Entertainment Company, L.P., NICKELODEON(TM)(U.K.) with a subsidiary of British Sky Broadcasting Limited, and ALL NEWS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 - 3</w:t>
      </w:r>
    </w:p>
    <w:p>
      <w:pPr>
        <w:sectPr>
          <w:pgSz w:w="11900" w:h="16838" w:orient="portrait"/>
          <w:cols w:equalWidth="0" w:num="1">
            <w:col w:w="10219"/>
          </w:cols>
          <w:pgMar w:left="240" w:top="723" w:right="1440" w:bottom="1440" w:gutter="0" w:footer="0" w:header="0"/>
        </w:sectPr>
      </w:pPr>
    </w:p>
    <w:bookmarkStart w:id="5" w:name="page6"/>
    <w:bookmarkEnd w:id="5"/>
    <w:p>
      <w:pPr>
        <w:ind w:right="2839"/>
        <w:spacing w:after="0" w:line="238" w:lineRule="auto"/>
        <w:rPr>
          <w:sz w:val="20"/>
          <w:szCs w:val="20"/>
          <w:color w:val="auto"/>
        </w:rPr>
      </w:pPr>
      <w:r>
        <w:rPr>
          <w:rFonts w:ascii="Courier New" w:cs="Courier New" w:eastAsia="Courier New" w:hAnsi="Courier New"/>
          <w:sz w:val="18"/>
          <w:szCs w:val="18"/>
          <w:color w:val="auto"/>
        </w:rPr>
        <w:t>CHANNEL(TM) with Conus Communications. On March 29, 1994, the Company agreed to sell its one-third partnership interest in Lifetime to its partners The Hearst Corporation and Capital Cities/ABC Inc. for approximately $317.6 million; this transaction is expected to close in the second quarter of 1994. MTV Networks launched two new services in 1993, NICKELODEON (U.K.) in September and MTV LATINO in October. Viacom Networks also distributes special events and feature films on a pay-per-view basis through SET(TM) PAY PER VIEW and packages satellite-delivered program services for distribution to home satellite dish owners through SHOWTIME SATELLITE NETWORKS(TM). Viacom Networks, through its operation of the Showtime Entertainment Group, also arranges for the development and production of original programs and motion pictures, including feature films under the Viacom Pictures label. These original programs and motion pictures premiere domestically on SHOWTIME and certain of such programming is exploited in various media worldwide.</w:t>
      </w:r>
    </w:p>
    <w:p>
      <w:pPr>
        <w:spacing w:after="0" w:line="208" w:lineRule="exact"/>
        <w:rPr>
          <w:sz w:val="20"/>
          <w:szCs w:val="20"/>
          <w:color w:val="auto"/>
        </w:rPr>
      </w:pPr>
    </w:p>
    <w:p>
      <w:pPr>
        <w:ind w:right="2839" w:firstLine="421"/>
        <w:spacing w:after="0" w:line="271" w:lineRule="auto"/>
        <w:rPr>
          <w:sz w:val="20"/>
          <w:szCs w:val="20"/>
          <w:color w:val="auto"/>
        </w:rPr>
      </w:pPr>
      <w:r>
        <w:rPr>
          <w:rFonts w:ascii="Courier New" w:cs="Courier New" w:eastAsia="Courier New" w:hAnsi="Courier New"/>
          <w:sz w:val="16"/>
          <w:szCs w:val="16"/>
          <w:color w:val="auto"/>
        </w:rPr>
        <w:t>Basic cable program services derive revenues primarily from two sources: the sale of advertising time to national advertisers and per-subscriber license fees paid by cable operators and other distributors. Basic cable services are generally offered to customers of cable television operators and other distributors as part of a package or packages of services for a periodic subscription fee. Premium subscription television program services derive revenues primarily from subscriber fees paid by cable television operators and other distributors. Subscribers typically pay fees for each premium service to cable television operators and other distributors.</w:t>
      </w:r>
    </w:p>
    <w:p>
      <w:pPr>
        <w:spacing w:after="0" w:line="386" w:lineRule="exact"/>
        <w:rPr>
          <w:sz w:val="20"/>
          <w:szCs w:val="20"/>
          <w:color w:val="auto"/>
        </w:rPr>
      </w:pPr>
    </w:p>
    <w:p>
      <w:pPr>
        <w:ind w:right="2939" w:firstLine="421"/>
        <w:spacing w:after="0" w:line="272" w:lineRule="auto"/>
        <w:rPr>
          <w:sz w:val="20"/>
          <w:szCs w:val="20"/>
          <w:color w:val="auto"/>
        </w:rPr>
      </w:pPr>
      <w:r>
        <w:rPr>
          <w:rFonts w:ascii="Courier New" w:cs="Courier New" w:eastAsia="Courier New" w:hAnsi="Courier New"/>
          <w:sz w:val="16"/>
          <w:szCs w:val="16"/>
          <w:color w:val="auto"/>
        </w:rPr>
        <w:t>MTV NETWORKS. MTV Networks ("MTVN") operates MTV: MUSIC TELEVISION, MTV EUROPE, MTV LATINO, NICKELODEON (including the NICKELODEON and NICK AT NITE program segments, and the U.K. NICKELODEON network) and VH-1 which are transmitted via satellite for distribution by cable television operators and other distributors. The MTV, VH-1, NICKELODEON and NICK AT NITE trademarks are strongly identified with the product lines they represent and are significant assets of their respective businesses.</w:t>
      </w:r>
    </w:p>
    <w:p>
      <w:pPr>
        <w:spacing w:after="0" w:line="385" w:lineRule="exact"/>
        <w:rPr>
          <w:sz w:val="20"/>
          <w:szCs w:val="20"/>
          <w:color w:val="auto"/>
        </w:rPr>
      </w:pPr>
    </w:p>
    <w:p>
      <w:pPr>
        <w:ind w:right="2839" w:firstLine="421"/>
        <w:spacing w:after="0" w:line="238" w:lineRule="auto"/>
        <w:rPr>
          <w:sz w:val="20"/>
          <w:szCs w:val="20"/>
          <w:color w:val="auto"/>
        </w:rPr>
      </w:pPr>
      <w:r>
        <w:rPr>
          <w:rFonts w:ascii="Courier New" w:cs="Courier New" w:eastAsia="Courier New" w:hAnsi="Courier New"/>
          <w:sz w:val="18"/>
          <w:szCs w:val="18"/>
          <w:color w:val="auto"/>
        </w:rPr>
        <w:t>MTV: MUSIC TELEVISION is a 24-hours-a-day, seven-days-a-week program service offering a format which consists primarily of rock music videos, augmented by music and general lifestyle information, promotions, news, interviews, comedy, concert tour information, specials, documentaries and other youth-oriented programming. MTV targets young adult viewers from the ages of 12 to 34. In addition to rock music videos, MTV offers regularly scheduled youth-oriented programming such as the animated BEAVIS &amp; BUTT-HEAD(TM), specials such as the Annual MTV Video Music Awards and the MTV Movie Awards, public affairs campaigns, and series such as UNPLUGGED(TM). MTV successfully merchandised BEAVIS &amp; BUTT-HEAD in 1993, featuring a BEAVIS &amp; BUTT-HEAD album, "THE BEAVIS &amp; BUTT-HEAD EXPERIENCE", released in December 1993 by Geffen Records, and "MTV'S BEAVIS &amp; BUTT-HEAD: THIS BOOK SUCKS", which was the first book of the MTV Books imprint published by Callaway Editions/Pocket Books, a division of Simon &amp; Schuster, in November 1993.</w:t>
      </w:r>
    </w:p>
    <w:p>
      <w:pPr>
        <w:spacing w:after="0" w:line="208"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Following the conclusion of MTV's 1992 CHOOSE OR LOSE political awareness campaign and continuing its emphasis on public affairs, MTV launched the FREE YOUR MIND campaign in 1993, focusing on issues of diversity and discrimination, which included on-air promotional spots, news reports and specials and contests.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 - 4</w:t>
      </w:r>
    </w:p>
    <w:p>
      <w:pPr>
        <w:sectPr>
          <w:pgSz w:w="11900" w:h="16838" w:orient="portrait"/>
          <w:cols w:equalWidth="0" w:num="1">
            <w:col w:w="10219"/>
          </w:cols>
          <w:pgMar w:left="240" w:top="723" w:right="1440" w:bottom="1440" w:gutter="0" w:footer="0" w:header="0"/>
        </w:sectPr>
      </w:pPr>
    </w:p>
    <w:bookmarkStart w:id="6" w:name="page7"/>
    <w:bookmarkEnd w:id="6"/>
    <w:p>
      <w:pPr>
        <w:ind w:right="2839" w:firstLine="421"/>
        <w:spacing w:after="0" w:line="237" w:lineRule="auto"/>
        <w:rPr>
          <w:sz w:val="20"/>
          <w:szCs w:val="20"/>
          <w:color w:val="auto"/>
        </w:rPr>
      </w:pPr>
      <w:r>
        <w:rPr>
          <w:rFonts w:ascii="Courier New" w:cs="Courier New" w:eastAsia="Courier New" w:hAnsi="Courier New"/>
          <w:sz w:val="18"/>
          <w:szCs w:val="18"/>
          <w:color w:val="auto"/>
        </w:rPr>
        <w:t>UNPLUGGED features live acoustical performances by major recording artists such as Eric Clapton, Rod Stewart and 10,000 Maniacs. MTV licenses the distribution of UNPLUGGED home video versions of these performances, and MTV and the applicable record labels release the soundtracks to MTV's UNPLUGGED series.</w:t>
      </w:r>
    </w:p>
    <w:p>
      <w:pPr>
        <w:spacing w:after="0" w:line="209"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MTV Productions made its first venture into theatrical film-making by agreeing with Geffen Pictures in 1993 to jointly develop JOE'S APARTMENT into a feature-length film for distribution by Warner Bros. JOE'S APARTMENT is the award-winning short film about a young man's efforts to cope with a big dirty city and a tiny apartment full of talking cockroaches.</w:t>
      </w:r>
    </w:p>
    <w:p>
      <w:pPr>
        <w:spacing w:after="0" w:line="210" w:lineRule="exact"/>
        <w:rPr>
          <w:sz w:val="20"/>
          <w:szCs w:val="20"/>
          <w:color w:val="auto"/>
        </w:rPr>
      </w:pPr>
    </w:p>
    <w:p>
      <w:pPr>
        <w:ind w:right="2839" w:firstLine="421"/>
        <w:spacing w:after="0" w:line="273" w:lineRule="auto"/>
        <w:rPr>
          <w:sz w:val="20"/>
          <w:szCs w:val="20"/>
          <w:color w:val="auto"/>
        </w:rPr>
      </w:pPr>
      <w:r>
        <w:rPr>
          <w:rFonts w:ascii="Courier New" w:cs="Courier New" w:eastAsia="Courier New" w:hAnsi="Courier New"/>
          <w:sz w:val="16"/>
          <w:szCs w:val="16"/>
          <w:color w:val="auto"/>
        </w:rPr>
        <w:t>At December 31, 1993, MTV was licensed to approximately 52.2 million domestic cable subscribers (based on subscriber counts provided by each cable system). According to the December 1993 sample reports issued by the A. C. Nielsen Company (the "Nielsen Report"), MTV reached approximately 59 million subscriber households.</w:t>
      </w:r>
    </w:p>
    <w:p>
      <w:pPr>
        <w:spacing w:after="0" w:line="185"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MTV EUROPE is a 24-hours-a-day, seven-days-a-week video music network distributed via cable systems and direct-to-home satellite transmission throughout Europe, reaching over 58.3 million subscribers as of December 31, 1993 (based on subscriber counts provided by each distributor of the service). During 1993, MTV EUROPE expanded its reach by entering into distribution arrangements in certain countries in Eastern Europe, the former Soviet Union and the Middle East. MTV EUROPE is designed to communicate with Europe's youth in their language by providing approximately 85% European-sourced youth programming, including music videos, fashion, movie shows, MTV NEWS, trends and social issues.</w:t>
      </w:r>
    </w:p>
    <w:p>
      <w:pPr>
        <w:spacing w:after="0" w:line="216" w:lineRule="exact"/>
        <w:rPr>
          <w:sz w:val="20"/>
          <w:szCs w:val="20"/>
          <w:color w:val="auto"/>
        </w:rPr>
      </w:pPr>
    </w:p>
    <w:p>
      <w:pPr>
        <w:ind w:right="2939" w:firstLine="421"/>
        <w:spacing w:after="0" w:line="271" w:lineRule="auto"/>
        <w:rPr>
          <w:sz w:val="20"/>
          <w:szCs w:val="20"/>
          <w:color w:val="auto"/>
        </w:rPr>
      </w:pPr>
      <w:r>
        <w:rPr>
          <w:rFonts w:ascii="Courier New" w:cs="Courier New" w:eastAsia="Courier New" w:hAnsi="Courier New"/>
          <w:sz w:val="16"/>
          <w:szCs w:val="16"/>
          <w:color w:val="auto"/>
        </w:rPr>
        <w:t>In October 1993, MTVN launched MTV LATINO, a 24-hours-a-day, seven-days-a-week music-based program service customized for Spanish-speaking viewers, ages 12 to 34, in Latin America and the United States. MTV LATINO reaches subscribers to cable, multichannel, multidistribution systems ("MMDS"), satellite master antenna television ("SMATV") and direct-to-home viewers in approximately 20 territories in Latin America. MTV LATINO was distributed to approximately 2.4 million subscribers as of December 31, 1993 (based on subscriber counts provided by authorized distributors).</w:t>
      </w:r>
    </w:p>
    <w:p>
      <w:pPr>
        <w:spacing w:after="0" w:line="388" w:lineRule="exact"/>
        <w:rPr>
          <w:sz w:val="20"/>
          <w:szCs w:val="20"/>
          <w:color w:val="auto"/>
        </w:rPr>
      </w:pPr>
    </w:p>
    <w:p>
      <w:pPr>
        <w:ind w:right="2839" w:firstLine="421"/>
        <w:spacing w:after="0" w:line="269" w:lineRule="auto"/>
        <w:rPr>
          <w:sz w:val="20"/>
          <w:szCs w:val="20"/>
          <w:color w:val="auto"/>
        </w:rPr>
      </w:pPr>
      <w:r>
        <w:rPr>
          <w:rFonts w:ascii="Courier New" w:cs="Courier New" w:eastAsia="Courier New" w:hAnsi="Courier New"/>
          <w:sz w:val="16"/>
          <w:szCs w:val="16"/>
          <w:color w:val="auto"/>
        </w:rPr>
        <w:t>MTVN has licensing arrangements covering the distribution of regionally-specific program services called MTV: MUSIC TELEVISION in Asia, Japan and Brazil. MTVN provides creative input and programming, production, marketing and research expertise and support in connection with licenses to each such licensee of the right to package and exhibit a customized MTV program service containing MTV trademarks and logos and a mix of MTV-owned and controlled programming and interstitial material with locally produced programming and interstitial material. Such arrangements include agreements with a subsidiary of HutchVision Limited for a 24-hours-a-day MTV Asia service, which is distributed to 42 million subscriber households via the AsiaSat 1 satellite on the Hong Kong-based Satellite Television Asian Region (STAR) system to 30 countries in Asia and parts of the Middle East; the Abril Group for MTV Brazil, which airs 16-hours-a-day in Brazil, reaching 9.5 million households; and Music Channel Co. Ltd., a joint venture of Pioneer Electronic Corp., TDK Corp. and Tokyu Agency, Inc. for MTV Japan, which launched in December 1992 and is distributed to approximately 810,000 subscriber households in Japan via the Superbird B satellite.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 - 5</w:t>
      </w:r>
    </w:p>
    <w:p>
      <w:pPr>
        <w:sectPr>
          <w:pgSz w:w="11900" w:h="16838" w:orient="portrait"/>
          <w:cols w:equalWidth="0" w:num="1">
            <w:col w:w="10219"/>
          </w:cols>
          <w:pgMar w:left="240" w:top="723" w:right="1440" w:bottom="1440" w:gutter="0" w:footer="0" w:header="0"/>
        </w:sectPr>
      </w:pPr>
    </w:p>
    <w:bookmarkStart w:id="7" w:name="page8"/>
    <w:bookmarkEnd w:id="7"/>
    <w:p>
      <w:pPr>
        <w:ind w:right="2939" w:firstLine="421"/>
        <w:spacing w:after="0" w:line="237" w:lineRule="auto"/>
        <w:rPr>
          <w:sz w:val="20"/>
          <w:szCs w:val="20"/>
          <w:color w:val="auto"/>
        </w:rPr>
      </w:pPr>
      <w:r>
        <w:rPr>
          <w:rFonts w:ascii="Courier New" w:cs="Courier New" w:eastAsia="Courier New" w:hAnsi="Courier New"/>
          <w:sz w:val="18"/>
          <w:szCs w:val="18"/>
          <w:color w:val="auto"/>
        </w:rPr>
        <w:t>MTVN licenses, in international markets, the format rights and/or broadcast television exhibition rights to MTVN-owned or controlled programming. MTVN also licenses the exhibition of "MTV Internacional", a Spanish-language MTV-produced one-hour program, to Spanish-language television stations in the U.S. and abroad. MTVN anticipates further worldwide licensing of MTVN networks, programs, merchandise and format rights.</w:t>
      </w:r>
    </w:p>
    <w:p>
      <w:pPr>
        <w:spacing w:after="0" w:line="211"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NICKELODEON, the first network for kids, is a 24-hours-a-day, seven-days-a-week entertainment program service which combines acquired and originally produced programs in a pro-social, non-violent format, comprising two distinct program segments: NICKELODEON, targeted to audiences ranging from the ages of 2 to 15, and NICK AT NITE, targeted to family audiences including NICKELODEON'S 2 to 15 year old audience and ranging up to age 54. Cable television operators and other distributors typically carry both of the NICKELODEON programming segments.</w:t>
      </w:r>
    </w:p>
    <w:p>
      <w:pPr>
        <w:spacing w:after="0" w:line="214"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In 1993, NICKELODEON expanded its successful original animated programming block, NICKTOONS(R), with the introduction of ROCKO'S MODERN LIFE(TM). NICKELODEON continues to develop original animation projects such as REAL MONSTERS(TM), in addition to THE REN &amp; STIMPY SHOW(TM), DOUG(TM) and RUGRATS(R). NICKELODEON also exhibits on Saturday nights SNICK(TM), its first prime-time block of original NICKELODEON programming. MTVN, in cooperation with MCA Inc. ("MCA"), operates NICKELODEON STUDIOS FLORIDA at Universal Studios in Orlando, Florida, which combines state-of-the-art television production facilities with interactive features that demonstrate the operation of NICKELODEON's studios from a kid's perspective.</w:t>
      </w:r>
    </w:p>
    <w:p>
      <w:pPr>
        <w:spacing w:after="0" w:line="216"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NICKELODEON and Sony Music entered into an agreement in April 1993 for Sony to manufacture and distribute NICKELODEON home video and audio products in the U.S. and Canada through its Sony Wonder Children's label. In June 1993, NICKELODEON launched NICKELODEON MAGAZINE, a bi-monthly humor-based children's publication. At December 31, 1993 circulation was approximately 225,000 (based on subscription and newsstand sales); distribution is handled, under agreement with NICKELODEON, by the New York Times' The Family Circle, Inc. (U.S.), and Worldwide Media Service, Inc. (U.K.).</w:t>
      </w:r>
    </w:p>
    <w:p>
      <w:pPr>
        <w:spacing w:after="0" w:line="214"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At December 31, 1993, NICKELODEON was licensed to approximately 53.4 million cable subscribers (based on subscriber counts provided by each cable system). At December 31, 1993, NICK AT NITE was licensed to approximately 53.1 million cable subscribers (based on subscriber counts provided by each cable system). According to the Nielsen Report, NICKELODEON and NICK AT NITE each reached approximately 60.9 million subscriber households.</w:t>
      </w:r>
    </w:p>
    <w:p>
      <w:pPr>
        <w:spacing w:after="0" w:line="211" w:lineRule="exact"/>
        <w:rPr>
          <w:sz w:val="20"/>
          <w:szCs w:val="20"/>
          <w:color w:val="auto"/>
        </w:rPr>
      </w:pPr>
    </w:p>
    <w:p>
      <w:pPr>
        <w:ind w:right="2839" w:firstLine="421"/>
        <w:spacing w:after="0" w:line="270" w:lineRule="auto"/>
        <w:rPr>
          <w:sz w:val="20"/>
          <w:szCs w:val="20"/>
          <w:color w:val="auto"/>
        </w:rPr>
      </w:pPr>
      <w:r>
        <w:rPr>
          <w:rFonts w:ascii="Courier New" w:cs="Courier New" w:eastAsia="Courier New" w:hAnsi="Courier New"/>
          <w:sz w:val="16"/>
          <w:szCs w:val="16"/>
          <w:color w:val="auto"/>
        </w:rPr>
        <w:t>In December 1992, Nickelodeon Huggings U.K. Limited, a subsidiary of the Company, entered into a joint venture with a subsidiary of British Sky Broadcasting Limited for the launch and operation of NICKELODEON program service in the United Kingdom and Ireland. NICKELODEON in the U.K. is a 12-hours-a-day, seven-days-a-week, satellite-delivered children's programming service which launched in September 1993, and it carries a mix of programming, including original productions from NICKELODEON in the U.S. and programming originally produced by the joint venture for the U.K. market. Pursuant to the joint venture agreement and related parent agreements, the Company guarantees the obligation of its subsidiary and has both the right of first negotiation/last refusal with respect to any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 - 6</w:t>
      </w:r>
    </w:p>
    <w:p>
      <w:pPr>
        <w:sectPr>
          <w:pgSz w:w="11900" w:h="16838" w:orient="portrait"/>
          <w:cols w:equalWidth="0" w:num="1">
            <w:col w:w="10219"/>
          </w:cols>
          <w:pgMar w:left="240" w:top="723" w:right="1440" w:bottom="1440" w:gutter="0" w:footer="0" w:header="0"/>
        </w:sectPr>
      </w:pPr>
    </w:p>
    <w:bookmarkStart w:id="8" w:name="page9"/>
    <w:bookmarkEnd w:id="8"/>
    <w:p>
      <w:pPr>
        <w:ind w:right="2839"/>
        <w:spacing w:after="0" w:line="237" w:lineRule="auto"/>
        <w:rPr>
          <w:sz w:val="20"/>
          <w:szCs w:val="20"/>
          <w:color w:val="auto"/>
        </w:rPr>
      </w:pPr>
      <w:r>
        <w:rPr>
          <w:rFonts w:ascii="Courier New" w:cs="Courier New" w:eastAsia="Courier New" w:hAnsi="Courier New"/>
          <w:sz w:val="18"/>
          <w:szCs w:val="18"/>
          <w:color w:val="auto"/>
        </w:rPr>
        <w:t>of, and the right to approve any purchaser of, the British Sky Broadcasting subsidiary's interest in NICKELODEON U.K. The Company's subsidiary is obligated to fund loans in an amount equal to 50% of NICKELODEON U.K.'s working capital deficit. The Company funded loans of approximately B.P.3,500,000 in 1993 and expects to fund loans of approximately B.P.7,000,000 in 1994.</w:t>
      </w:r>
    </w:p>
    <w:p>
      <w:pPr>
        <w:spacing w:after="0" w:line="210" w:lineRule="exact"/>
        <w:rPr>
          <w:sz w:val="20"/>
          <w:szCs w:val="20"/>
          <w:color w:val="auto"/>
        </w:rPr>
      </w:pPr>
    </w:p>
    <w:p>
      <w:pPr>
        <w:ind w:right="2839" w:firstLine="421"/>
        <w:spacing w:after="0" w:line="238" w:lineRule="auto"/>
        <w:rPr>
          <w:sz w:val="20"/>
          <w:szCs w:val="20"/>
          <w:color w:val="auto"/>
        </w:rPr>
      </w:pPr>
      <w:r>
        <w:rPr>
          <w:rFonts w:ascii="Courier New" w:cs="Courier New" w:eastAsia="Courier New" w:hAnsi="Courier New"/>
          <w:sz w:val="18"/>
          <w:szCs w:val="18"/>
          <w:color w:val="auto"/>
        </w:rPr>
        <w:t>VH-1/VIDEO HITS ONE is a 24-hours-a-day, seven-days-a-week music program service. VH-1 targets an audience of baby boomers, 25 to 49 years old, rather than the 12 to 34 year-olds targeted by MTV. The format consists primarily of music video clips from the adult contemporary, soft rock, classic oldies, contemporary jazz and country genres, augmented by original animation, music and general lifestyle information and programming, comedy, fashion, nostalgia, interviews and promotions. VH-1 offers programs such as original and acquired comedy programming including STAND-UP SPOTLIGHT and Gallagher specials; FT: FASHION TELEVISION; and the ONE-TO-ONE series which profiles pop artists. At December 31, 1993, VH-1 was licensed to approximately 45.5 million cable subscribers (based on subscriber counts provided by each cable system). According to the Nielsen Report, VH-1 reached approximately 49.5 million subscriber households. Substantially all such subscribers also receive MTV.</w:t>
      </w:r>
    </w:p>
    <w:p>
      <w:pPr>
        <w:spacing w:after="0" w:line="208" w:lineRule="exact"/>
        <w:rPr>
          <w:sz w:val="20"/>
          <w:szCs w:val="20"/>
          <w:color w:val="auto"/>
        </w:rPr>
      </w:pPr>
    </w:p>
    <w:p>
      <w:pPr>
        <w:ind w:right="2839" w:firstLine="421"/>
        <w:spacing w:after="0" w:line="270" w:lineRule="auto"/>
        <w:rPr>
          <w:sz w:val="20"/>
          <w:szCs w:val="20"/>
          <w:color w:val="auto"/>
        </w:rPr>
      </w:pPr>
      <w:r>
        <w:rPr>
          <w:rFonts w:ascii="Courier New" w:cs="Courier New" w:eastAsia="Courier New" w:hAnsi="Courier New"/>
          <w:sz w:val="16"/>
          <w:szCs w:val="16"/>
          <w:color w:val="auto"/>
        </w:rPr>
        <w:t>MTVN has agreements with some U.S. record companies which, in exchange for cash and advertising time, license the availability of such companies' music videos for exhibition on MTV and on MTVN's other basic cable networks; a number of other record companies provide MTVN with music videos in exchange for promotional consideration only. The agreements generally provide that the videos are available for debut by MTVN and, in some cases, that videos are subject to exclusive periods on MTV. These record companies provide a substantial portion of the music videos exhibited on MTV and VH-1. MTVN is currently in negotiations for the renewal and extension of certain of its record company agreements. Although MTVN believes that these agreements will be renewed, there can be no assurance that the terms of such renewals will be as favorable as existing arrangements.</w:t>
      </w:r>
    </w:p>
    <w:p>
      <w:pPr>
        <w:spacing w:after="0" w:line="389"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MTVN derives revenues principally from two sources: the sale of time on its own networks to advertisers and the license of the services to cable television and other system operators. The sale of MTVN advertising time is affected by viewer demographics, viewer ratings and market conditions for advertising time. Adverse changes in market conditions for advertising may affect MTVN's revenues. MTVN derives revenues from license fees paid by cable operators and other distribution systems which deliver programming by satellite and microwave transmissions. In 1993, MTVN derived approximately 58% of its revenues from music programming and approximately 42% of its revenues from children's and other programming.</w:t>
      </w:r>
    </w:p>
    <w:p>
      <w:pPr>
        <w:spacing w:after="0" w:line="216" w:lineRule="exact"/>
        <w:rPr>
          <w:sz w:val="20"/>
          <w:szCs w:val="20"/>
          <w:color w:val="auto"/>
        </w:rPr>
      </w:pPr>
    </w:p>
    <w:p>
      <w:pPr>
        <w:ind w:right="2939" w:firstLine="421"/>
        <w:spacing w:after="0" w:line="237" w:lineRule="auto"/>
        <w:rPr>
          <w:sz w:val="20"/>
          <w:szCs w:val="20"/>
          <w:color w:val="auto"/>
        </w:rPr>
      </w:pPr>
      <w:r>
        <w:rPr>
          <w:rFonts w:ascii="Courier New" w:cs="Courier New" w:eastAsia="Courier New" w:hAnsi="Courier New"/>
          <w:sz w:val="18"/>
          <w:szCs w:val="18"/>
          <w:color w:val="auto"/>
        </w:rPr>
        <w:t>MTVN also derives revenues from the sale of advertising time within internally produced or co-produced programming distributed to television stations and from the sale of advertising time within such programs produced by third parties. MTVN, through its operation of One World Entertainment, sells barter advertising time in series licensed for distribution to television stations by the Company and third parties, in exchange for a commission.</w:t>
      </w:r>
    </w:p>
    <w:p>
      <w:pPr>
        <w:spacing w:after="0" w:line="211" w:lineRule="exact"/>
        <w:rPr>
          <w:sz w:val="20"/>
          <w:szCs w:val="20"/>
          <w:color w:val="auto"/>
        </w:rPr>
      </w:pPr>
    </w:p>
    <w:p>
      <w:pPr>
        <w:ind w:right="3039" w:firstLine="421"/>
        <w:spacing w:after="0" w:line="279" w:lineRule="auto"/>
        <w:rPr>
          <w:sz w:val="20"/>
          <w:szCs w:val="20"/>
          <w:color w:val="auto"/>
        </w:rPr>
      </w:pPr>
      <w:r>
        <w:rPr>
          <w:rFonts w:ascii="Courier New" w:cs="Courier New" w:eastAsia="Courier New" w:hAnsi="Courier New"/>
          <w:sz w:val="16"/>
          <w:szCs w:val="16"/>
          <w:color w:val="auto"/>
        </w:rPr>
        <w:t>COMEDY CENTRAL. The Company and HBO, through a 50-50 joint venture, operate COMEDY CENTRAL, a 24-hours-a-day, seven-days-a-week program service targeted to audiences ranging from the ages of 18 to</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 - 7</w:t>
      </w:r>
    </w:p>
    <w:p>
      <w:pPr>
        <w:sectPr>
          <w:pgSz w:w="11900" w:h="16838" w:orient="portrait"/>
          <w:cols w:equalWidth="0" w:num="1">
            <w:col w:w="10219"/>
          </w:cols>
          <w:pgMar w:left="240" w:top="723" w:right="1440" w:bottom="1440" w:gutter="0" w:footer="0" w:header="0"/>
        </w:sectPr>
      </w:pPr>
    </w:p>
    <w:bookmarkStart w:id="9" w:name="page10"/>
    <w:bookmarkEnd w:id="9"/>
    <w:p>
      <w:pPr>
        <w:ind w:right="2939" w:firstLine="8"/>
        <w:spacing w:after="0" w:line="237" w:lineRule="auto"/>
        <w:tabs>
          <w:tab w:leader="none" w:pos="52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format consists primarily of comedy programming, including movies, series, situation comedies, stand-up and sketch comedy, commentary, promotions, specials, and other original and acquired comedy programming. Pursuant to the joint venture agreement, the Company is obligated to make capital contributions in an amount equal to 50% of the partnership's working capital deficit (and Viacom Inc. has guaranteed such obligation). The Company's capital contributions for 1993 totaled $13.6 million. For 1994, the Company estimates its contribution obligation to be approximately $9 million. COMEDY CENTRAL reached approximately 30.3 million subscriber households according to the Nielsen Report.</w:t>
      </w:r>
    </w:p>
    <w:p>
      <w:pPr>
        <w:spacing w:after="0" w:line="216" w:lineRule="exact"/>
        <w:rPr>
          <w:sz w:val="20"/>
          <w:szCs w:val="20"/>
          <w:color w:val="auto"/>
        </w:rPr>
      </w:pPr>
    </w:p>
    <w:p>
      <w:pPr>
        <w:ind w:right="2939" w:firstLine="421"/>
        <w:spacing w:after="0" w:line="237" w:lineRule="auto"/>
        <w:rPr>
          <w:sz w:val="20"/>
          <w:szCs w:val="20"/>
          <w:color w:val="auto"/>
        </w:rPr>
      </w:pPr>
      <w:r>
        <w:rPr>
          <w:rFonts w:ascii="Courier New" w:cs="Courier New" w:eastAsia="Courier New" w:hAnsi="Courier New"/>
          <w:sz w:val="18"/>
          <w:szCs w:val="18"/>
          <w:color w:val="auto"/>
        </w:rPr>
        <w:t>LIFETIME. The Company owns a one-third partnership interest in LIFETIME, an advertiser-supported basic cable television network that provides programming directed primarily toward women in the 18 to 54 age group. On March 29, 1994, the Company agreed to sell its one-third partnership interest in LIFETIME to its partners The Hearst Corporation and Capital Cities/ABC Inc. for approximately $317.6 million; this transaction is expected to close in the second quarter of 1994.</w:t>
      </w:r>
    </w:p>
    <w:p>
      <w:pPr>
        <w:spacing w:after="0" w:line="212" w:lineRule="exact"/>
        <w:rPr>
          <w:sz w:val="20"/>
          <w:szCs w:val="20"/>
          <w:color w:val="auto"/>
        </w:rPr>
      </w:pPr>
    </w:p>
    <w:p>
      <w:pPr>
        <w:ind w:right="2839" w:firstLine="421"/>
        <w:spacing w:after="0" w:line="238" w:lineRule="auto"/>
        <w:rPr>
          <w:sz w:val="20"/>
          <w:szCs w:val="20"/>
          <w:color w:val="auto"/>
        </w:rPr>
      </w:pPr>
      <w:r>
        <w:rPr>
          <w:rFonts w:ascii="Courier New" w:cs="Courier New" w:eastAsia="Courier New" w:hAnsi="Courier New"/>
          <w:sz w:val="18"/>
          <w:szCs w:val="18"/>
          <w:color w:val="auto"/>
        </w:rPr>
        <w:t>SHOWTIME NETWORKS INC. Showtime Networks Inc. ("SNI") operates three 24-hours-a-day, commercial-free, premium subscription services offered to cable television operators and other distributors: SHOWTIME, offering theatrically released feature films, dramatic series, comedy specials, boxing events, family programs and original movies; THE MOVIE CHANNEL, offering feature films and related programming including film festivals; and FLIX, an added value premium subscription service featuring movies primarily from the 1960s, 70s and 80s which was launched on August 1, 1992. SHOWTIME, THE MOVIE CHANNEL and FLIX are offered to cable television operators and other distributors (including the Company) under affiliation agreements which for SHOWTIME and THE MOVIE CHANNEL are generally for a term of three to five years and in each case are distributed to the systems they serve by means of domestic communications satellites. As of December 31, 1993, SHOWTIME, THE MOVIE CHANNEL and FLIX, in the aggregate, had approximately 11,900,000 cable and other subscribers in approximately 8,700 cable systems and other distribution systems in 50 states and certain U.S. territories.</w:t>
      </w:r>
    </w:p>
    <w:p>
      <w:pPr>
        <w:spacing w:after="0" w:line="209" w:lineRule="exact"/>
        <w:rPr>
          <w:sz w:val="20"/>
          <w:szCs w:val="20"/>
          <w:color w:val="auto"/>
        </w:rPr>
      </w:pPr>
    </w:p>
    <w:p>
      <w:pPr>
        <w:ind w:right="3479" w:firstLine="421"/>
        <w:spacing w:after="0" w:line="236" w:lineRule="auto"/>
        <w:rPr>
          <w:sz w:val="20"/>
          <w:szCs w:val="20"/>
          <w:color w:val="auto"/>
        </w:rPr>
      </w:pPr>
      <w:r>
        <w:rPr>
          <w:rFonts w:ascii="Courier New" w:cs="Courier New" w:eastAsia="Courier New" w:hAnsi="Courier New"/>
          <w:sz w:val="18"/>
          <w:szCs w:val="18"/>
          <w:color w:val="auto"/>
        </w:rPr>
        <w:t>SNI also provides special events, such as sports events, and feature films to licensees on a pay-per-view basis through its operation of SET PAY PER VIEW, a division of the Company.</w:t>
      </w:r>
    </w:p>
    <w:p>
      <w:pPr>
        <w:spacing w:after="0" w:line="209"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Showtime Satellite Networks Inc. ("SSN"), a subsidiary of SNI, packages for distribution to home satellite dish owners (on a direct retail basis) SHOWTIME, THE MOVIE CHANNEL, FLIX, Viacom Networks' basic cable program services, ALL NEWS CHANNEL (a 24-hour satellite-delivered news service which is a joint venture between Viacom Satellite News Inc., a subsidiary of the Company, and Conus Communications Company Limited Partnership, a limited partnership whose managing general partner is Hubbard Broadcasting, Inc.) and certain third-party program services. SHOWTIME, THE MOVIE CHANNEL and FLIX are also offered to third-party licensees for subdistribution to home satellite dish owners.</w:t>
      </w:r>
    </w:p>
    <w:p>
      <w:pPr>
        <w:spacing w:after="0" w:line="216" w:lineRule="exact"/>
        <w:rPr>
          <w:sz w:val="20"/>
          <w:szCs w:val="20"/>
          <w:color w:val="auto"/>
        </w:rPr>
      </w:pPr>
    </w:p>
    <w:p>
      <w:pPr>
        <w:ind w:right="3159" w:firstLine="421"/>
        <w:spacing w:after="0" w:line="275" w:lineRule="auto"/>
        <w:rPr>
          <w:sz w:val="20"/>
          <w:szCs w:val="20"/>
          <w:color w:val="auto"/>
        </w:rPr>
      </w:pPr>
      <w:r>
        <w:rPr>
          <w:rFonts w:ascii="Courier New" w:cs="Courier New" w:eastAsia="Courier New" w:hAnsi="Courier New"/>
          <w:sz w:val="16"/>
          <w:szCs w:val="16"/>
          <w:color w:val="auto"/>
        </w:rPr>
        <w:t>In order to exhibit theatrical motion pictures on premium subscription television, SNI enters into commitments to acquire rights, with an emphasis on acquiring exclusive rights for SHOWTIME and THE MOVIE CHANNEL, from major or independent motion picture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 - 8</w:t>
      </w:r>
    </w:p>
    <w:p>
      <w:pPr>
        <w:sectPr>
          <w:pgSz w:w="11900" w:h="16838" w:orient="portrait"/>
          <w:cols w:equalWidth="0" w:num="1">
            <w:col w:w="10219"/>
          </w:cols>
          <w:pgMar w:left="240" w:top="723" w:right="1440" w:bottom="1440" w:gutter="0" w:footer="0" w:header="0"/>
        </w:sectPr>
      </w:pPr>
    </w:p>
    <w:bookmarkStart w:id="10" w:name="page11"/>
    <w:bookmarkEnd w:id="10"/>
    <w:p>
      <w:pPr>
        <w:ind w:right="3039"/>
        <w:spacing w:after="0" w:line="237" w:lineRule="auto"/>
        <w:rPr>
          <w:sz w:val="20"/>
          <w:szCs w:val="20"/>
          <w:color w:val="auto"/>
        </w:rPr>
      </w:pPr>
      <w:r>
        <w:rPr>
          <w:rFonts w:ascii="Courier New" w:cs="Courier New" w:eastAsia="Courier New" w:hAnsi="Courier New"/>
          <w:sz w:val="18"/>
          <w:szCs w:val="18"/>
          <w:color w:val="auto"/>
        </w:rPr>
        <w:t>producers and other distributors (including the Company). SNI's exhibition rights always cover the United States and may on a contract-by-contract basis cover additional territories. Theatrical motion pictures are generally exhibited first on SHOWTIME and THE MOVIE CHANNEL after an initial period for theatrical, home video and pay-per-view exhibition and before the period has commenced for standard broadcast television and basic cable television exhibition. FLIX primarily offers motion pictures from the 1960s, 70s and 80s, most of which have been previously made available for standard broadcast and other exhibitions.</w:t>
      </w:r>
    </w:p>
    <w:p>
      <w:pPr>
        <w:spacing w:after="0" w:line="215"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The cost of acquiring premium television rights to programming, including exclusive rights, is the principal expense of SNI. At December 31, 1993, in addition to such commitments reflected in Viacom Inc.'s and the Company's financial statements, SNI had commitments to acquire such rights at a cost of approximately $1.8 billion. Most of the $1.8 billion is payable within the next seven years as part of normal programming expenditures of SNI. These commitments are contingent upon delivery of motion pictures which are not yet available for premium television exhibition and, in many cases, have not yet been produced.</w:t>
      </w:r>
    </w:p>
    <w:p>
      <w:pPr>
        <w:spacing w:after="0" w:line="215" w:lineRule="exact"/>
        <w:rPr>
          <w:sz w:val="20"/>
          <w:szCs w:val="20"/>
          <w:color w:val="auto"/>
        </w:rPr>
      </w:pPr>
    </w:p>
    <w:p>
      <w:pPr>
        <w:ind w:right="2839" w:firstLine="421"/>
        <w:spacing w:after="0" w:line="270" w:lineRule="auto"/>
        <w:rPr>
          <w:sz w:val="20"/>
          <w:szCs w:val="20"/>
          <w:color w:val="auto"/>
        </w:rPr>
      </w:pPr>
      <w:r>
        <w:rPr>
          <w:rFonts w:ascii="Courier New" w:cs="Courier New" w:eastAsia="Courier New" w:hAnsi="Courier New"/>
          <w:sz w:val="16"/>
          <w:szCs w:val="16"/>
          <w:color w:val="auto"/>
        </w:rPr>
        <w:t>In November 1993, SNI entered into a seven-year agreement with Metro-Goldwyn-Mayer Inc. ("MGM") under which SNI agreed to acquire the exclusive premium television rights in the licensed territory to MGM and United Artists feature films. The agreement includes all qualifying films theatrically released from September 1, 1994 through August 31, 2001, up to a maximum of 150 pictures. This agreement follows a previous agreement between SNI and Pathe Entertainment, Inc., a predecessor-in-interest to MGM. The recent agreement also calls for SNI and MGM to co-finance the production of certain exclusive original movies to be produced for SNI's program services.</w:t>
      </w:r>
    </w:p>
    <w:p>
      <w:pPr>
        <w:spacing w:after="0" w:line="189" w:lineRule="exact"/>
        <w:rPr>
          <w:sz w:val="20"/>
          <w:szCs w:val="20"/>
          <w:color w:val="auto"/>
        </w:rPr>
      </w:pPr>
    </w:p>
    <w:p>
      <w:pPr>
        <w:ind w:right="2839" w:firstLine="421"/>
        <w:spacing w:after="0" w:line="271" w:lineRule="auto"/>
        <w:rPr>
          <w:sz w:val="20"/>
          <w:szCs w:val="20"/>
          <w:color w:val="auto"/>
        </w:rPr>
      </w:pPr>
      <w:r>
        <w:rPr>
          <w:rFonts w:ascii="Courier New" w:cs="Courier New" w:eastAsia="Courier New" w:hAnsi="Courier New"/>
          <w:sz w:val="16"/>
          <w:szCs w:val="16"/>
          <w:color w:val="auto"/>
        </w:rPr>
        <w:t>Also in 1993, SNI and Sony Pictures Entertainment Inc. entered into a five-year agreement under which SNI agreed to acquire the exclusive premium television rights in the licensed territory to TriStar Pictures feature films. A continuation of SNI's previous three-year arrangement with TriStar, this new agreement includes all qualifying TriStar films theatrically released from 1994 through 1998, up to a maximum of 75 pictures. Feature films theatrically released by TriStar include SLEEPLESS IN SEATTLE, CLIFFHANGER and PHILADELPHIA.</w:t>
      </w:r>
    </w:p>
    <w:p>
      <w:pPr>
        <w:spacing w:after="0" w:line="186"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In February 1994, SNI reached an agreement in principle with Castle Rock Entertainment ("Castle Rock") to acquire the exclusive premium television rights in the licensed territory to additional Castle Rock feature films. This agreement follows SNI's previous output arrangement with Castle Rock, which included such previously theatrically released feature films as A FEW GOOD MEN, CITY SLICKERS, WHEN HARRY MET SALLY, MISERY, MALICE and IN THE LINE OF FIRE. The new agreement includes all qualifying Castle Rock motion pictures theatrically released from 1994 through 1999, up to a maximum of 55 pictures.</w:t>
      </w:r>
    </w:p>
    <w:p>
      <w:pPr>
        <w:spacing w:after="0" w:line="215" w:lineRule="exact"/>
        <w:rPr>
          <w:sz w:val="20"/>
          <w:szCs w:val="20"/>
          <w:color w:val="auto"/>
        </w:rPr>
      </w:pPr>
    </w:p>
    <w:p>
      <w:pPr>
        <w:ind w:right="2939" w:firstLine="421"/>
        <w:spacing w:after="0" w:line="237" w:lineRule="auto"/>
        <w:rPr>
          <w:sz w:val="20"/>
          <w:szCs w:val="20"/>
          <w:color w:val="auto"/>
        </w:rPr>
      </w:pPr>
      <w:r>
        <w:rPr>
          <w:rFonts w:ascii="Courier New" w:cs="Courier New" w:eastAsia="Courier New" w:hAnsi="Courier New"/>
          <w:sz w:val="18"/>
          <w:szCs w:val="18"/>
          <w:color w:val="auto"/>
        </w:rPr>
        <w:t>In March 1994, SNI entered into an agreement with Orion Pictures Corporation ("Orion") under which SNI agreed to acquire the exclusive premium television rights in the licensed territory to up to 30, in the aggregate, motion pictures, including qualifying motion pictures theatrically released from 1994 through 1996 and qualifying original motion pictures. This agreement follows a previous output agreement between SNI and Orion.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 - 9</w:t>
      </w:r>
    </w:p>
    <w:p>
      <w:pPr>
        <w:sectPr>
          <w:pgSz w:w="11900" w:h="16838" w:orient="portrait"/>
          <w:cols w:equalWidth="0" w:num="1">
            <w:col w:w="10219"/>
          </w:cols>
          <w:pgMar w:left="240" w:top="723" w:right="1440" w:bottom="1440" w:gutter="0" w:footer="0" w:header="0"/>
        </w:sectPr>
      </w:pPr>
    </w:p>
    <w:bookmarkStart w:id="11" w:name="page12"/>
    <w:bookmarkEnd w:id="11"/>
    <w:p>
      <w:pPr>
        <w:ind w:right="2939" w:firstLine="421"/>
        <w:spacing w:after="0" w:line="270" w:lineRule="auto"/>
        <w:rPr>
          <w:sz w:val="20"/>
          <w:szCs w:val="20"/>
          <w:color w:val="auto"/>
        </w:rPr>
      </w:pPr>
      <w:r>
        <w:rPr>
          <w:rFonts w:ascii="Courier New" w:cs="Courier New" w:eastAsia="Courier New" w:hAnsi="Courier New"/>
          <w:sz w:val="16"/>
          <w:szCs w:val="16"/>
          <w:color w:val="auto"/>
        </w:rPr>
        <w:t>In 1989, SNI agreed with Walt Disney Pictures ("Disney") to acquire exclusive premium television rights in the licensed territory to qualifying feature films (up to a maximum of 125 films) produced and distributed by Disney's major distribution labels (other than the Disney label) and theatrically released during the five-year period commencing January 1, 1991. These films include SISTER ACT 2, TOMBSTONE, THE JOY LUCK CLUB and WHAT'S LOVE GOT TO DO WITH IT. In addition, SNI has agreements with (among other suppliers) New Line Distribution, Inc., Imagine Films Entertainment, Inc., Cannon Pictures, Inc., and Polygram Filmed Entertainment Distribution, Inc.</w:t>
      </w:r>
    </w:p>
    <w:p>
      <w:pPr>
        <w:spacing w:after="0" w:line="189" w:lineRule="exact"/>
        <w:rPr>
          <w:sz w:val="20"/>
          <w:szCs w:val="20"/>
          <w:color w:val="auto"/>
        </w:rPr>
      </w:pPr>
    </w:p>
    <w:p>
      <w:pPr>
        <w:ind w:right="3039" w:firstLine="421"/>
        <w:spacing w:after="0" w:line="237" w:lineRule="auto"/>
        <w:rPr>
          <w:sz w:val="20"/>
          <w:szCs w:val="20"/>
          <w:color w:val="auto"/>
        </w:rPr>
      </w:pPr>
      <w:r>
        <w:rPr>
          <w:rFonts w:ascii="Courier New" w:cs="Courier New" w:eastAsia="Courier New" w:hAnsi="Courier New"/>
          <w:sz w:val="18"/>
          <w:szCs w:val="18"/>
          <w:color w:val="auto"/>
        </w:rPr>
        <w:t>SNI also arranges for the development and production of original programs and motion pictures that premiere on SHOWTIME through its operation of the Showtime Entertainment Group, which was formed in 1992. The Showtime Entertainment Group reflects SNI's increased commitment to the development and production of original programming and includes the operation of Viacom Pictures, a division of the Company.</w:t>
      </w:r>
    </w:p>
    <w:p>
      <w:pPr>
        <w:spacing w:after="0" w:line="211"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Viacom Pictures arranges for the development and production of motion pictures that are exhibited theatrically in foreign markets and premiere domestically on SHOWTIME. These films are then made available for distribution to various media worldwide, with the exception of the U.S. theatrical market. These feature films are generally budgeted at an average cost of approximately $5 million. During 1993, Viacom Pictures completed principal photography on two films: PAST TENSE, starring Scott Glenn, Anthony LaPaglia and Lara Flynn Boyle, and ROSWELL, starring Kyle MacLachlan, Martin Sheen and Dwight Yoakam.</w:t>
      </w:r>
    </w:p>
    <w:p>
      <w:pPr>
        <w:spacing w:after="0" w:line="215" w:lineRule="exact"/>
        <w:rPr>
          <w:sz w:val="20"/>
          <w:szCs w:val="20"/>
          <w:color w:val="auto"/>
        </w:rPr>
      </w:pPr>
    </w:p>
    <w:p>
      <w:pPr>
        <w:ind w:right="2839" w:firstLine="421"/>
        <w:spacing w:after="0" w:line="270" w:lineRule="auto"/>
        <w:rPr>
          <w:sz w:val="20"/>
          <w:szCs w:val="20"/>
          <w:color w:val="auto"/>
        </w:rPr>
      </w:pPr>
      <w:r>
        <w:rPr>
          <w:rFonts w:ascii="Courier New" w:cs="Courier New" w:eastAsia="Courier New" w:hAnsi="Courier New"/>
          <w:sz w:val="16"/>
          <w:szCs w:val="16"/>
          <w:color w:val="auto"/>
        </w:rPr>
        <w:t>The Showtime Entertainment Group also has entered into commitments to produce, distribute and/or exhibit other original programming, including series, films, documentary programs, comedy specials and boxing events. In 1993, for example, SNI televised comedy specials featuring Tim Allen, Brett Butler and Shelley Long, boxing matches featuring such fighters as Julio Cesar Chavez, and the critically acclaimed dramatic anthology series entitled FALLEN ANGELS, episodes of which were directed by Michael Mann, Steve Soderbergh, Jonathan Kaplan and Tom Cruise and starred Gary Oldman, Laura Dern, Meg Tilly, Gabrielle Anwar, James Woods, Joe Mantegna, Gary Busey and Alan Rickman. In addition to exhibiting these original programs and motion pictures on its premium subscription services, SNI distributes certain of such programming for exploitation in various media worldwide.</w:t>
      </w:r>
    </w:p>
    <w:p>
      <w:pPr>
        <w:spacing w:after="0" w:line="389" w:lineRule="exact"/>
        <w:rPr>
          <w:sz w:val="20"/>
          <w:szCs w:val="20"/>
          <w:color w:val="auto"/>
        </w:rPr>
      </w:pPr>
    </w:p>
    <w:p>
      <w:pPr>
        <w:ind w:right="2939" w:firstLine="421"/>
        <w:spacing w:after="0" w:line="271" w:lineRule="auto"/>
        <w:rPr>
          <w:sz w:val="20"/>
          <w:szCs w:val="20"/>
          <w:color w:val="auto"/>
        </w:rPr>
      </w:pPr>
      <w:r>
        <w:rPr>
          <w:rFonts w:ascii="Courier New" w:cs="Courier New" w:eastAsia="Courier New" w:hAnsi="Courier New"/>
          <w:sz w:val="16"/>
          <w:szCs w:val="16"/>
          <w:color w:val="auto"/>
        </w:rPr>
        <w:t>ADDITIONAL INFORMATION ABOUT VIACOM NETWORKS. The domestic program services of MTVN and SNI are currently transmitted over transponders principally on GE Americom's C-3 and C-4 and the Hughes Galaxy I and V domestic satellites. In 1994, Viacom Networks program services on Galaxy I will move to AT&amp;T's Telstar 302. NICKELODEON (U.K.) program service is transmitted over the Astra 1-C satellite. MTV LATINO is transmitted over PanAmSat-1. MTV EUROPE is transmitted over the Astra 1-A, Astra 1-B and Eutelsat II-F1 satellites.</w:t>
      </w:r>
    </w:p>
    <w:p>
      <w:pPr>
        <w:spacing w:after="0" w:line="186"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The Company has entered into pre-launch agreements for international satellite coverage on Apstar-1 and Apstar-2, covering a broad Asian area, on PanAmSat-2 (Pacific Rim area), PanAmSat-3 (Latin America) and PanAmSat-4 (India/Middle East and South Africa) and Eutelsat II-F6 (greater Europe), all for service beginning in 1994 and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 - 10</w:t>
      </w:r>
    </w:p>
    <w:p>
      <w:pPr>
        <w:sectPr>
          <w:pgSz w:w="11900" w:h="16838" w:orient="portrait"/>
          <w:cols w:equalWidth="0" w:num="1">
            <w:col w:w="10219"/>
          </w:cols>
          <w:pgMar w:left="240" w:top="723" w:right="1440" w:bottom="1440" w:gutter="0" w:footer="0" w:header="0"/>
        </w:sectPr>
      </w:pPr>
    </w:p>
    <w:bookmarkStart w:id="12" w:name="page13"/>
    <w:bookmarkEnd w:id="12"/>
    <w:p>
      <w:pPr>
        <w:ind w:right="2839" w:firstLine="421"/>
        <w:spacing w:after="0" w:line="270" w:lineRule="auto"/>
        <w:rPr>
          <w:sz w:val="20"/>
          <w:szCs w:val="20"/>
          <w:color w:val="auto"/>
        </w:rPr>
      </w:pPr>
      <w:r>
        <w:rPr>
          <w:rFonts w:ascii="Courier New" w:cs="Courier New" w:eastAsia="Courier New" w:hAnsi="Courier New"/>
          <w:sz w:val="16"/>
          <w:szCs w:val="16"/>
          <w:color w:val="auto"/>
        </w:rPr>
        <w:t>The Company entered into agreements, as of August 27, 1992, with United States Satellite Broadcasting Inc. ("USSB"), a subsidiary of Hubbard Broadcasting, Inc., for the direct broadcast satellite distribution using high-powered Ku-band technology ("DBS") of each of the Company's wholly owned basic cable and premium networks. These networks are expected to be offered by USSB to DBS customers beginning in 1994, and will be delivered directly to dishes located at DBS customers' homes from the first high-powered Ku-band satellite serving the U.S., which was launched in December 1993. DBS delivery utilizes consumer dishes significantly smaller than the C-band consumer dishes currently in use by home satellite dish owners in the U.S.</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VIACOM ENTERTAINMENT</w:t>
      </w:r>
    </w:p>
    <w:p>
      <w:pPr>
        <w:spacing w:after="0" w:line="207" w:lineRule="exact"/>
        <w:rPr>
          <w:sz w:val="20"/>
          <w:szCs w:val="20"/>
          <w:color w:val="auto"/>
        </w:rPr>
      </w:pPr>
    </w:p>
    <w:p>
      <w:pPr>
        <w:ind w:right="2839" w:firstLine="527"/>
        <w:spacing w:after="0" w:line="268" w:lineRule="auto"/>
        <w:rPr>
          <w:sz w:val="20"/>
          <w:szCs w:val="20"/>
          <w:color w:val="auto"/>
        </w:rPr>
      </w:pPr>
      <w:r>
        <w:rPr>
          <w:rFonts w:ascii="Courier New" w:cs="Courier New" w:eastAsia="Courier New" w:hAnsi="Courier New"/>
          <w:sz w:val="16"/>
          <w:szCs w:val="16"/>
          <w:color w:val="auto"/>
        </w:rPr>
        <w:t>Viacom Entertainment is comprised of (i) Viacom Enterprises, which distributes television series, feature films, made-for-television movies, mini-series and specials for television exhibition in various markets throughout the world and also distributes television series for initial United States television exhibition on a non-network ("first run") basis and for international television exhibition; (ii) Viacom Productions, which produces television series and other television properties independently and in association with others primarily for initial exhibition on U.S. prime time network television; (iii) Viacom New Media, which was established in 1992</w:t>
      </w:r>
    </w:p>
    <w:p>
      <w:pPr>
        <w:spacing w:after="0" w:line="2"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to develop, produce, distribute and market interactive software for the stand alone and other multimedia marketplaces; (iv) Viacom World Wide, which explores and develops business opportunities in international markets primarily in cable and premium television; and</w:t>
      </w:r>
    </w:p>
    <w:p>
      <w:pPr>
        <w:spacing w:after="0" w:line="1" w:lineRule="exact"/>
        <w:rPr>
          <w:sz w:val="20"/>
          <w:szCs w:val="20"/>
          <w:color w:val="auto"/>
        </w:rPr>
      </w:pPr>
    </w:p>
    <w:p>
      <w:pPr>
        <w:ind w:right="293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Viacom MGS Services, which duplicates and distributes television and radio commercials. Viacom Enterprises and Viacom Productions are expected to be consolidated with Paramount's television operations during 1994.</w:t>
      </w:r>
    </w:p>
    <w:p>
      <w:pPr>
        <w:spacing w:after="0" w:line="207"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VIACOM ENTERPRISES. Viacom Enterprises distributes or syndicates television series, feature films, made-for-television movies, mini-series and specials, and first run series for television exhibition in domestic and/or international broadcast, cable and other markets. Feature film and television properties are acquired from third parties or result from the Company's own production activities, including television properties produced by Viacom Productions and certain television properties produced by or for MTV Networks. Third-party agreements for the acquisition of distribution rights are generally long-term and exclusive in nature; such agreements frequently guarantee a minimum recoupable advance payment to such third parties and generally provide for periodic payment to such third parties based on the amount of revenues derived from distribution activities after deduction of Viacom Enterprises' percentage distribution fee, recoupment of distribution expenses and recoupment of any advance payments.</w:t>
      </w:r>
    </w:p>
    <w:p>
      <w:pPr>
        <w:spacing w:after="0" w:line="208" w:lineRule="exact"/>
        <w:rPr>
          <w:sz w:val="20"/>
          <w:szCs w:val="20"/>
          <w:color w:val="auto"/>
        </w:rPr>
      </w:pPr>
    </w:p>
    <w:p>
      <w:pPr>
        <w:ind w:right="3159" w:firstLine="527"/>
        <w:spacing w:after="0" w:line="275" w:lineRule="auto"/>
        <w:rPr>
          <w:sz w:val="20"/>
          <w:szCs w:val="20"/>
          <w:color w:val="auto"/>
        </w:rPr>
      </w:pPr>
      <w:r>
        <w:rPr>
          <w:rFonts w:ascii="Courier New" w:cs="Courier New" w:eastAsia="Courier New" w:hAnsi="Courier New"/>
          <w:sz w:val="16"/>
          <w:szCs w:val="16"/>
          <w:color w:val="auto"/>
        </w:rPr>
        <w:t>At December 31, 1993, Viacom Enterprises held domestic and/or international television distribution rights to approximately 5,000 half-hour series episodes, 2,000 one-hour series episodes, 1,500 feature films and television movies, and 30 mini-series.</w:t>
      </w:r>
    </w:p>
    <w:p>
      <w:pPr>
        <w:spacing w:after="0" w:line="182" w:lineRule="exact"/>
        <w:rPr>
          <w:sz w:val="20"/>
          <w:szCs w:val="20"/>
          <w:color w:val="auto"/>
        </w:rPr>
      </w:pPr>
    </w:p>
    <w:p>
      <w:pPr>
        <w:ind w:right="2939" w:firstLine="527"/>
        <w:spacing w:after="0" w:line="275" w:lineRule="auto"/>
        <w:rPr>
          <w:sz w:val="20"/>
          <w:szCs w:val="20"/>
          <w:color w:val="auto"/>
        </w:rPr>
      </w:pPr>
      <w:r>
        <w:rPr>
          <w:rFonts w:ascii="Courier New" w:cs="Courier New" w:eastAsia="Courier New" w:hAnsi="Courier New"/>
          <w:sz w:val="16"/>
          <w:szCs w:val="16"/>
          <w:color w:val="auto"/>
        </w:rPr>
        <w:t>At December 31, 1993, Viacom Enterprises distributed television product to, among other outlets, approximately 750 domestic broadcast television stations, including stations in every principal city in the U.S., and to outlets in approximately 120 other countries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 - 11</w:t>
      </w:r>
    </w:p>
    <w:p>
      <w:pPr>
        <w:sectPr>
          <w:pgSz w:w="11900" w:h="16838" w:orient="portrait"/>
          <w:cols w:equalWidth="0" w:num="1">
            <w:col w:w="10219"/>
          </w:cols>
          <w:pgMar w:left="240" w:top="723" w:right="1440" w:bottom="1440" w:gutter="0" w:footer="0" w:header="0"/>
        </w:sectPr>
      </w:pPr>
    </w:p>
    <w:bookmarkStart w:id="13" w:name="page14"/>
    <w:bookmarkEnd w:id="13"/>
    <w:p>
      <w:pPr>
        <w:ind w:right="2939"/>
        <w:spacing w:after="0" w:line="236" w:lineRule="auto"/>
        <w:rPr>
          <w:sz w:val="20"/>
          <w:szCs w:val="20"/>
          <w:color w:val="auto"/>
        </w:rPr>
      </w:pPr>
      <w:r>
        <w:rPr>
          <w:rFonts w:ascii="Courier New" w:cs="Courier New" w:eastAsia="Courier New" w:hAnsi="Courier New"/>
          <w:sz w:val="18"/>
          <w:szCs w:val="18"/>
          <w:color w:val="auto"/>
        </w:rPr>
        <w:t>around the world. Viacom Enterprises generally licenses product to exhibitors for periods of one to six years, with license fee payments due over a somewhat shorter period.</w:t>
      </w:r>
    </w:p>
    <w:p>
      <w:pPr>
        <w:spacing w:after="0" w:line="209" w:lineRule="exact"/>
        <w:rPr>
          <w:sz w:val="20"/>
          <w:szCs w:val="20"/>
          <w:color w:val="auto"/>
        </w:rPr>
      </w:pPr>
    </w:p>
    <w:p>
      <w:pPr>
        <w:ind w:right="2839" w:firstLine="527"/>
        <w:spacing w:after="0" w:line="269" w:lineRule="auto"/>
        <w:rPr>
          <w:sz w:val="20"/>
          <w:szCs w:val="20"/>
          <w:color w:val="auto"/>
        </w:rPr>
      </w:pPr>
      <w:r>
        <w:rPr>
          <w:rFonts w:ascii="Courier New" w:cs="Courier New" w:eastAsia="Courier New" w:hAnsi="Courier New"/>
          <w:sz w:val="16"/>
          <w:szCs w:val="16"/>
          <w:color w:val="auto"/>
        </w:rPr>
        <w:t>Episodes of a network television series from the first four seasons on a broadcast network generally become available for exhibition in domestic syndication to broadcast television stations commencing upon the start of the fifth broadcast season on the network; episodes from each subsequent broadcast season generally become available for such domestic syndication at the conclusion of each such subsequent broadcast season. Episodes of network television series are available for exhibition by foreign stations prior to or concurrent with their initial network runs. Generally, a network television series must air for at least three full broadcast seasons before it has value for such domestic syndication. Television programs can be made available to stations and other outlets, such as cable television services, on a first run basis without having been exhibited on any of the networks. The Company has greater control over the availability for exhibition in such domestic syndication of programming developed by and for Viacom's cable networks than of programming developed for network television. The Company has adopted a strategy of internal development of first run programs utilizing in-house creative resources from within Viacom Enterprises and from elsewhere within the Company, such as MTV Networks. Feature films which have been released theatrically generally become available for exhibition in such domestic syndication after their theatrical, home video, pay-per-view, and premium television exhibition periods have expired (which is generally three to four years after domestic theatrical release) and for network or ad hoc network exhibition between the first and second premium television windows. Such feature films generally become available for free television exhibition by foreign stations after the foreign theatrical, home video, pay-per-view (if any) and premium television (if any) exhibition periods have expired (which is generally two to three years after theatrical release in the applicable foreign market).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The Company controls the exclusive worldwide broadcast, basic cable, premium, and home video television distribution rights to ROSEANNE, now in its sixth network broadcast season on ABC, and THE COSBY SHOW, which completed its eight-year network run at the end of the 1991/92 network broadcast season. The start of the sixth network season of ROSEANNE automatically triggered the first of three 26-week extensions of individual station licenses for ROSEANNE's initial licensing in domestic syndication, which was made on a cash plus barter basis. The second licensing period in domestic syndication for THE COSBY SHOW commenced in September 1993 (upon expiration of the term for the initial licensing in domestic syndication of THE COSBY SHOW) on an all-cash basis.</w:t>
      </w:r>
    </w:p>
    <w:p>
      <w:pPr>
        <w:spacing w:after="0" w:line="207"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The Company also controls certain worldwide exclusive distribution rights to classic network series such as I LOVE LUCY, THE ANDY GRIFFITH SHOW, THE BEVERLY HILLBILLIES, HAWAII FIVE-O and THE TWILIGHT ZONE. The Company is also offering VIACOM SEASONAL SPECIALS FEATURING NICKTOONS which brings six one hour seasonally themed specials, drawn from MTV Networks' critically acclaimed NICKTOONS animation block, to broadcast television.</w:t>
      </w:r>
    </w:p>
    <w:p>
      <w:pPr>
        <w:spacing w:after="0" w:line="211" w:lineRule="exact"/>
        <w:rPr>
          <w:sz w:val="20"/>
          <w:szCs w:val="20"/>
          <w:color w:val="auto"/>
        </w:rPr>
      </w:pPr>
    </w:p>
    <w:p>
      <w:pPr>
        <w:ind w:right="2939" w:firstLine="527"/>
        <w:spacing w:after="0" w:line="279" w:lineRule="auto"/>
        <w:rPr>
          <w:sz w:val="20"/>
          <w:szCs w:val="20"/>
          <w:color w:val="auto"/>
        </w:rPr>
      </w:pPr>
      <w:r>
        <w:rPr>
          <w:rFonts w:ascii="Courier New" w:cs="Courier New" w:eastAsia="Courier New" w:hAnsi="Courier New"/>
          <w:sz w:val="16"/>
          <w:szCs w:val="16"/>
          <w:color w:val="auto"/>
        </w:rPr>
        <w:t>In addition, the Company controls the exclusive worldwide distribution rights in all media to various network television movies and series produced by Viacom Productions such as the PERRY MASON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 - 12</w:t>
      </w:r>
    </w:p>
    <w:p>
      <w:pPr>
        <w:sectPr>
          <w:pgSz w:w="11900" w:h="16838" w:orient="portrait"/>
          <w:cols w:equalWidth="0" w:num="1">
            <w:col w:w="10219"/>
          </w:cols>
          <w:pgMar w:left="240" w:top="723" w:right="1440" w:bottom="1440" w:gutter="0" w:footer="0" w:header="0"/>
        </w:sectPr>
      </w:pPr>
    </w:p>
    <w:bookmarkStart w:id="14" w:name="page15"/>
    <w:bookmarkEnd w:id="14"/>
    <w:p>
      <w:pPr>
        <w:ind w:right="2939"/>
        <w:spacing w:after="0" w:line="237" w:lineRule="auto"/>
        <w:rPr>
          <w:sz w:val="20"/>
          <w:szCs w:val="20"/>
          <w:color w:val="auto"/>
        </w:rPr>
      </w:pPr>
      <w:r>
        <w:rPr>
          <w:rFonts w:ascii="Courier New" w:cs="Courier New" w:eastAsia="Courier New" w:hAnsi="Courier New"/>
          <w:sz w:val="18"/>
          <w:szCs w:val="18"/>
          <w:color w:val="auto"/>
        </w:rPr>
        <w:t>television movies starring Raymond Burr, the DIAGNOSIS MURDER television movies and series starring Dick Van Dyke and the MATLOCK series starring Andy Griffith. Most episodes of MATLOCK and most of the PERRY MASON television movies are currently available for exhibition in domestic syndication. (See "BUSINESS -- Viacom Entertainment -- Viacom Productions")</w:t>
      </w:r>
    </w:p>
    <w:p>
      <w:pPr>
        <w:spacing w:after="0" w:line="210"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The Company had accumulated a backlog of unbilled license agreements of approximately $399 million at December 31, 1993. As the entire license fee amount is billed during the term of various licensing contracts, the Company will recognize as revenues that portion of such amount representing its distribution fees. Down payments and other accelerated payments of license fees are included in the backlog and are recognized as revenues in accordance with the billing terms of the license agreements. (See Note 1 to the Consolidated Financial Statements of Viacom Inc. and the Company for an explanation as to how license fees are billed.) Approximately 58% of the Company's backlog is attributable to license fees for ROSEANNE and THE COSBY SHOW. As THE COSBY SHOW becomes a smaller portion of the total backlog, the percentage of the total license fee recognized as revenue by the Company will be reduced.</w:t>
      </w:r>
    </w:p>
    <w:p>
      <w:pPr>
        <w:spacing w:after="0" w:line="208" w:lineRule="exact"/>
        <w:rPr>
          <w:sz w:val="20"/>
          <w:szCs w:val="20"/>
          <w:color w:val="auto"/>
        </w:rPr>
      </w:pPr>
    </w:p>
    <w:p>
      <w:pPr>
        <w:ind w:right="2839" w:firstLine="527"/>
        <w:spacing w:after="0" w:line="269" w:lineRule="auto"/>
        <w:rPr>
          <w:sz w:val="20"/>
          <w:szCs w:val="20"/>
          <w:color w:val="auto"/>
        </w:rPr>
      </w:pPr>
      <w:r>
        <w:rPr>
          <w:rFonts w:ascii="Courier New" w:cs="Courier New" w:eastAsia="Courier New" w:hAnsi="Courier New"/>
          <w:sz w:val="16"/>
          <w:szCs w:val="16"/>
          <w:color w:val="auto"/>
        </w:rPr>
        <w:t>Since the late 1970s, the Company has produced and/or acquired television series for distribution on a first run basis. There is a financial exposure to the Company when it acquires or produces such series to the extent that advertising revenues derived by the Company and/or license fees paid by television stations to the Company are not sufficient to cover production costs. The Company typically offers to license new episodes of a first run series on a broadcast season basis. Generally, a first run series may be canceled by the Company for any reason at any time; in such event, television station licenses for such first run series are subject to termination by the Company, and the Company may have certain financial obligations to the producer notwithstanding cancellation. The Company is currently offering the third season (since its national launch) of THE MONTEL WILLIAMS SHOW, a first run one-hour strip (five times per week) talk show which premiered in Spring 1991 and was nationally launched in September 1992, on a cash plus barter basis, and NICK NEWS, a first run half hour weekly (one time per week) news and information show targeted for audiences 12 years old and under, which was nationally launched in September 1993 on an all-barter basis.</w:t>
      </w:r>
    </w:p>
    <w:p>
      <w:pPr>
        <w:spacing w:after="0" w:line="395" w:lineRule="exact"/>
        <w:rPr>
          <w:sz w:val="20"/>
          <w:szCs w:val="20"/>
          <w:color w:val="auto"/>
        </w:rPr>
      </w:pPr>
    </w:p>
    <w:p>
      <w:pPr>
        <w:ind w:right="3039" w:firstLine="421"/>
        <w:spacing w:after="0" w:line="237" w:lineRule="auto"/>
        <w:rPr>
          <w:sz w:val="20"/>
          <w:szCs w:val="20"/>
          <w:color w:val="auto"/>
        </w:rPr>
      </w:pPr>
      <w:r>
        <w:rPr>
          <w:rFonts w:ascii="Courier New" w:cs="Courier New" w:eastAsia="Courier New" w:hAnsi="Courier New"/>
          <w:sz w:val="18"/>
          <w:szCs w:val="18"/>
          <w:color w:val="auto"/>
        </w:rPr>
        <w:t>The Company licenses certain ancillary rights to third parties, including home video, video disc and merchandising rights. These rights can be acquired concurrently with a program acquisition, derived from programs or characters created in-house, or directly licensed from the holders of such rights. These activities have not been a source of significant revenues to date.</w:t>
      </w:r>
    </w:p>
    <w:p>
      <w:pPr>
        <w:spacing w:after="0" w:line="210"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For the year ended December 31, 1993, approximately 37% of Viacom Enterprises' revenues were attributable to foreign operations and export business. A substantial portion of such revenues is derived in countries that have import quotas and other restrictions which limit the number of foreign programs and films exhibited in such countries. (See "BUSINESS -- Regulation -- Viacom Entertainment -- European Community Directive")</w:t>
      </w:r>
    </w:p>
    <w:p>
      <w:pPr>
        <w:spacing w:after="0" w:line="211" w:lineRule="exact"/>
        <w:rPr>
          <w:sz w:val="20"/>
          <w:szCs w:val="20"/>
          <w:color w:val="auto"/>
        </w:rPr>
      </w:pPr>
    </w:p>
    <w:p>
      <w:pPr>
        <w:ind w:right="2939" w:firstLine="421"/>
        <w:spacing w:after="0" w:line="236" w:lineRule="auto"/>
        <w:rPr>
          <w:sz w:val="20"/>
          <w:szCs w:val="20"/>
          <w:color w:val="auto"/>
        </w:rPr>
      </w:pPr>
      <w:r>
        <w:rPr>
          <w:rFonts w:ascii="Courier New" w:cs="Courier New" w:eastAsia="Courier New" w:hAnsi="Courier New"/>
          <w:sz w:val="18"/>
          <w:szCs w:val="18"/>
          <w:color w:val="auto"/>
        </w:rPr>
        <w:t>VIACOM PRODUCTIONS. Viacom Productions Inc. ("Viacom Productions") produces programs independently and in association with others primarily for U.S. network prime time television.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 - 13</w:t>
      </w:r>
    </w:p>
    <w:p>
      <w:pPr>
        <w:sectPr>
          <w:pgSz w:w="11900" w:h="16838" w:orient="portrait"/>
          <w:cols w:equalWidth="0" w:num="1">
            <w:col w:w="10219"/>
          </w:cols>
          <w:pgMar w:left="240" w:top="723" w:right="1440" w:bottom="1440" w:gutter="0" w:footer="0" w:header="0"/>
        </w:sectPr>
      </w:pPr>
    </w:p>
    <w:bookmarkStart w:id="15" w:name="page16"/>
    <w:bookmarkEnd w:id="15"/>
    <w:p>
      <w:pPr>
        <w:ind w:right="2839"/>
        <w:spacing w:after="0" w:line="268" w:lineRule="auto"/>
        <w:rPr>
          <w:sz w:val="20"/>
          <w:szCs w:val="20"/>
          <w:color w:val="auto"/>
        </w:rPr>
      </w:pPr>
      <w:r>
        <w:rPr>
          <w:rFonts w:ascii="Courier New" w:cs="Courier New" w:eastAsia="Courier New" w:hAnsi="Courier New"/>
          <w:sz w:val="16"/>
          <w:szCs w:val="16"/>
          <w:color w:val="auto"/>
        </w:rPr>
        <w:t>These programs, which include television movies, series and mini-series, are also a source of product for the Company's distribution activities. There is a financial exposure to the Company with respect to such programs to the extent that revenues from distribution or syndication in foreign or domestic broadcast, cable and/or other markets are not sufficient to cover production deficits (i.e., the</w:t>
      </w:r>
    </w:p>
    <w:p>
      <w:pPr>
        <w:ind w:left="602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839"/>
        <w:spacing w:after="0" w:line="238" w:lineRule="auto"/>
        <w:rPr>
          <w:sz w:val="20"/>
          <w:szCs w:val="20"/>
          <w:color w:val="auto"/>
        </w:rPr>
      </w:pPr>
      <w:r>
        <w:rPr>
          <w:rFonts w:ascii="Courier New" w:cs="Courier New" w:eastAsia="Courier New" w:hAnsi="Courier New"/>
          <w:sz w:val="18"/>
          <w:szCs w:val="18"/>
          <w:color w:val="auto"/>
        </w:rPr>
        <w:t>difference between production costs and network license fees). For the 1993/94 broadcast season, Viacom Productions is producing the eighth network broadcast season of Andy Griffith's MATLOCK series (ABC); three additional PERRY MASON mystery television movies (NBC); the first network broadcast season of Dick Van Dyke's DIAGNOSIS MURDER series (CBS); two television movies starring Louis Gossett, Jr. (NBC); and several two-hour television movies, including THE ANISSA AYALA STORY (NBC); DESPERATE JOURNEY, starring Mel Harris (ABC); and SIN AND REDEMPTION, starring Richard Grieco (CBS). Viacom Productions also produces movies for cable television networks, including THEY, starring Vanessa Redgrave (SHOWTIME) and A FRIENDLY SUIT, starring Melissa Gilbert and Marlee Matlin (LIFETIME).</w:t>
      </w:r>
    </w:p>
    <w:p>
      <w:pPr>
        <w:spacing w:after="0" w:line="207" w:lineRule="exact"/>
        <w:rPr>
          <w:sz w:val="20"/>
          <w:szCs w:val="20"/>
          <w:color w:val="auto"/>
        </w:rPr>
      </w:pPr>
    </w:p>
    <w:p>
      <w:pPr>
        <w:ind w:right="2839" w:firstLine="421"/>
        <w:spacing w:after="0" w:line="269" w:lineRule="auto"/>
        <w:rPr>
          <w:sz w:val="20"/>
          <w:szCs w:val="20"/>
          <w:color w:val="auto"/>
        </w:rPr>
      </w:pPr>
      <w:r>
        <w:rPr>
          <w:rFonts w:ascii="Courier New" w:cs="Courier New" w:eastAsia="Courier New" w:hAnsi="Courier New"/>
          <w:sz w:val="16"/>
          <w:szCs w:val="16"/>
          <w:color w:val="auto"/>
        </w:rPr>
        <w:t>VIACOM NEW MEDIA. Viacom New Media, the Company's interactive publishing division, was formed in 1992 to develop, produce, distribute and market interactive software for the stand-alone and other multimedia marketplaces. ICOM Simulations, Inc., an interactive software development company, was acquired by the Company in May 1993 and has been integrated into Viacom New Media; among other things, ICOM Simulations, Inc. is known for its SHERLOCK HOLMES CONSULTING DETECTIVE series of CD-ROM products. Viacom New Media released an interactive horror movie on CD-ROM entitled DRACULA UNLEASHED in the fourth quarter of 1993. In 1994, Viacom New Media expects to release original video games and CD-ROM products based on certain MTV Networks programs, including ROCKO'S MODERN LIFE (currently scheduled for second quarter 1994 release) and BEAVIS &amp; BUTT-HEAD. Viacom New Media also expects to participate in the development of interactive programming for the Viacom/AT&amp;T Castro Valley cable system project. (See "BUSINESS -- Viacom Cable Television")</w:t>
      </w:r>
    </w:p>
    <w:p>
      <w:pPr>
        <w:spacing w:after="0" w:line="397"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VIACOM WORLD WIDE LTD. Viacom World Wide Ltd. ("Viacom World Wide") explores and develops international business opportunities in all media, focusing primarily on countries with recently deregulated television industries. Viacom World Wide works closely with the Company's other operating units in identifying international business opportunities. Viacom World Wide also provides consulting services to companies overseas. Over the past year, Viacom World Wide has provided strategic and business planning services to corporations in the Middle East and engineering services in Japan. None of these services has been a source of significant revenues to date nor required significant capital contributions by the Company.</w:t>
      </w:r>
    </w:p>
    <w:p>
      <w:pPr>
        <w:spacing w:after="0" w:line="216" w:lineRule="exact"/>
        <w:rPr>
          <w:sz w:val="20"/>
          <w:szCs w:val="20"/>
          <w:color w:val="auto"/>
        </w:rPr>
      </w:pPr>
    </w:p>
    <w:p>
      <w:pPr>
        <w:ind w:right="2839" w:firstLine="421"/>
        <w:spacing w:after="0" w:line="275" w:lineRule="auto"/>
        <w:rPr>
          <w:sz w:val="20"/>
          <w:szCs w:val="20"/>
          <w:color w:val="auto"/>
        </w:rPr>
      </w:pPr>
      <w:r>
        <w:rPr>
          <w:rFonts w:ascii="Courier New" w:cs="Courier New" w:eastAsia="Courier New" w:hAnsi="Courier New"/>
          <w:sz w:val="16"/>
          <w:szCs w:val="16"/>
          <w:color w:val="auto"/>
        </w:rPr>
        <w:t>VIACOM MGS SERVICES. Viacom MGS Services Inc. ("MGS") distributes, duplicates and stores taped and filmed television commercials, radio commercials, and other programs for advertisers and agencies, production houses and industrial and educational customers.</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VIACOM CABLE TELEVISION</w:t>
      </w:r>
    </w:p>
    <w:p>
      <w:pPr>
        <w:spacing w:after="0" w:line="207" w:lineRule="exact"/>
        <w:rPr>
          <w:sz w:val="20"/>
          <w:szCs w:val="20"/>
          <w:color w:val="auto"/>
        </w:rPr>
      </w:pPr>
    </w:p>
    <w:p>
      <w:pPr>
        <w:ind w:right="3039" w:firstLine="421"/>
        <w:spacing w:after="0" w:line="275" w:lineRule="auto"/>
        <w:rPr>
          <w:sz w:val="20"/>
          <w:szCs w:val="20"/>
          <w:color w:val="auto"/>
        </w:rPr>
      </w:pPr>
      <w:r>
        <w:rPr>
          <w:rFonts w:ascii="Courier New" w:cs="Courier New" w:eastAsia="Courier New" w:hAnsi="Courier New"/>
          <w:sz w:val="16"/>
          <w:szCs w:val="16"/>
          <w:color w:val="auto"/>
        </w:rPr>
        <w:t>CABLE OPERATIONS. At December 31, 1993, Viacom Cable Television ("Viacom Cable") was approximately the 13th largest multiple cable television system operator in the United States with approximately 1,094,000 subscribers. In January 1993, the Company completed the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 - 14</w:t>
      </w:r>
    </w:p>
    <w:p>
      <w:pPr>
        <w:sectPr>
          <w:pgSz w:w="11900" w:h="16838" w:orient="portrait"/>
          <w:cols w:equalWidth="0" w:num="1">
            <w:col w:w="10219"/>
          </w:cols>
          <w:pgMar w:left="240" w:top="723" w:right="1440" w:bottom="1440" w:gutter="0" w:footer="0" w:header="0"/>
        </w:sectPr>
      </w:pPr>
    </w:p>
    <w:bookmarkStart w:id="16" w:name="page17"/>
    <w:bookmarkEnd w:id="16"/>
    <w:p>
      <w:pPr>
        <w:ind w:right="2839"/>
        <w:spacing w:after="0" w:line="237" w:lineRule="auto"/>
        <w:rPr>
          <w:sz w:val="20"/>
          <w:szCs w:val="20"/>
          <w:color w:val="auto"/>
        </w:rPr>
      </w:pPr>
      <w:r>
        <w:rPr>
          <w:rFonts w:ascii="Courier New" w:cs="Courier New" w:eastAsia="Courier New" w:hAnsi="Courier New"/>
          <w:sz w:val="18"/>
          <w:szCs w:val="18"/>
          <w:color w:val="auto"/>
        </w:rPr>
        <w:t>sale of its suburban Milwaukee cable system, serving approximately 47,000 customers, to Warner Communications Inc., a unit of Time Warner Entertainment Co., L.P. as part of the settlement of the Company's antitrust lawsuit against Time Warner Inc. Viacom Cable's systems are operated pursuant to non-exclusive franchises granted by local governing authorities.</w:t>
      </w:r>
    </w:p>
    <w:p>
      <w:pPr>
        <w:spacing w:after="0" w:line="210"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Viacom Cable offers two tiers of primary (i.e., non-premium) service: "Limited Service", which consists generally of local and distant broadcast stations and all public, educational and governmental channels ("PEG") required by local franchise authorities; and, the "Satellite Value Package", which provides additional channels of satellite-delivered cable networks. Monthly service fees for these two levels of primary service constitute the major source of the systems' revenue.</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monthly service fees for Limited Service and the Satellite</w:t>
      </w:r>
    </w:p>
    <w:p>
      <w:pPr>
        <w:spacing w:after="0" w:line="238" w:lineRule="auto"/>
        <w:rPr>
          <w:sz w:val="20"/>
          <w:szCs w:val="20"/>
          <w:color w:val="auto"/>
        </w:rPr>
      </w:pPr>
      <w:r>
        <w:rPr>
          <w:rFonts w:ascii="Courier New" w:cs="Courier New" w:eastAsia="Courier New" w:hAnsi="Courier New"/>
          <w:sz w:val="18"/>
          <w:szCs w:val="18"/>
          <w:color w:val="auto"/>
        </w:rPr>
        <w:t>Value Package are regulated under the Cable Television Consumer</w:t>
      </w:r>
    </w:p>
    <w:p>
      <w:pPr>
        <w:spacing w:after="0"/>
        <w:rPr>
          <w:sz w:val="20"/>
          <w:szCs w:val="20"/>
          <w:color w:val="auto"/>
        </w:rPr>
      </w:pPr>
      <w:r>
        <w:rPr>
          <w:rFonts w:ascii="Courier New" w:cs="Courier New" w:eastAsia="Courier New" w:hAnsi="Courier New"/>
          <w:sz w:val="18"/>
          <w:szCs w:val="18"/>
          <w:color w:val="auto"/>
        </w:rPr>
        <w:t>Protection and Competition Act of 1992 (the "1992 Cable Act") (See</w:t>
      </w:r>
    </w:p>
    <w:p>
      <w:pPr>
        <w:spacing w:after="0" w:line="237" w:lineRule="auto"/>
        <w:tabs>
          <w:tab w:leader="none" w:pos="6940" w:val="left"/>
        </w:tabs>
        <w:rPr>
          <w:sz w:val="20"/>
          <w:szCs w:val="20"/>
          <w:color w:val="auto"/>
        </w:rPr>
      </w:pPr>
      <w:r>
        <w:rPr>
          <w:rFonts w:ascii="Courier New" w:cs="Courier New" w:eastAsia="Courier New" w:hAnsi="Courier New"/>
          <w:sz w:val="18"/>
          <w:szCs w:val="18"/>
          <w:color w:val="auto"/>
        </w:rPr>
        <w:t>"BUSINESS -- Regulation -- Viacom Cable -- Federal Regulation").</w:t>
        <w:tab/>
        <w:t>At</w:t>
      </w:r>
    </w:p>
    <w:p>
      <w:pPr>
        <w:spacing w:after="0" w:line="238" w:lineRule="auto"/>
        <w:rPr>
          <w:sz w:val="20"/>
          <w:szCs w:val="20"/>
          <w:color w:val="auto"/>
        </w:rPr>
      </w:pPr>
      <w:r>
        <w:rPr>
          <w:rFonts w:ascii="Courier New" w:cs="Courier New" w:eastAsia="Courier New" w:hAnsi="Courier New"/>
          <w:sz w:val="18"/>
          <w:szCs w:val="18"/>
          <w:color w:val="auto"/>
        </w:rPr>
        <w:t>December 31, 1993, the fixed monthly fees charged to customers for</w:t>
      </w:r>
    </w:p>
    <w:p>
      <w:pPr>
        <w:spacing w:after="0"/>
        <w:rPr>
          <w:sz w:val="20"/>
          <w:szCs w:val="20"/>
          <w:color w:val="auto"/>
        </w:rPr>
      </w:pPr>
      <w:r>
        <w:rPr>
          <w:rFonts w:ascii="Courier New" w:cs="Courier New" w:eastAsia="Courier New" w:hAnsi="Courier New"/>
          <w:sz w:val="18"/>
          <w:szCs w:val="18"/>
          <w:color w:val="auto"/>
        </w:rPr>
        <w:t>primary services varied by geographic area and ranged from $9.00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$14.84 per month for Limited Service and from $21.25 to $25.78 for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combination of Limited Service plus the Satellite Value Package,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each case for all of an individual customer's television connections.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offers customers the Company's own basic programming</w:t>
      </w:r>
    </w:p>
    <w:p>
      <w:pPr>
        <w:spacing w:after="0"/>
        <w:tabs>
          <w:tab w:leader="none" w:pos="6840" w:val="left"/>
        </w:tabs>
        <w:rPr>
          <w:sz w:val="20"/>
          <w:szCs w:val="20"/>
          <w:color w:val="auto"/>
        </w:rPr>
      </w:pPr>
      <w:r>
        <w:rPr>
          <w:rFonts w:ascii="Courier New" w:cs="Courier New" w:eastAsia="Courier New" w:hAnsi="Courier New"/>
          <w:sz w:val="18"/>
          <w:szCs w:val="18"/>
          <w:color w:val="auto"/>
        </w:rPr>
        <w:t>services, as well as third-party services such as CNN and ESPN.</w:t>
      </w:r>
      <w:r>
        <w:rPr>
          <w:sz w:val="20"/>
          <w:szCs w:val="20"/>
          <w:color w:val="auto"/>
        </w:rPr>
        <w:tab/>
      </w:r>
      <w:r>
        <w:rPr>
          <w:rFonts w:ascii="Courier New" w:cs="Courier New" w:eastAsia="Courier New" w:hAnsi="Courier New"/>
          <w:sz w:val="16"/>
          <w:szCs w:val="16"/>
          <w:color w:val="auto"/>
        </w:rPr>
        <w:t>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installation charge is levied in many cases but does not constitute an</w:t>
      </w:r>
    </w:p>
    <w:p>
      <w:pPr>
        <w:spacing w:after="0" w:line="16"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important source of revenue.</w:t>
      </w:r>
      <w:r>
        <w:rPr>
          <w:sz w:val="20"/>
          <w:szCs w:val="20"/>
          <w:color w:val="auto"/>
        </w:rPr>
        <w:tab/>
      </w:r>
      <w:r>
        <w:rPr>
          <w:rFonts w:ascii="Courier New" w:cs="Courier New" w:eastAsia="Courier New" w:hAnsi="Courier New"/>
          <w:sz w:val="16"/>
          <w:szCs w:val="16"/>
          <w:color w:val="auto"/>
        </w:rPr>
        <w:t>Customers are free to discontinue</w:t>
      </w:r>
    </w:p>
    <w:p>
      <w:pPr>
        <w:spacing w:after="0"/>
        <w:tabs>
          <w:tab w:leader="none" w:pos="1880" w:val="left"/>
        </w:tabs>
        <w:rPr>
          <w:sz w:val="20"/>
          <w:szCs w:val="20"/>
          <w:color w:val="auto"/>
        </w:rPr>
      </w:pPr>
      <w:r>
        <w:rPr>
          <w:rFonts w:ascii="Courier New" w:cs="Courier New" w:eastAsia="Courier New" w:hAnsi="Courier New"/>
          <w:sz w:val="18"/>
          <w:szCs w:val="18"/>
          <w:color w:val="auto"/>
        </w:rPr>
        <w:t>service at will.</w:t>
      </w:r>
      <w:r>
        <w:rPr>
          <w:sz w:val="20"/>
          <w:szCs w:val="20"/>
          <w:color w:val="auto"/>
        </w:rPr>
        <w:tab/>
      </w:r>
      <w:r>
        <w:rPr>
          <w:rFonts w:ascii="Courier New" w:cs="Courier New" w:eastAsia="Courier New" w:hAnsi="Courier New"/>
          <w:sz w:val="16"/>
          <w:szCs w:val="16"/>
          <w:color w:val="auto"/>
        </w:rPr>
        <w:t>None of Viacom Cable's systems is exempt from rate</w:t>
      </w:r>
    </w:p>
    <w:p>
      <w:pPr>
        <w:spacing w:after="0"/>
        <w:rPr>
          <w:sz w:val="20"/>
          <w:szCs w:val="20"/>
          <w:color w:val="auto"/>
        </w:rPr>
      </w:pPr>
      <w:r>
        <w:rPr>
          <w:rFonts w:ascii="Courier New" w:cs="Courier New" w:eastAsia="Courier New" w:hAnsi="Courier New"/>
          <w:sz w:val="18"/>
          <w:szCs w:val="18"/>
          <w:color w:val="auto"/>
        </w:rPr>
        <w:t>regulation under the 1992 Cable Act.</w:t>
      </w:r>
    </w:p>
    <w:p>
      <w:pPr>
        <w:spacing w:after="0" w:line="206" w:lineRule="exact"/>
        <w:rPr>
          <w:sz w:val="20"/>
          <w:szCs w:val="20"/>
          <w:color w:val="auto"/>
        </w:rPr>
      </w:pPr>
    </w:p>
    <w:p>
      <w:pPr>
        <w:ind w:right="2939" w:firstLine="421"/>
        <w:spacing w:after="0" w:line="237" w:lineRule="auto"/>
        <w:rPr>
          <w:sz w:val="20"/>
          <w:szCs w:val="20"/>
          <w:color w:val="auto"/>
        </w:rPr>
      </w:pPr>
      <w:r>
        <w:rPr>
          <w:rFonts w:ascii="Courier New" w:cs="Courier New" w:eastAsia="Courier New" w:hAnsi="Courier New"/>
          <w:sz w:val="18"/>
          <w:szCs w:val="18"/>
          <w:color w:val="auto"/>
        </w:rPr>
        <w:t>Viacom Cable offers premium cable television programming, including the Company's premium subscription television services, to its customers for an additional monthly fee of up to $12.25 per premium service. As of December 31, 1993, the Company's cable television systems had approximately 718,000 subscriptions to premium cable television program services.</w:t>
      </w:r>
    </w:p>
    <w:p>
      <w:pPr>
        <w:spacing w:after="0" w:line="210" w:lineRule="exact"/>
        <w:rPr>
          <w:sz w:val="20"/>
          <w:szCs w:val="20"/>
          <w:color w:val="auto"/>
        </w:rPr>
      </w:pPr>
    </w:p>
    <w:p>
      <w:pPr>
        <w:ind w:right="2939" w:firstLine="421"/>
        <w:spacing w:after="0" w:line="272" w:lineRule="auto"/>
        <w:rPr>
          <w:sz w:val="20"/>
          <w:szCs w:val="20"/>
          <w:color w:val="auto"/>
        </w:rPr>
      </w:pPr>
      <w:r>
        <w:rPr>
          <w:rFonts w:ascii="Courier New" w:cs="Courier New" w:eastAsia="Courier New" w:hAnsi="Courier New"/>
          <w:sz w:val="16"/>
          <w:szCs w:val="16"/>
          <w:color w:val="auto"/>
        </w:rPr>
        <w:t>Viacom Cable customers who elect to subscribe to Limited Service alone are also able to purchase premium and pay-per-view services offered by the Company without first having to "buy through" the Satellite Value Package. The 1992 Cable Act requires cable operators to implement this practice where no technological limitations exist. (See "BUSINESS -- Regulation -- Viacom Cable -- Federal Regulation")</w:t>
      </w:r>
    </w:p>
    <w:p>
      <w:pPr>
        <w:spacing w:after="0" w:line="186" w:lineRule="exact"/>
        <w:rPr>
          <w:sz w:val="20"/>
          <w:szCs w:val="20"/>
          <w:color w:val="auto"/>
        </w:rPr>
      </w:pPr>
    </w:p>
    <w:p>
      <w:pPr>
        <w:ind w:right="3039" w:firstLine="421"/>
        <w:spacing w:after="0" w:line="237" w:lineRule="auto"/>
        <w:rPr>
          <w:sz w:val="20"/>
          <w:szCs w:val="20"/>
          <w:color w:val="auto"/>
        </w:rPr>
      </w:pPr>
      <w:r>
        <w:rPr>
          <w:rFonts w:ascii="Courier New" w:cs="Courier New" w:eastAsia="Courier New" w:hAnsi="Courier New"/>
          <w:sz w:val="18"/>
          <w:szCs w:val="18"/>
          <w:color w:val="auto"/>
        </w:rPr>
        <w:t>Viacom Cable also derives revenue from sales of available advertising spots on advertiser-supported programming and sharing of revenues from sales of products on home shopping services offered by Viacom Cable to its customers.</w:t>
      </w:r>
    </w:p>
    <w:p>
      <w:pPr>
        <w:spacing w:after="0" w:line="207" w:lineRule="exact"/>
        <w:rPr>
          <w:sz w:val="20"/>
          <w:szCs w:val="20"/>
          <w:color w:val="auto"/>
        </w:rPr>
      </w:pPr>
    </w:p>
    <w:p>
      <w:pPr>
        <w:ind w:right="2839" w:firstLine="421"/>
        <w:spacing w:after="0" w:line="271" w:lineRule="auto"/>
        <w:rPr>
          <w:sz w:val="20"/>
          <w:szCs w:val="20"/>
          <w:color w:val="auto"/>
        </w:rPr>
      </w:pPr>
      <w:r>
        <w:rPr>
          <w:rFonts w:ascii="Courier New" w:cs="Courier New" w:eastAsia="Courier New" w:hAnsi="Courier New"/>
          <w:sz w:val="16"/>
          <w:szCs w:val="16"/>
          <w:color w:val="auto"/>
        </w:rPr>
        <w:t>Cable operators require substantial capital expenditures to construct systems and significant annual expenditures to maintain, rebuild and expand systems. The equipment of each cable system consists principally of receiving apparatus, trunk lines, feeder cable and drop lines connecting the distribution network to the premises of the customers, electronic amplification and distribution equipment, converters located in customers' homes and other components. System construction and operation and quality of equipment used must conform with federal, state and local electrical and safety codes and certain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 - 15</w:t>
      </w:r>
    </w:p>
    <w:p>
      <w:pPr>
        <w:sectPr>
          <w:pgSz w:w="11900" w:h="16838" w:orient="portrait"/>
          <w:cols w:equalWidth="0" w:num="1">
            <w:col w:w="10219"/>
          </w:cols>
          <w:pgMar w:left="240" w:top="723" w:right="1440" w:bottom="1440" w:gutter="0" w:footer="0" w:header="0"/>
        </w:sectPr>
      </w:pPr>
    </w:p>
    <w:bookmarkStart w:id="17" w:name="page18"/>
    <w:bookmarkEnd w:id="17"/>
    <w:p>
      <w:pPr>
        <w:ind w:right="2839"/>
        <w:spacing w:after="0" w:line="238" w:lineRule="auto"/>
        <w:rPr>
          <w:sz w:val="20"/>
          <w:szCs w:val="20"/>
          <w:color w:val="auto"/>
        </w:rPr>
      </w:pPr>
      <w:r>
        <w:rPr>
          <w:rFonts w:ascii="Courier New" w:cs="Courier New" w:eastAsia="Courier New" w:hAnsi="Courier New"/>
          <w:sz w:val="18"/>
          <w:szCs w:val="18"/>
          <w:color w:val="auto"/>
        </w:rPr>
        <w:t>regulations of the FCC. Viacom Cable, like many other cable operators, is analyzing potential business applications for its broadband network, including interactive video, video on demand, data services and telephony. These applications, either individually or in combination, may require technological changes such as fiber optics and digital compression. If these applications justify capital spending in excess of current projections, Viacom Cable will revise its capital needs accordingly. Although management believes the equipment used in the cable operations is in good operating condition, except for ordinary wear and tear, Viacom Cable invests significant amounts each year to upgrade, rebuild and expand its cable systems. During the last five years, Viacom Cable's capital expenditures were as follows: 1989: $40 million; 1990: $46 million; 1991: $45 million; 1992: $55 million; and 1993: $79 million. The Company expects that Viacom Cable's capital expenditures in 1994 will be approximately $100 million.</w:t>
      </w:r>
    </w:p>
    <w:p>
      <w:pPr>
        <w:spacing w:after="0" w:line="208" w:lineRule="exact"/>
        <w:rPr>
          <w:sz w:val="20"/>
          <w:szCs w:val="20"/>
          <w:color w:val="auto"/>
        </w:rPr>
      </w:pPr>
    </w:p>
    <w:p>
      <w:pPr>
        <w:ind w:right="2839" w:firstLine="421"/>
        <w:spacing w:after="0" w:line="270" w:lineRule="auto"/>
        <w:rPr>
          <w:sz w:val="20"/>
          <w:szCs w:val="20"/>
          <w:color w:val="auto"/>
        </w:rPr>
      </w:pPr>
      <w:r>
        <w:rPr>
          <w:rFonts w:ascii="Courier New" w:cs="Courier New" w:eastAsia="Courier New" w:hAnsi="Courier New"/>
          <w:sz w:val="16"/>
          <w:szCs w:val="16"/>
          <w:color w:val="auto"/>
        </w:rPr>
        <w:t>Viacom Cable has constructed a fiber optic cable system in Castro Valley, California to provide more channels with significantly better picture quality, and to accommodate testing of new services including an interactive on-screen programming guide known as StarSight (in which a consolidated affiliate of the Company currently has a 21.4% equity interest which it has the right to increase to 35%), other interactive programs with Viacom New Media, video-on-demand premium services, multiplexed premium services, and advanced interactive video and data services. Viacom has entered into an agreement with AT&amp;T to test and further develop such services.</w:t>
      </w:r>
    </w:p>
    <w:p>
      <w:pPr>
        <w:spacing w:after="0" w:line="189" w:lineRule="exact"/>
        <w:rPr>
          <w:sz w:val="20"/>
          <w:szCs w:val="20"/>
          <w:color w:val="auto"/>
        </w:rPr>
      </w:pPr>
    </w:p>
    <w:p>
      <w:pPr>
        <w:ind w:right="2939" w:firstLine="421"/>
        <w:spacing w:after="0" w:line="237" w:lineRule="auto"/>
        <w:rPr>
          <w:sz w:val="20"/>
          <w:szCs w:val="20"/>
          <w:color w:val="auto"/>
        </w:rPr>
      </w:pPr>
      <w:r>
        <w:rPr>
          <w:rFonts w:ascii="Courier New" w:cs="Courier New" w:eastAsia="Courier New" w:hAnsi="Courier New"/>
          <w:sz w:val="18"/>
          <w:szCs w:val="18"/>
          <w:color w:val="auto"/>
        </w:rPr>
        <w:t>As part of Viacom's strategic relationship with NYNEX Corporation ("NYNEX"), Viacom has granted NYNEX a right of first refusal with respect to providing telephony service upgrade expertise to Viacom 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 - 16</w:t>
      </w:r>
    </w:p>
    <w:p>
      <w:pPr>
        <w:sectPr>
          <w:pgSz w:w="11900" w:h="16838" w:orient="portrait"/>
          <w:cols w:equalWidth="0" w:num="1">
            <w:col w:w="10219"/>
          </w:cols>
          <w:pgMar w:left="240" w:top="723" w:right="1440" w:bottom="1440" w:gutter="0" w:footer="0" w:header="0"/>
        </w:sectPr>
      </w:pPr>
    </w:p>
    <w:bookmarkStart w:id="18" w:name="page19"/>
    <w:bookmarkEnd w:id="18"/>
    <w:p>
      <w:pPr>
        <w:ind w:left="3380"/>
        <w:spacing w:after="0"/>
        <w:rPr>
          <w:sz w:val="20"/>
          <w:szCs w:val="20"/>
          <w:color w:val="auto"/>
        </w:rPr>
      </w:pPr>
      <w:r>
        <w:rPr>
          <w:rFonts w:ascii="Courier New" w:cs="Courier New" w:eastAsia="Courier New" w:hAnsi="Courier New"/>
          <w:sz w:val="18"/>
          <w:szCs w:val="18"/>
          <w:color w:val="auto"/>
        </w:rPr>
        <w:t>AS OF DECEMBER 31, 1993</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8"/>
                <w:szCs w:val="18"/>
                <w:color w:val="auto"/>
                <w:w w:val="97"/>
              </w:rPr>
              <w:t>APPLOXIMATE</w:t>
            </w:r>
          </w:p>
        </w:tc>
        <w:tc>
          <w:tcPr>
            <w:tcW w:w="1460" w:type="dxa"/>
            <w:vAlign w:val="bottom"/>
          </w:tcPr>
          <w:p>
            <w:pPr>
              <w:ind w:left="140"/>
              <w:spacing w:after="0"/>
              <w:rPr>
                <w:sz w:val="20"/>
                <w:szCs w:val="20"/>
                <w:color w:val="auto"/>
              </w:rPr>
            </w:pPr>
            <w:r>
              <w:rPr>
                <w:rFonts w:ascii="Courier New" w:cs="Courier New" w:eastAsia="Courier New" w:hAnsi="Courier New"/>
                <w:sz w:val="18"/>
                <w:szCs w:val="18"/>
                <w:color w:val="auto"/>
              </w:rPr>
              <w:t>APPROXIMATE</w:t>
            </w:r>
          </w:p>
        </w:tc>
        <w:tc>
          <w:tcPr>
            <w:tcW w:w="1220" w:type="dxa"/>
            <w:vAlign w:val="bottom"/>
          </w:tcPr>
          <w:p>
            <w:pPr>
              <w:jc w:val="center"/>
              <w:spacing w:after="0"/>
              <w:rPr>
                <w:sz w:val="20"/>
                <w:szCs w:val="20"/>
                <w:color w:val="auto"/>
              </w:rPr>
            </w:pPr>
            <w:r>
              <w:rPr>
                <w:rFonts w:ascii="Courier New" w:cs="Courier New" w:eastAsia="Courier New" w:hAnsi="Courier New"/>
                <w:sz w:val="18"/>
                <w:szCs w:val="18"/>
                <w:color w:val="auto"/>
                <w:w w:val="98"/>
              </w:rPr>
              <w:t>NUMBER OF</w:t>
            </w: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HOMES IN</w:t>
            </w: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HOMES PASSED</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PRIMARY</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PRIMARY</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PREMIUM</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PREMIUM</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MILES OF</w:t>
            </w:r>
          </w:p>
        </w:tc>
      </w:tr>
      <w:tr>
        <w:trPr>
          <w:trHeight w:val="203"/>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FRANCHISE</w:t>
            </w:r>
          </w:p>
        </w:tc>
        <w:tc>
          <w:tcPr>
            <w:tcW w:w="14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BY CABLE</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CUSTOMERS</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PENETRATION</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UNITS</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PENETRATION</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CABLE</w:t>
            </w:r>
          </w:p>
        </w:tc>
      </w:tr>
      <w:tr>
        <w:trPr>
          <w:trHeight w:val="203"/>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AREA</w:t>
            </w:r>
          </w:p>
        </w:tc>
        <w:tc>
          <w:tcPr>
            <w:tcW w:w="1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DISTRIBUTION</w:t>
            </w:r>
          </w:p>
        </w:tc>
      </w:tr>
      <w:tr>
        <w:trPr>
          <w:trHeight w:val="203"/>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w:t>
            </w:r>
          </w:p>
        </w:tc>
        <w:tc>
          <w:tcPr>
            <w:tcW w:w="14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(3)</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(6)</w:t>
            </w:r>
          </w:p>
        </w:tc>
        <w:tc>
          <w:tcPr>
            <w:tcW w:w="14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16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2120" w:type="dxa"/>
            <w:vAlign w:val="bottom"/>
            <w:gridSpan w:val="4"/>
          </w:tcPr>
          <w:p>
            <w:pPr>
              <w:spacing w:after="0"/>
              <w:rPr>
                <w:sz w:val="20"/>
                <w:szCs w:val="20"/>
                <w:color w:val="auto"/>
              </w:rPr>
            </w:pPr>
            <w:r>
              <w:rPr>
                <w:rFonts w:ascii="Courier New" w:cs="Courier New" w:eastAsia="Courier New" w:hAnsi="Courier New"/>
                <w:sz w:val="18"/>
                <w:szCs w:val="18"/>
                <w:color w:val="auto"/>
              </w:rPr>
              <w:t>Bay Area Region</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Marin</w:t>
            </w:r>
          </w:p>
        </w:tc>
        <w:tc>
          <w:tcPr>
            <w:tcW w:w="120" w:type="dxa"/>
            <w:vAlign w:val="bottom"/>
          </w:tcPr>
          <w:p>
            <w:pPr>
              <w:spacing w:after="0"/>
              <w:rPr>
                <w:sz w:val="17"/>
                <w:szCs w:val="17"/>
                <w:color w:val="auto"/>
              </w:rPr>
            </w:pPr>
          </w:p>
        </w:tc>
        <w:tc>
          <w:tcPr>
            <w:tcW w:w="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6"/>
              </w:rPr>
              <w:t>(7)</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81,000</w:t>
            </w:r>
          </w:p>
        </w:tc>
        <w:tc>
          <w:tcPr>
            <w:tcW w:w="14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79,600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61,800</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78%</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30,200</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49%</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638</w:t>
            </w:r>
          </w:p>
        </w:tc>
      </w:tr>
      <w:tr>
        <w:trPr>
          <w:trHeight w:val="203"/>
        </w:trPr>
        <w:tc>
          <w:tcPr>
            <w:tcW w:w="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Sonoma</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45,000</w:t>
            </w:r>
          </w:p>
        </w:tc>
        <w:tc>
          <w:tcPr>
            <w:tcW w:w="14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44,700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34,500</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77%</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17,000</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49%</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514</w:t>
            </w:r>
          </w:p>
        </w:tc>
      </w:tr>
      <w:tr>
        <w:trPr>
          <w:trHeight w:val="203"/>
        </w:trPr>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Napa</w:t>
            </w:r>
          </w:p>
        </w:tc>
        <w:tc>
          <w:tcPr>
            <w:tcW w:w="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(7)</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33,000</w:t>
            </w:r>
          </w:p>
        </w:tc>
        <w:tc>
          <w:tcPr>
            <w:tcW w:w="14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32,600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22,900</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70%</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11,800</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52%</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302</w:t>
            </w:r>
          </w:p>
        </w:tc>
      </w:tr>
      <w:tr>
        <w:trPr>
          <w:trHeight w:val="203"/>
        </w:trPr>
        <w:tc>
          <w:tcPr>
            <w:tcW w:w="212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East Bay/Castro</w:t>
            </w:r>
          </w:p>
        </w:tc>
        <w:tc>
          <w:tcPr>
            <w:tcW w:w="10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85,000</w:t>
            </w:r>
          </w:p>
        </w:tc>
        <w:tc>
          <w:tcPr>
            <w:tcW w:w="14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85,400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70,800</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83%</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53,700</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76%</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668</w:t>
            </w:r>
          </w:p>
        </w:tc>
      </w:tr>
      <w:tr>
        <w:trPr>
          <w:trHeight w:val="203"/>
        </w:trPr>
        <w:tc>
          <w:tcPr>
            <w:tcW w:w="2120" w:type="dxa"/>
            <w:vAlign w:val="bottom"/>
            <w:gridSpan w:val="4"/>
          </w:tcPr>
          <w:p>
            <w:pPr>
              <w:jc w:val="center"/>
              <w:ind w:right="232"/>
              <w:spacing w:after="0" w:line="203" w:lineRule="exact"/>
              <w:rPr>
                <w:sz w:val="20"/>
                <w:szCs w:val="20"/>
                <w:color w:val="auto"/>
              </w:rPr>
            </w:pPr>
            <w:r>
              <w:rPr>
                <w:rFonts w:ascii="Courier New" w:cs="Courier New" w:eastAsia="Courier New" w:hAnsi="Courier New"/>
                <w:sz w:val="18"/>
                <w:szCs w:val="18"/>
                <w:color w:val="auto"/>
                <w:w w:val="98"/>
              </w:rPr>
              <w:t>Valley(7)</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220" w:type="dxa"/>
            <w:vAlign w:val="bottom"/>
            <w:gridSpan w:val="5"/>
          </w:tcPr>
          <w:p>
            <w:pPr>
              <w:ind w:left="220"/>
              <w:spacing w:after="0" w:line="203" w:lineRule="exact"/>
              <w:rPr>
                <w:sz w:val="20"/>
                <w:szCs w:val="20"/>
                <w:color w:val="auto"/>
              </w:rPr>
            </w:pPr>
            <w:r>
              <w:rPr>
                <w:rFonts w:ascii="Courier New" w:cs="Courier New" w:eastAsia="Courier New" w:hAnsi="Courier New"/>
                <w:sz w:val="18"/>
                <w:szCs w:val="18"/>
                <w:color w:val="auto"/>
                <w:w w:val="96"/>
              </w:rPr>
              <w:t>Pittsburg/Pinole(7)</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72,000</w:t>
            </w:r>
          </w:p>
        </w:tc>
        <w:tc>
          <w:tcPr>
            <w:tcW w:w="14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71,400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53,600</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75%</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37,900</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71%</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511</w:t>
            </w:r>
          </w:p>
        </w:tc>
      </w:tr>
      <w:tr>
        <w:trPr>
          <w:trHeight w:val="203"/>
        </w:trPr>
        <w:tc>
          <w:tcPr>
            <w:tcW w:w="212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San Francisco</w:t>
            </w:r>
          </w:p>
        </w:tc>
        <w:tc>
          <w:tcPr>
            <w:tcW w:w="10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354,500</w:t>
            </w:r>
          </w:p>
        </w:tc>
        <w:tc>
          <w:tcPr>
            <w:tcW w:w="14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334,000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161,800</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48%</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117,700</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73%</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709</w:t>
            </w:r>
          </w:p>
        </w:tc>
      </w:tr>
      <w:tr>
        <w:trPr>
          <w:trHeight w:val="203"/>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gridSpan w:val="4"/>
          </w:tcPr>
          <w:p>
            <w:pPr>
              <w:ind w:left="640"/>
              <w:spacing w:after="0" w:line="203" w:lineRule="exact"/>
              <w:rPr>
                <w:sz w:val="20"/>
                <w:szCs w:val="20"/>
                <w:color w:val="auto"/>
              </w:rPr>
            </w:pPr>
            <w:r>
              <w:rPr>
                <w:rFonts w:ascii="Courier New" w:cs="Courier New" w:eastAsia="Courier New" w:hAnsi="Courier New"/>
                <w:sz w:val="18"/>
                <w:szCs w:val="18"/>
                <w:color w:val="auto"/>
                <w:w w:val="96"/>
              </w:rPr>
              <w:t>Total Bay Area</w:t>
            </w:r>
          </w:p>
        </w:tc>
        <w:tc>
          <w:tcPr>
            <w:tcW w:w="10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670,500</w:t>
            </w:r>
          </w:p>
        </w:tc>
        <w:tc>
          <w:tcPr>
            <w:tcW w:w="14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647,700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405,400</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63%</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268,300</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66%</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3,342</w:t>
            </w:r>
          </w:p>
        </w:tc>
      </w:tr>
      <w:tr>
        <w:trPr>
          <w:trHeight w:val="203"/>
        </w:trPr>
        <w:tc>
          <w:tcPr>
            <w:tcW w:w="740" w:type="dxa"/>
            <w:vAlign w:val="bottom"/>
          </w:tcPr>
          <w:p>
            <w:pPr>
              <w:spacing w:after="0"/>
              <w:rPr>
                <w:sz w:val="17"/>
                <w:szCs w:val="17"/>
                <w:color w:val="auto"/>
              </w:rPr>
            </w:pPr>
          </w:p>
        </w:tc>
        <w:tc>
          <w:tcPr>
            <w:tcW w:w="1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Region</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2120" w:type="dxa"/>
            <w:vAlign w:val="bottom"/>
            <w:gridSpan w:val="4"/>
          </w:tcPr>
          <w:p>
            <w:pPr>
              <w:spacing w:after="0"/>
              <w:rPr>
                <w:sz w:val="20"/>
                <w:szCs w:val="20"/>
                <w:color w:val="auto"/>
              </w:rPr>
            </w:pPr>
            <w:r>
              <w:rPr>
                <w:rFonts w:ascii="Courier New" w:cs="Courier New" w:eastAsia="Courier New" w:hAnsi="Courier New"/>
                <w:sz w:val="18"/>
                <w:szCs w:val="18"/>
                <w:color w:val="auto"/>
              </w:rPr>
              <w:t>Ore-Cal Region</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12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Redding (7)</w:t>
            </w:r>
          </w:p>
        </w:tc>
        <w:tc>
          <w:tcPr>
            <w:tcW w:w="10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55,800</w:t>
            </w:r>
          </w:p>
        </w:tc>
        <w:tc>
          <w:tcPr>
            <w:tcW w:w="14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53,400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35,400</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66%</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17,400</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49%</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629</w:t>
            </w:r>
          </w:p>
        </w:tc>
      </w:tr>
      <w:tr>
        <w:trPr>
          <w:trHeight w:val="203"/>
        </w:trPr>
        <w:tc>
          <w:tcPr>
            <w:tcW w:w="212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Oroville(7)</w:t>
            </w:r>
          </w:p>
        </w:tc>
        <w:tc>
          <w:tcPr>
            <w:tcW w:w="10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42,600</w:t>
            </w:r>
          </w:p>
        </w:tc>
        <w:tc>
          <w:tcPr>
            <w:tcW w:w="14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38,700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25,100</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65%</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8,800</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35%</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482</w:t>
            </w:r>
          </w:p>
        </w:tc>
      </w:tr>
      <w:tr>
        <w:trPr>
          <w:trHeight w:val="203"/>
        </w:trPr>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Salem</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74,400</w:t>
            </w:r>
          </w:p>
        </w:tc>
        <w:tc>
          <w:tcPr>
            <w:tcW w:w="14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72,300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42,500</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59%</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21,700</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51%</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600</w:t>
            </w:r>
          </w:p>
        </w:tc>
      </w:tr>
      <w:tr>
        <w:trPr>
          <w:trHeight w:val="203"/>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gridSpan w:val="4"/>
          </w:tcPr>
          <w:p>
            <w:pPr>
              <w:ind w:left="640"/>
              <w:spacing w:after="0" w:line="203" w:lineRule="exact"/>
              <w:rPr>
                <w:sz w:val="20"/>
                <w:szCs w:val="20"/>
                <w:color w:val="auto"/>
              </w:rPr>
            </w:pPr>
            <w:r>
              <w:rPr>
                <w:rFonts w:ascii="Courier New" w:cs="Courier New" w:eastAsia="Courier New" w:hAnsi="Courier New"/>
                <w:sz w:val="18"/>
                <w:szCs w:val="18"/>
                <w:color w:val="auto"/>
              </w:rPr>
              <w:t>Total Ore-Cal</w:t>
            </w:r>
          </w:p>
        </w:tc>
        <w:tc>
          <w:tcPr>
            <w:tcW w:w="10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172,800</w:t>
            </w:r>
          </w:p>
        </w:tc>
        <w:tc>
          <w:tcPr>
            <w:tcW w:w="14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164,400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103,000</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63%</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47,900</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47%</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1,711</w:t>
            </w:r>
          </w:p>
        </w:tc>
      </w:tr>
      <w:tr>
        <w:trPr>
          <w:trHeight w:val="203"/>
        </w:trPr>
        <w:tc>
          <w:tcPr>
            <w:tcW w:w="740" w:type="dxa"/>
            <w:vAlign w:val="bottom"/>
          </w:tcPr>
          <w:p>
            <w:pPr>
              <w:spacing w:after="0"/>
              <w:rPr>
                <w:sz w:val="17"/>
                <w:szCs w:val="17"/>
                <w:color w:val="auto"/>
              </w:rPr>
            </w:pPr>
          </w:p>
        </w:tc>
        <w:tc>
          <w:tcPr>
            <w:tcW w:w="1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Region</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608"/>
        </w:trPr>
        <w:tc>
          <w:tcPr>
            <w:tcW w:w="2120" w:type="dxa"/>
            <w:vAlign w:val="bottom"/>
            <w:gridSpan w:val="4"/>
          </w:tcPr>
          <w:p>
            <w:pPr>
              <w:spacing w:after="0"/>
              <w:rPr>
                <w:sz w:val="20"/>
                <w:szCs w:val="20"/>
                <w:color w:val="auto"/>
              </w:rPr>
            </w:pPr>
            <w:r>
              <w:rPr>
                <w:rFonts w:ascii="Courier New" w:cs="Courier New" w:eastAsia="Courier New" w:hAnsi="Courier New"/>
                <w:sz w:val="18"/>
                <w:szCs w:val="18"/>
                <w:color w:val="auto"/>
              </w:rPr>
              <w:t>Puget Sound Region</w:t>
            </w:r>
          </w:p>
        </w:tc>
        <w:tc>
          <w:tcPr>
            <w:tcW w:w="100" w:type="dxa"/>
            <w:vAlign w:val="bottom"/>
          </w:tcPr>
          <w:p>
            <w:pPr>
              <w:spacing w:after="0"/>
              <w:rPr>
                <w:sz w:val="24"/>
                <w:szCs w:val="24"/>
                <w:color w:val="auto"/>
              </w:rPr>
            </w:pP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614,300</w:t>
            </w:r>
          </w:p>
        </w:tc>
        <w:tc>
          <w:tcPr>
            <w:tcW w:w="14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595,900</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408,600</w:t>
            </w: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69%</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253,200</w:t>
            </w:r>
          </w:p>
        </w:tc>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w w:val="98"/>
              </w:rPr>
              <w:t>62%</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6,123</w:t>
            </w:r>
          </w:p>
        </w:tc>
      </w:tr>
      <w:tr>
        <w:trPr>
          <w:trHeight w:val="203"/>
        </w:trPr>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2120" w:type="dxa"/>
            <w:vAlign w:val="bottom"/>
            <w:gridSpan w:val="4"/>
          </w:tcPr>
          <w:p>
            <w:pPr>
              <w:spacing w:after="0"/>
              <w:rPr>
                <w:sz w:val="20"/>
                <w:szCs w:val="20"/>
                <w:color w:val="auto"/>
              </w:rPr>
            </w:pPr>
            <w:r>
              <w:rPr>
                <w:rFonts w:ascii="Courier New" w:cs="Courier New" w:eastAsia="Courier New" w:hAnsi="Courier New"/>
                <w:sz w:val="18"/>
                <w:szCs w:val="18"/>
                <w:color w:val="auto"/>
              </w:rPr>
              <w:t>Mid-West Region</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12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Nashville</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(17)</w:t>
            </w:r>
          </w:p>
        </w:tc>
        <w:tc>
          <w:tcPr>
            <w:tcW w:w="10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265,000</w:t>
            </w:r>
          </w:p>
        </w:tc>
        <w:tc>
          <w:tcPr>
            <w:tcW w:w="14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227,100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125,400</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55%</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99,000</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79%</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2,222</w:t>
            </w:r>
          </w:p>
        </w:tc>
      </w:tr>
      <w:tr>
        <w:trPr>
          <w:trHeight w:val="203"/>
        </w:trPr>
        <w:tc>
          <w:tcPr>
            <w:tcW w:w="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Dayton</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98,000</w:t>
            </w:r>
          </w:p>
        </w:tc>
        <w:tc>
          <w:tcPr>
            <w:tcW w:w="14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94,800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51,700</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55%</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49,700</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96%</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633</w:t>
            </w:r>
          </w:p>
        </w:tc>
      </w:tr>
      <w:tr>
        <w:trPr>
          <w:trHeight w:val="203"/>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gridSpan w:val="4"/>
          </w:tcPr>
          <w:p>
            <w:pPr>
              <w:ind w:left="640"/>
              <w:spacing w:after="0" w:line="203" w:lineRule="exact"/>
              <w:rPr>
                <w:sz w:val="20"/>
                <w:szCs w:val="20"/>
                <w:color w:val="auto"/>
              </w:rPr>
            </w:pPr>
            <w:r>
              <w:rPr>
                <w:rFonts w:ascii="Courier New" w:cs="Courier New" w:eastAsia="Courier New" w:hAnsi="Courier New"/>
                <w:sz w:val="18"/>
                <w:szCs w:val="18"/>
                <w:color w:val="auto"/>
                <w:w w:val="96"/>
              </w:rPr>
              <w:t>Total Mid-West</w:t>
            </w:r>
          </w:p>
        </w:tc>
        <w:tc>
          <w:tcPr>
            <w:tcW w:w="10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363,000</w:t>
            </w:r>
          </w:p>
        </w:tc>
        <w:tc>
          <w:tcPr>
            <w:tcW w:w="14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321,900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177,100</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55%</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148,700</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84%</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2,855</w:t>
            </w:r>
          </w:p>
        </w:tc>
      </w:tr>
      <w:tr>
        <w:trPr>
          <w:trHeight w:val="203"/>
        </w:trPr>
        <w:tc>
          <w:tcPr>
            <w:tcW w:w="740" w:type="dxa"/>
            <w:vAlign w:val="bottom"/>
          </w:tcPr>
          <w:p>
            <w:pPr>
              <w:spacing w:after="0"/>
              <w:rPr>
                <w:sz w:val="17"/>
                <w:szCs w:val="17"/>
                <w:color w:val="auto"/>
              </w:rPr>
            </w:pPr>
          </w:p>
        </w:tc>
        <w:tc>
          <w:tcPr>
            <w:tcW w:w="1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Region</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2120" w:type="dxa"/>
            <w:vAlign w:val="bottom"/>
            <w:gridSpan w:val="4"/>
          </w:tcPr>
          <w:p>
            <w:pPr>
              <w:spacing w:after="0"/>
              <w:rPr>
                <w:sz w:val="20"/>
                <w:szCs w:val="20"/>
                <w:color w:val="auto"/>
              </w:rPr>
            </w:pPr>
            <w:r>
              <w:rPr>
                <w:rFonts w:ascii="Courier New" w:cs="Courier New" w:eastAsia="Courier New" w:hAnsi="Courier New"/>
                <w:sz w:val="18"/>
                <w:szCs w:val="18"/>
                <w:color w:val="auto"/>
              </w:rPr>
              <w:t>Total Viacom Cable</w:t>
            </w:r>
          </w:p>
        </w:tc>
        <w:tc>
          <w:tcPr>
            <w:tcW w:w="132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w w:val="94"/>
              </w:rPr>
              <w:t>1,820,600</w:t>
            </w:r>
          </w:p>
        </w:tc>
        <w:tc>
          <w:tcPr>
            <w:tcW w:w="14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1,729,900</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1,094,100</w:t>
            </w: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63%</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718,100</w:t>
            </w:r>
          </w:p>
        </w:tc>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w w:val="98"/>
              </w:rPr>
              <w:t>66%</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14,031</w:t>
            </w:r>
          </w:p>
        </w:tc>
      </w:tr>
      <w:tr>
        <w:trPr>
          <w:trHeight w:val="203"/>
        </w:trPr>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14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 ----------------------</w:t>
      </w:r>
    </w:p>
    <w:p>
      <w:pPr>
        <w:spacing w:after="0" w:line="4" w:lineRule="exact"/>
        <w:rPr>
          <w:sz w:val="20"/>
          <w:szCs w:val="20"/>
          <w:color w:val="auto"/>
        </w:rPr>
      </w:pPr>
    </w:p>
    <w:p>
      <w:pPr>
        <w:ind w:left="420" w:right="840"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Homes in franchise area represents Viacom Cable's estimate based upon local sources such as city directories, chambers of commerce, public utilities, public officials and house counts.</w:t>
      </w:r>
    </w:p>
    <w:p>
      <w:pPr>
        <w:spacing w:after="0" w:line="5" w:lineRule="exact"/>
        <w:rPr>
          <w:rFonts w:ascii="Courier New" w:cs="Courier New" w:eastAsia="Courier New" w:hAnsi="Courier New"/>
          <w:sz w:val="18"/>
          <w:szCs w:val="18"/>
          <w:color w:val="auto"/>
        </w:rPr>
      </w:pPr>
    </w:p>
    <w:p>
      <w:pPr>
        <w:ind w:left="420" w:right="200"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Homes are deemed "passed by cable" if such homes can be connected without any further extension of the transmission lines.</w:t>
      </w:r>
    </w:p>
    <w:p>
      <w:pPr>
        <w:spacing w:after="0" w:line="5" w:lineRule="exact"/>
        <w:rPr>
          <w:rFonts w:ascii="Courier New" w:cs="Courier New" w:eastAsia="Courier New" w:hAnsi="Courier New"/>
          <w:sz w:val="18"/>
          <w:szCs w:val="18"/>
          <w:color w:val="auto"/>
        </w:rPr>
      </w:pPr>
    </w:p>
    <w:p>
      <w:pPr>
        <w:ind w:left="420" w:right="100"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number of homes connected, rather than the number of television outlets connected within such homes.</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primary customers as a percentage of homes passed by cable.</w:t>
      </w:r>
    </w:p>
    <w:p>
      <w:pPr>
        <w:spacing w:after="0" w:line="4" w:lineRule="exact"/>
        <w:rPr>
          <w:rFonts w:ascii="Courier New" w:cs="Courier New" w:eastAsia="Courier New" w:hAnsi="Courier New"/>
          <w:sz w:val="18"/>
          <w:szCs w:val="18"/>
          <w:color w:val="auto"/>
        </w:rPr>
      </w:pPr>
    </w:p>
    <w:p>
      <w:pPr>
        <w:ind w:left="420" w:right="840"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premium unit count is based on the total number of premium services subscribed to by primary customers.</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premium units as a percentage of primary customers.</w:t>
      </w:r>
    </w:p>
    <w:p>
      <w:pPr>
        <w:spacing w:after="0" w:line="4" w:lineRule="exact"/>
        <w:rPr>
          <w:rFonts w:ascii="Courier New" w:cs="Courier New" w:eastAsia="Courier New" w:hAnsi="Courier New"/>
          <w:sz w:val="18"/>
          <w:szCs w:val="18"/>
          <w:color w:val="auto"/>
        </w:rPr>
      </w:pPr>
    </w:p>
    <w:p>
      <w:pPr>
        <w:ind w:left="420"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cable television companies have franchises and serve parts of these areas in which the Company has franchises.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 - 17</w:t>
      </w:r>
    </w:p>
    <w:p>
      <w:pPr>
        <w:sectPr>
          <w:pgSz w:w="11900" w:h="16838" w:orient="portrait"/>
          <w:cols w:equalWidth="0" w:num="1">
            <w:col w:w="11380"/>
          </w:cols>
          <w:pgMar w:left="240" w:top="919" w:right="279"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VIACOM BROADCASTING</w:t>
      </w:r>
    </w:p>
    <w:p>
      <w:pPr>
        <w:spacing w:after="0" w:line="207"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Viacom Broadcasting is engaged in the operation of five television and 14 radio stations. The Company's television and radio stations operate pursuant to the Communications Act of 1934, as amended (the "Communications Act"), and licenses granted by the FCC, which are renewable every five years in the case of television stations and every seven years in the case of radio stations.</w:t>
      </w:r>
    </w:p>
    <w:p>
      <w:pPr>
        <w:spacing w:after="0" w:line="210" w:lineRule="exact"/>
        <w:rPr>
          <w:sz w:val="20"/>
          <w:szCs w:val="20"/>
          <w:color w:val="auto"/>
        </w:rPr>
      </w:pPr>
    </w:p>
    <w:p>
      <w:pPr>
        <w:ind w:right="3159" w:firstLine="421"/>
        <w:spacing w:after="0" w:line="235" w:lineRule="auto"/>
        <w:rPr>
          <w:sz w:val="20"/>
          <w:szCs w:val="20"/>
          <w:color w:val="auto"/>
        </w:rPr>
      </w:pPr>
      <w:r>
        <w:rPr>
          <w:rFonts w:ascii="Courier New" w:cs="Courier New" w:eastAsia="Courier New" w:hAnsi="Courier New"/>
          <w:sz w:val="18"/>
          <w:szCs w:val="18"/>
          <w:color w:val="auto"/>
        </w:rPr>
        <w:t>VIACOM TELEVISION. The Company owns and operates the following five television properties: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20" w:type="dxa"/>
            <w:vAlign w:val="bottom"/>
          </w:tcPr>
          <w:p>
            <w:pPr>
              <w:ind w:left="160"/>
              <w:spacing w:after="0"/>
              <w:rPr>
                <w:sz w:val="20"/>
                <w:szCs w:val="20"/>
                <w:color w:val="auto"/>
              </w:rPr>
            </w:pPr>
            <w:r>
              <w:rPr>
                <w:rFonts w:ascii="Courier New" w:cs="Courier New" w:eastAsia="Courier New" w:hAnsi="Courier New"/>
                <w:sz w:val="18"/>
                <w:szCs w:val="18"/>
                <w:color w:val="auto"/>
              </w:rPr>
              <w:t>NETWORK</w:t>
            </w:r>
          </w:p>
        </w:tc>
        <w:tc>
          <w:tcPr>
            <w:tcW w:w="122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STATION AND</w:t>
            </w:r>
          </w:p>
        </w:tc>
        <w:tc>
          <w:tcPr>
            <w:tcW w:w="1480" w:type="dxa"/>
            <w:vAlign w:val="bottom"/>
          </w:tcPr>
          <w:p>
            <w:pPr>
              <w:spacing w:after="0"/>
              <w:rPr>
                <w:sz w:val="17"/>
                <w:szCs w:val="17"/>
                <w:color w:val="auto"/>
              </w:rPr>
            </w:pPr>
          </w:p>
        </w:tc>
        <w:tc>
          <w:tcPr>
            <w:tcW w:w="2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AFFILIATION</w:t>
            </w:r>
          </w:p>
        </w:tc>
        <w:tc>
          <w:tcPr>
            <w:tcW w:w="122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METROPOLITAN</w:t>
            </w:r>
          </w:p>
        </w:tc>
        <w:tc>
          <w:tcPr>
            <w:tcW w:w="1480" w:type="dxa"/>
            <w:vAlign w:val="bottom"/>
          </w:tcPr>
          <w:p>
            <w:pPr>
              <w:spacing w:after="0"/>
              <w:rPr>
                <w:sz w:val="17"/>
                <w:szCs w:val="17"/>
                <w:color w:val="auto"/>
              </w:rPr>
            </w:pPr>
          </w:p>
        </w:tc>
        <w:tc>
          <w:tcPr>
            <w:tcW w:w="2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AND EXPIRATION</w:t>
            </w:r>
          </w:p>
        </w:tc>
        <w:tc>
          <w:tcPr>
            <w:tcW w:w="122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7"/>
              </w:rPr>
              <w:t>YEAR</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AREA SERVED</w:t>
            </w:r>
          </w:p>
        </w:tc>
        <w:tc>
          <w:tcPr>
            <w:tcW w:w="14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TYPE</w:t>
            </w:r>
          </w:p>
        </w:tc>
        <w:tc>
          <w:tcPr>
            <w:tcW w:w="2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DATE OF AGREEMENT</w:t>
            </w:r>
          </w:p>
        </w:tc>
        <w:tc>
          <w:tcPr>
            <w:tcW w:w="122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9"/>
              </w:rPr>
              <w:t>ACQUIRED</w:t>
            </w:r>
          </w:p>
        </w:tc>
      </w:tr>
    </w:tbl>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KMOV-TV</w:t>
      </w:r>
    </w:p>
    <w:tbl>
      <w:tblPr>
        <w:tblLayout w:type="fixed"/>
        <w:tblInd w:w="0" w:type="dxa"/>
        <w:tblCellMar>
          <w:top w:w="0" w:type="dxa"/>
          <w:left w:w="0" w:type="dxa"/>
          <w:bottom w:w="0" w:type="dxa"/>
          <w:right w:w="0" w:type="dxa"/>
        </w:tblCellMar>
      </w:tblPr>
      <w:tr>
        <w:trPr>
          <w:trHeight w:val="203"/>
        </w:trPr>
        <w:tc>
          <w:tcPr>
            <w:tcW w:w="2900" w:type="dxa"/>
            <w:vAlign w:val="bottom"/>
          </w:tcPr>
          <w:p>
            <w:pPr>
              <w:ind w:left="120"/>
              <w:spacing w:after="0"/>
              <w:rPr>
                <w:sz w:val="20"/>
                <w:szCs w:val="20"/>
                <w:color w:val="auto"/>
              </w:rPr>
            </w:pPr>
            <w:r>
              <w:rPr>
                <w:rFonts w:ascii="Courier New" w:cs="Courier New" w:eastAsia="Courier New" w:hAnsi="Courier New"/>
                <w:sz w:val="18"/>
                <w:szCs w:val="18"/>
                <w:color w:val="auto"/>
              </w:rPr>
              <w:t>St. Louis, MO</w:t>
            </w:r>
          </w:p>
        </w:tc>
        <w:tc>
          <w:tcPr>
            <w:tcW w:w="680" w:type="dxa"/>
            <w:vAlign w:val="bottom"/>
          </w:tcPr>
          <w:p>
            <w:pPr>
              <w:ind w:left="160"/>
              <w:spacing w:after="0"/>
              <w:rPr>
                <w:sz w:val="20"/>
                <w:szCs w:val="20"/>
                <w:color w:val="auto"/>
              </w:rPr>
            </w:pPr>
            <w:r>
              <w:rPr>
                <w:rFonts w:ascii="Courier New" w:cs="Courier New" w:eastAsia="Courier New" w:hAnsi="Courier New"/>
                <w:sz w:val="18"/>
                <w:szCs w:val="18"/>
                <w:color w:val="auto"/>
              </w:rPr>
              <w:t>VHF</w:t>
            </w:r>
          </w:p>
        </w:tc>
        <w:tc>
          <w:tcPr>
            <w:tcW w:w="2640" w:type="dxa"/>
            <w:vAlign w:val="bottom"/>
          </w:tcPr>
          <w:p>
            <w:pPr>
              <w:ind w:left="220"/>
              <w:spacing w:after="0"/>
              <w:rPr>
                <w:sz w:val="20"/>
                <w:szCs w:val="20"/>
                <w:color w:val="auto"/>
              </w:rPr>
            </w:pPr>
            <w:r>
              <w:rPr>
                <w:rFonts w:ascii="Courier New" w:cs="Courier New" w:eastAsia="Courier New" w:hAnsi="Courier New"/>
                <w:sz w:val="18"/>
                <w:szCs w:val="18"/>
                <w:color w:val="auto"/>
              </w:rPr>
              <w:t>CBS/December 31, 1994</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1986</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WVIT-TV</w:t>
            </w:r>
          </w:p>
        </w:tc>
        <w:tc>
          <w:tcPr>
            <w:tcW w:w="6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Hartford-New Haven-</w:t>
            </w:r>
          </w:p>
        </w:tc>
        <w:tc>
          <w:tcPr>
            <w:tcW w:w="6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New Britain-Waterbury, CT</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UHF</w:t>
            </w:r>
          </w:p>
        </w:tc>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NBC/July 2, 1995</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1978</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WNYT-TV</w:t>
            </w:r>
          </w:p>
        </w:tc>
        <w:tc>
          <w:tcPr>
            <w:tcW w:w="6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3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Albany-Troy-Schenectady, NY VHF</w:t>
            </w:r>
          </w:p>
        </w:tc>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NBC/September 28,</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1980</w:t>
            </w:r>
          </w:p>
        </w:tc>
      </w:tr>
      <w:tr>
        <w:trPr>
          <w:trHeight w:val="203"/>
        </w:trPr>
        <w:tc>
          <w:tcPr>
            <w:tcW w:w="2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1995</w:t>
            </w:r>
          </w:p>
        </w:tc>
        <w:tc>
          <w:tcPr>
            <w:tcW w:w="640" w:type="dxa"/>
            <w:vAlign w:val="bottom"/>
          </w:tcPr>
          <w:p>
            <w:pPr>
              <w:spacing w:after="0"/>
              <w:rPr>
                <w:sz w:val="17"/>
                <w:szCs w:val="17"/>
                <w:color w:val="auto"/>
              </w:rPr>
            </w:pP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KSLA-TV</w:t>
            </w:r>
          </w:p>
        </w:tc>
        <w:tc>
          <w:tcPr>
            <w:tcW w:w="6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Shreveport, LA</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VHF</w:t>
            </w:r>
          </w:p>
        </w:tc>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CBS/June 30, 1995</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1983</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WHEC-TV</w:t>
            </w:r>
          </w:p>
        </w:tc>
        <w:tc>
          <w:tcPr>
            <w:tcW w:w="6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Rochester, NY</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VHF</w:t>
            </w:r>
          </w:p>
        </w:tc>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NBC/August 13, 1994</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1983</w:t>
            </w:r>
          </w:p>
        </w:tc>
      </w:tr>
    </w:tbl>
    <w:p>
      <w:pPr>
        <w:spacing w:after="0" w:line="200" w:lineRule="exact"/>
        <w:rPr>
          <w:sz w:val="20"/>
          <w:szCs w:val="20"/>
          <w:color w:val="auto"/>
        </w:rPr>
      </w:pPr>
    </w:p>
    <w:p>
      <w:pPr>
        <w:spacing w:after="0" w:line="209"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As reflected in the table above, each of the Company's television stations is affiliated with a national television network. Such affiliations can be an advantage, because network programming is often competitively stronger and results in lower programming costs than would otherwise be necessary to obtain programming from other sources. The Company expects that the affiliation agreements which expire in 1994 will be renewed.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 - 18</w:t>
      </w:r>
    </w:p>
    <w:p>
      <w:pPr>
        <w:sectPr>
          <w:pgSz w:w="11900" w:h="16838" w:orient="portrait"/>
          <w:cols w:equalWidth="0" w:num="1">
            <w:col w:w="10219"/>
          </w:cols>
          <w:pgMar w:left="240" w:top="717" w:right="1440" w:bottom="1440" w:gutter="0" w:footer="0" w:header="0"/>
        </w:sectPr>
      </w:pPr>
    </w:p>
    <w:bookmarkStart w:id="20" w:name="page21"/>
    <w:bookmarkEnd w:id="20"/>
    <w:p>
      <w:pPr>
        <w:ind w:right="2739" w:firstLine="421"/>
        <w:spacing w:after="0" w:line="238" w:lineRule="auto"/>
        <w:rPr>
          <w:sz w:val="20"/>
          <w:szCs w:val="20"/>
          <w:color w:val="auto"/>
        </w:rPr>
      </w:pPr>
      <w:r>
        <w:rPr>
          <w:rFonts w:ascii="Courier New" w:cs="Courier New" w:eastAsia="Courier New" w:hAnsi="Courier New"/>
          <w:sz w:val="18"/>
          <w:szCs w:val="18"/>
          <w:color w:val="auto"/>
        </w:rPr>
        <w:t>In addition to fees paid by networks to their affiliates, the principal source of revenue for the Company's television stations is the sale of broadcast time that has not been sold by the networks to national, local and regional advertisers. Such sales may involve all or part of a program or spot announcements within or between programs. Broadcast time is sold to national advertisers through national sales representatives who are compensated on a commission basis at normal industry rates. Advertising is sold to local and regional advertisers through a station's own sales force. Local and national spot advertising is generally sold pursuant to contracts which are for short periods and are generally cancelable upon prior notice but which are frequently renewed for additional terms.</w:t>
      </w:r>
    </w:p>
    <w:p>
      <w:pPr>
        <w:spacing w:after="0" w:line="207" w:lineRule="exact"/>
        <w:rPr>
          <w:sz w:val="20"/>
          <w:szCs w:val="20"/>
          <w:color w:val="auto"/>
        </w:rPr>
      </w:pPr>
    </w:p>
    <w:p>
      <w:pPr>
        <w:ind w:right="2739" w:firstLine="421"/>
        <w:spacing w:after="0" w:line="238" w:lineRule="auto"/>
        <w:rPr>
          <w:sz w:val="20"/>
          <w:szCs w:val="20"/>
          <w:color w:val="auto"/>
        </w:rPr>
      </w:pPr>
      <w:r>
        <w:rPr>
          <w:rFonts w:ascii="Courier New" w:cs="Courier New" w:eastAsia="Courier New" w:hAnsi="Courier New"/>
          <w:sz w:val="18"/>
          <w:szCs w:val="18"/>
          <w:color w:val="auto"/>
        </w:rPr>
        <w:t>VIACOM RADIO. The Company owns and operates the 14 radio stations listed below. On June 16, 1993, the Company acquired the assets of KQLZ-FM (now KXEZ-FM), serving Los Angeles, California and on November 1, 1993, the Company acquired the assets of WCXR-FM and WCPT-AM serving Washington, D.C., in exchange for the assets of KIKK-AM/FM serving Houston, Texas and cash. The Company now operates multiple FM and/or multiple AM stations in Seattle, Washington (2 FMs, 1 AM), Los Angeles, California (2 FMs) and Washington, D.C. (2 FMs, 2 AMs) as permitted by the FCC's recently liberalized ownership rules which permit common ownership of two or more AM or two or more FM stations in the same market. Pursuant to the FCC's order on March 4, 1994 consenting to the transfer of control of Paramount's broadcast licenses to Viacom Inc., which licenses include a television station serving Washington, D.C., the Company has undertaken to dispose of one AM and one FM radio station serving Washington, D.C. no later than September 11, 1995. (See "BUSINESS -- Regulation -- Viacom Broadcasting -- Ownership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 - 19</w:t>
      </w:r>
    </w:p>
    <w:p>
      <w:pPr>
        <w:sectPr>
          <w:pgSz w:w="11900" w:h="16838" w:orient="portrait"/>
          <w:cols w:equalWidth="0" w:num="1">
            <w:col w:w="10219"/>
          </w:cols>
          <w:pgMar w:left="240" w:top="723"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STATION AND</w:t>
      </w:r>
    </w:p>
    <w:p>
      <w:pPr>
        <w:spacing w:after="0"/>
        <w:tabs>
          <w:tab w:leader="none" w:pos="3680" w:val="left"/>
          <w:tab w:leader="none" w:pos="4840" w:val="left"/>
          <w:tab w:leader="none" w:pos="6620" w:val="left"/>
        </w:tabs>
        <w:rPr>
          <w:sz w:val="20"/>
          <w:szCs w:val="20"/>
          <w:color w:val="auto"/>
        </w:rPr>
      </w:pPr>
      <w:r>
        <w:rPr>
          <w:rFonts w:ascii="Courier New" w:cs="Courier New" w:eastAsia="Courier New" w:hAnsi="Courier New"/>
          <w:sz w:val="18"/>
          <w:szCs w:val="18"/>
          <w:color w:val="auto"/>
        </w:rPr>
        <w:t>METROPOLITAN</w:t>
      </w:r>
      <w:r>
        <w:rPr>
          <w:sz w:val="20"/>
          <w:szCs w:val="20"/>
          <w:color w:val="auto"/>
        </w:rPr>
        <w:tab/>
      </w:r>
      <w:r>
        <w:rPr>
          <w:rFonts w:ascii="Courier New" w:cs="Courier New" w:eastAsia="Courier New" w:hAnsi="Courier New"/>
          <w:sz w:val="18"/>
          <w:szCs w:val="18"/>
          <w:color w:val="auto"/>
        </w:rPr>
        <w:t>POWER</w:t>
      </w:r>
      <w:r>
        <w:rPr>
          <w:sz w:val="20"/>
          <w:szCs w:val="20"/>
          <w:color w:val="auto"/>
        </w:rPr>
        <w:tab/>
      </w:r>
      <w:r>
        <w:rPr>
          <w:rFonts w:ascii="Courier New" w:cs="Courier New" w:eastAsia="Courier New" w:hAnsi="Courier New"/>
          <w:sz w:val="18"/>
          <w:szCs w:val="18"/>
          <w:color w:val="auto"/>
        </w:rPr>
        <w:t>RADIO</w:t>
      </w:r>
      <w:r>
        <w:rPr>
          <w:sz w:val="20"/>
          <w:szCs w:val="20"/>
          <w:color w:val="auto"/>
        </w:rPr>
        <w:tab/>
      </w:r>
      <w:r>
        <w:rPr>
          <w:rFonts w:ascii="Courier New" w:cs="Courier New" w:eastAsia="Courier New" w:hAnsi="Courier New"/>
          <w:sz w:val="16"/>
          <w:szCs w:val="16"/>
          <w:color w:val="auto"/>
        </w:rPr>
        <w:t>YEAR</w:t>
      </w:r>
    </w:p>
    <w:p>
      <w:pPr>
        <w:spacing w:after="0"/>
        <w:tabs>
          <w:tab w:leader="none" w:pos="2420" w:val="left"/>
          <w:tab w:leader="none" w:pos="3680" w:val="left"/>
          <w:tab w:leader="none" w:pos="4840" w:val="left"/>
          <w:tab w:leader="none" w:pos="6620" w:val="left"/>
        </w:tabs>
        <w:rPr>
          <w:sz w:val="20"/>
          <w:szCs w:val="20"/>
          <w:color w:val="auto"/>
        </w:rPr>
      </w:pPr>
      <w:r>
        <w:rPr>
          <w:rFonts w:ascii="Courier New" w:cs="Courier New" w:eastAsia="Courier New" w:hAnsi="Courier New"/>
          <w:sz w:val="18"/>
          <w:szCs w:val="18"/>
          <w:color w:val="auto"/>
        </w:rPr>
        <w:t>AREA SERVED</w:t>
      </w:r>
      <w:r>
        <w:rPr>
          <w:sz w:val="20"/>
          <w:szCs w:val="20"/>
          <w:color w:val="auto"/>
        </w:rPr>
        <w:tab/>
      </w:r>
      <w:r>
        <w:rPr>
          <w:rFonts w:ascii="Courier New" w:cs="Courier New" w:eastAsia="Courier New" w:hAnsi="Courier New"/>
          <w:sz w:val="18"/>
          <w:szCs w:val="18"/>
          <w:color w:val="auto"/>
        </w:rPr>
        <w:t>FREQUENCY</w:t>
      </w:r>
      <w:r>
        <w:rPr>
          <w:sz w:val="20"/>
          <w:szCs w:val="20"/>
          <w:color w:val="auto"/>
        </w:rPr>
        <w:tab/>
      </w:r>
      <w:r>
        <w:rPr>
          <w:rFonts w:ascii="Courier New" w:cs="Courier New" w:eastAsia="Courier New" w:hAnsi="Courier New"/>
          <w:sz w:val="18"/>
          <w:szCs w:val="18"/>
          <w:color w:val="auto"/>
        </w:rPr>
        <w:t>WATTS</w:t>
      </w:r>
      <w:r>
        <w:rPr>
          <w:sz w:val="20"/>
          <w:szCs w:val="20"/>
          <w:color w:val="auto"/>
        </w:rPr>
        <w:tab/>
      </w:r>
      <w:r>
        <w:rPr>
          <w:rFonts w:ascii="Courier New" w:cs="Courier New" w:eastAsia="Courier New" w:hAnsi="Courier New"/>
          <w:sz w:val="18"/>
          <w:szCs w:val="18"/>
          <w:color w:val="auto"/>
        </w:rPr>
        <w:t>STATION FORMAT</w:t>
      </w:r>
      <w:r>
        <w:rPr>
          <w:sz w:val="20"/>
          <w:szCs w:val="20"/>
          <w:color w:val="auto"/>
        </w:rPr>
        <w:tab/>
      </w:r>
      <w:r>
        <w:rPr>
          <w:rFonts w:ascii="Courier New" w:cs="Courier New" w:eastAsia="Courier New" w:hAnsi="Courier New"/>
          <w:sz w:val="16"/>
          <w:szCs w:val="16"/>
          <w:color w:val="auto"/>
        </w:rPr>
        <w:t>ACQUIRED</w:t>
      </w:r>
    </w:p>
    <w:p>
      <w:pPr>
        <w:spacing w:after="0" w:line="3"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WLTW-FM</w:t>
      </w:r>
    </w:p>
    <w:tbl>
      <w:tblPr>
        <w:tblLayout w:type="fixed"/>
        <w:tblInd w:w="0" w:type="dxa"/>
        <w:tblCellMar>
          <w:top w:w="0" w:type="dxa"/>
          <w:left w:w="0" w:type="dxa"/>
          <w:bottom w:w="0" w:type="dxa"/>
          <w:right w:w="0" w:type="dxa"/>
        </w:tblCellMar>
      </w:tblPr>
      <w:tr>
        <w:trPr>
          <w:trHeight w:val="203"/>
        </w:trPr>
        <w:tc>
          <w:tcPr>
            <w:tcW w:w="1740" w:type="dxa"/>
            <w:vAlign w:val="bottom"/>
          </w:tcPr>
          <w:p>
            <w:pPr>
              <w:ind w:left="220"/>
              <w:spacing w:after="0"/>
              <w:rPr>
                <w:sz w:val="20"/>
                <w:szCs w:val="20"/>
                <w:color w:val="auto"/>
              </w:rPr>
            </w:pPr>
            <w:r>
              <w:rPr>
                <w:rFonts w:ascii="Courier New" w:cs="Courier New" w:eastAsia="Courier New" w:hAnsi="Courier New"/>
                <w:sz w:val="18"/>
                <w:szCs w:val="18"/>
                <w:color w:val="auto"/>
              </w:rPr>
              <w:t>New York, NY</w:t>
            </w:r>
          </w:p>
        </w:tc>
        <w:tc>
          <w:tcPr>
            <w:tcW w:w="18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106.7 MHz</w:t>
            </w:r>
          </w:p>
        </w:tc>
        <w:tc>
          <w:tcPr>
            <w:tcW w:w="780" w:type="dxa"/>
            <w:vAlign w:val="bottom"/>
          </w:tcPr>
          <w:p>
            <w:pPr>
              <w:ind w:left="160"/>
              <w:spacing w:after="0"/>
              <w:rPr>
                <w:sz w:val="20"/>
                <w:szCs w:val="20"/>
                <w:color w:val="auto"/>
              </w:rPr>
            </w:pPr>
            <w:r>
              <w:rPr>
                <w:rFonts w:ascii="Courier New" w:cs="Courier New" w:eastAsia="Courier New" w:hAnsi="Courier New"/>
                <w:sz w:val="18"/>
                <w:szCs w:val="18"/>
                <w:color w:val="auto"/>
                <w:w w:val="92"/>
              </w:rPr>
              <w:t>50,000</w:t>
            </w:r>
          </w:p>
        </w:tc>
        <w:tc>
          <w:tcPr>
            <w:tcW w:w="420" w:type="dxa"/>
            <w:vAlign w:val="bottom"/>
          </w:tcPr>
          <w:p>
            <w:pPr>
              <w:spacing w:after="0"/>
              <w:rPr>
                <w:sz w:val="17"/>
                <w:szCs w:val="17"/>
                <w:color w:val="auto"/>
              </w:rPr>
            </w:pPr>
          </w:p>
        </w:tc>
        <w:tc>
          <w:tcPr>
            <w:tcW w:w="1740" w:type="dxa"/>
            <w:vAlign w:val="bottom"/>
          </w:tcPr>
          <w:p>
            <w:pPr>
              <w:ind w:left="120"/>
              <w:spacing w:after="0"/>
              <w:rPr>
                <w:sz w:val="20"/>
                <w:szCs w:val="20"/>
                <w:color w:val="auto"/>
              </w:rPr>
            </w:pPr>
            <w:r>
              <w:rPr>
                <w:rFonts w:ascii="Courier New" w:cs="Courier New" w:eastAsia="Courier New" w:hAnsi="Courier New"/>
                <w:sz w:val="18"/>
                <w:szCs w:val="18"/>
                <w:color w:val="auto"/>
              </w:rPr>
              <w:t>Adult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1980</w:t>
            </w:r>
          </w:p>
        </w:tc>
      </w:tr>
      <w:tr>
        <w:trPr>
          <w:trHeight w:val="203"/>
        </w:trPr>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Contemporary</w:t>
            </w:r>
          </w:p>
        </w:tc>
        <w:tc>
          <w:tcPr>
            <w:tcW w:w="58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WLIT-FM</w:t>
            </w: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Chicago, IL</w:t>
            </w:r>
          </w:p>
        </w:tc>
        <w:tc>
          <w:tcPr>
            <w:tcW w:w="122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93.9</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MHz</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50,000</w:t>
            </w:r>
          </w:p>
        </w:tc>
        <w:tc>
          <w:tcPr>
            <w:tcW w:w="420" w:type="dxa"/>
            <w:vAlign w:val="bottom"/>
          </w:tcPr>
          <w:p>
            <w:pPr>
              <w:spacing w:after="0"/>
              <w:rPr>
                <w:sz w:val="17"/>
                <w:szCs w:val="17"/>
                <w:color w:val="auto"/>
              </w:rPr>
            </w:pPr>
          </w:p>
        </w:tc>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Adult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1982</w:t>
            </w:r>
          </w:p>
        </w:tc>
      </w:tr>
      <w:tr>
        <w:trPr>
          <w:trHeight w:val="203"/>
        </w:trPr>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Contemporary</w:t>
            </w:r>
          </w:p>
        </w:tc>
        <w:tc>
          <w:tcPr>
            <w:tcW w:w="58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WLTI-FM</w:t>
            </w: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Detroit, MI</w:t>
            </w:r>
          </w:p>
        </w:tc>
        <w:tc>
          <w:tcPr>
            <w:tcW w:w="122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93.1</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MHz</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50,000</w:t>
            </w:r>
          </w:p>
        </w:tc>
        <w:tc>
          <w:tcPr>
            <w:tcW w:w="420" w:type="dxa"/>
            <w:vAlign w:val="bottom"/>
          </w:tcPr>
          <w:p>
            <w:pPr>
              <w:spacing w:after="0"/>
              <w:rPr>
                <w:sz w:val="17"/>
                <w:szCs w:val="17"/>
                <w:color w:val="auto"/>
              </w:rPr>
            </w:pPr>
          </w:p>
        </w:tc>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Adult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1988</w:t>
            </w:r>
          </w:p>
        </w:tc>
      </w:tr>
      <w:tr>
        <w:trPr>
          <w:trHeight w:val="203"/>
        </w:trPr>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Contemporary</w:t>
            </w:r>
          </w:p>
        </w:tc>
        <w:tc>
          <w:tcPr>
            <w:tcW w:w="58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WMZQ-AM-FM</w:t>
            </w: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Washington,</w:t>
            </w: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(AM) 1390</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KHz</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5,000</w:t>
            </w:r>
          </w:p>
        </w:tc>
        <w:tc>
          <w:tcPr>
            <w:tcW w:w="420" w:type="dxa"/>
            <w:vAlign w:val="bottom"/>
          </w:tcPr>
          <w:p>
            <w:pPr>
              <w:spacing w:after="0"/>
              <w:rPr>
                <w:sz w:val="17"/>
                <w:szCs w:val="17"/>
                <w:color w:val="auto"/>
              </w:rPr>
            </w:pPr>
          </w:p>
        </w:tc>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Country</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1984</w:t>
            </w:r>
          </w:p>
        </w:tc>
      </w:tr>
      <w:tr>
        <w:trPr>
          <w:trHeight w:val="203"/>
        </w:trPr>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D.C.</w:t>
            </w: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(FM) 98.7</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MHz</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50,000</w:t>
            </w:r>
          </w:p>
        </w:tc>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1980</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WCXR-FM</w:t>
            </w:r>
          </w:p>
        </w:tc>
        <w:tc>
          <w:tcPr>
            <w:tcW w:w="18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105.4 MHz</w:t>
            </w:r>
          </w:p>
        </w:tc>
        <w:tc>
          <w:tcPr>
            <w:tcW w:w="780" w:type="dxa"/>
            <w:vAlign w:val="bottom"/>
          </w:tcPr>
          <w:p>
            <w:pPr>
              <w:ind w:left="160"/>
              <w:spacing w:after="0"/>
              <w:rPr>
                <w:sz w:val="20"/>
                <w:szCs w:val="20"/>
                <w:color w:val="auto"/>
              </w:rPr>
            </w:pPr>
            <w:r>
              <w:rPr>
                <w:rFonts w:ascii="Courier New" w:cs="Courier New" w:eastAsia="Courier New" w:hAnsi="Courier New"/>
                <w:sz w:val="18"/>
                <w:szCs w:val="18"/>
                <w:color w:val="auto"/>
                <w:w w:val="92"/>
              </w:rPr>
              <w:t>50,000</w:t>
            </w:r>
          </w:p>
        </w:tc>
        <w:tc>
          <w:tcPr>
            <w:tcW w:w="420" w:type="dxa"/>
            <w:vAlign w:val="bottom"/>
          </w:tcPr>
          <w:p>
            <w:pPr>
              <w:spacing w:after="0"/>
              <w:rPr>
                <w:sz w:val="24"/>
                <w:szCs w:val="24"/>
                <w:color w:val="auto"/>
              </w:rPr>
            </w:pPr>
          </w:p>
        </w:tc>
        <w:tc>
          <w:tcPr>
            <w:tcW w:w="1740" w:type="dxa"/>
            <w:vAlign w:val="bottom"/>
          </w:tcPr>
          <w:p>
            <w:pPr>
              <w:ind w:left="120"/>
              <w:spacing w:after="0"/>
              <w:rPr>
                <w:sz w:val="20"/>
                <w:szCs w:val="20"/>
                <w:color w:val="auto"/>
              </w:rPr>
            </w:pPr>
            <w:r>
              <w:rPr>
                <w:rFonts w:ascii="Courier New" w:cs="Courier New" w:eastAsia="Courier New" w:hAnsi="Courier New"/>
                <w:sz w:val="18"/>
                <w:szCs w:val="18"/>
                <w:color w:val="auto"/>
              </w:rPr>
              <w:t>Classic Rock</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1993</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WCPT-AM</w:t>
            </w:r>
          </w:p>
        </w:tc>
        <w:tc>
          <w:tcPr>
            <w:tcW w:w="122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730</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KHz</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5,000</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D*</w:t>
            </w:r>
          </w:p>
        </w:tc>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CNN Headline</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Washington,</w:t>
            </w: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20</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N*</w:t>
            </w:r>
          </w:p>
        </w:tc>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News</w:t>
            </w:r>
          </w:p>
        </w:tc>
        <w:tc>
          <w:tcPr>
            <w:tcW w:w="580" w:type="dxa"/>
            <w:vAlign w:val="bottom"/>
          </w:tcPr>
          <w:p>
            <w:pPr>
              <w:spacing w:after="0"/>
              <w:rPr>
                <w:sz w:val="17"/>
                <w:szCs w:val="17"/>
                <w:color w:val="auto"/>
              </w:rPr>
            </w:pPr>
          </w:p>
        </w:tc>
      </w:tr>
      <w:tr>
        <w:trPr>
          <w:trHeight w:val="203"/>
        </w:trPr>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D.C.</w:t>
            </w: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KBSG-AM-FM</w:t>
            </w: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Tacoma/Seattle,</w:t>
            </w: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(FM) 97.3</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MHz</w:t>
            </w:r>
          </w:p>
        </w:tc>
        <w:tc>
          <w:tcPr>
            <w:tcW w:w="12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100,000</w:t>
            </w:r>
          </w:p>
        </w:tc>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Oldies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1987</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WA</w:t>
            </w: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(AM) 1210</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KHz</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10,000</w:t>
            </w:r>
          </w:p>
        </w:tc>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w:t>
            </w:r>
          </w:p>
        </w:tc>
        <w:tc>
          <w:tcPr>
            <w:tcW w:w="17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1989</w:t>
            </w:r>
          </w:p>
        </w:tc>
      </w:tr>
      <w:tr>
        <w:trPr>
          <w:trHeight w:val="203"/>
        </w:trPr>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1,000</w:t>
            </w:r>
          </w:p>
        </w:tc>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w:t>
            </w:r>
          </w:p>
        </w:tc>
        <w:tc>
          <w:tcPr>
            <w:tcW w:w="17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KNDD-FM</w:t>
            </w: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Seattle, WA</w:t>
            </w: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107.7 MHz</w:t>
            </w:r>
          </w:p>
        </w:tc>
        <w:tc>
          <w:tcPr>
            <w:tcW w:w="12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100,000</w:t>
            </w:r>
          </w:p>
        </w:tc>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New Rock (AOR)</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 - 20</w:t>
      </w:r>
    </w:p>
    <w:p>
      <w:pPr>
        <w:sectPr>
          <w:pgSz w:w="11900" w:h="16838" w:orient="portrait"/>
          <w:cols w:equalWidth="0" w:num="1">
            <w:col w:w="10219"/>
          </w:cols>
          <w:pgMar w:left="240" w:top="717"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STATION AND</w:t>
      </w:r>
    </w:p>
    <w:p>
      <w:pPr>
        <w:spacing w:after="0"/>
        <w:tabs>
          <w:tab w:leader="none" w:pos="3680" w:val="left"/>
          <w:tab w:leader="none" w:pos="4840" w:val="left"/>
          <w:tab w:leader="none" w:pos="6620" w:val="left"/>
        </w:tabs>
        <w:rPr>
          <w:sz w:val="20"/>
          <w:szCs w:val="20"/>
          <w:color w:val="auto"/>
        </w:rPr>
      </w:pPr>
      <w:r>
        <w:rPr>
          <w:rFonts w:ascii="Courier New" w:cs="Courier New" w:eastAsia="Courier New" w:hAnsi="Courier New"/>
          <w:sz w:val="18"/>
          <w:szCs w:val="18"/>
          <w:color w:val="auto"/>
        </w:rPr>
        <w:t>METROPOLITAN</w:t>
      </w:r>
      <w:r>
        <w:rPr>
          <w:sz w:val="20"/>
          <w:szCs w:val="20"/>
          <w:color w:val="auto"/>
        </w:rPr>
        <w:tab/>
      </w:r>
      <w:r>
        <w:rPr>
          <w:rFonts w:ascii="Courier New" w:cs="Courier New" w:eastAsia="Courier New" w:hAnsi="Courier New"/>
          <w:sz w:val="18"/>
          <w:szCs w:val="18"/>
          <w:color w:val="auto"/>
        </w:rPr>
        <w:t>POWER</w:t>
      </w:r>
      <w:r>
        <w:rPr>
          <w:sz w:val="20"/>
          <w:szCs w:val="20"/>
          <w:color w:val="auto"/>
        </w:rPr>
        <w:tab/>
      </w:r>
      <w:r>
        <w:rPr>
          <w:rFonts w:ascii="Courier New" w:cs="Courier New" w:eastAsia="Courier New" w:hAnsi="Courier New"/>
          <w:sz w:val="18"/>
          <w:szCs w:val="18"/>
          <w:color w:val="auto"/>
        </w:rPr>
        <w:t>RADIO</w:t>
      </w:r>
      <w:r>
        <w:rPr>
          <w:sz w:val="20"/>
          <w:szCs w:val="20"/>
          <w:color w:val="auto"/>
        </w:rPr>
        <w:tab/>
      </w:r>
      <w:r>
        <w:rPr>
          <w:rFonts w:ascii="Courier New" w:cs="Courier New" w:eastAsia="Courier New" w:hAnsi="Courier New"/>
          <w:sz w:val="16"/>
          <w:szCs w:val="16"/>
          <w:color w:val="auto"/>
        </w:rPr>
        <w:t>YEAR</w:t>
      </w:r>
    </w:p>
    <w:p>
      <w:pPr>
        <w:spacing w:after="0"/>
        <w:tabs>
          <w:tab w:leader="none" w:pos="2420" w:val="left"/>
          <w:tab w:leader="none" w:pos="3680" w:val="left"/>
          <w:tab w:leader="none" w:pos="4840" w:val="left"/>
          <w:tab w:leader="none" w:pos="6620" w:val="left"/>
        </w:tabs>
        <w:rPr>
          <w:sz w:val="20"/>
          <w:szCs w:val="20"/>
          <w:color w:val="auto"/>
        </w:rPr>
      </w:pPr>
      <w:r>
        <w:rPr>
          <w:rFonts w:ascii="Courier New" w:cs="Courier New" w:eastAsia="Courier New" w:hAnsi="Courier New"/>
          <w:sz w:val="18"/>
          <w:szCs w:val="18"/>
          <w:color w:val="auto"/>
        </w:rPr>
        <w:t>AREA SERVED</w:t>
      </w:r>
      <w:r>
        <w:rPr>
          <w:sz w:val="20"/>
          <w:szCs w:val="20"/>
          <w:color w:val="auto"/>
        </w:rPr>
        <w:tab/>
      </w:r>
      <w:r>
        <w:rPr>
          <w:rFonts w:ascii="Courier New" w:cs="Courier New" w:eastAsia="Courier New" w:hAnsi="Courier New"/>
          <w:sz w:val="18"/>
          <w:szCs w:val="18"/>
          <w:color w:val="auto"/>
        </w:rPr>
        <w:t>FREQUENCY</w:t>
      </w:r>
      <w:r>
        <w:rPr>
          <w:sz w:val="20"/>
          <w:szCs w:val="20"/>
          <w:color w:val="auto"/>
        </w:rPr>
        <w:tab/>
      </w:r>
      <w:r>
        <w:rPr>
          <w:rFonts w:ascii="Courier New" w:cs="Courier New" w:eastAsia="Courier New" w:hAnsi="Courier New"/>
          <w:sz w:val="18"/>
          <w:szCs w:val="18"/>
          <w:color w:val="auto"/>
        </w:rPr>
        <w:t>WATTS</w:t>
      </w:r>
      <w:r>
        <w:rPr>
          <w:sz w:val="20"/>
          <w:szCs w:val="20"/>
          <w:color w:val="auto"/>
        </w:rPr>
        <w:tab/>
      </w:r>
      <w:r>
        <w:rPr>
          <w:rFonts w:ascii="Courier New" w:cs="Courier New" w:eastAsia="Courier New" w:hAnsi="Courier New"/>
          <w:sz w:val="18"/>
          <w:szCs w:val="18"/>
          <w:color w:val="auto"/>
        </w:rPr>
        <w:t>STATION FORMAT</w:t>
      </w:r>
      <w:r>
        <w:rPr>
          <w:sz w:val="20"/>
          <w:szCs w:val="20"/>
          <w:color w:val="auto"/>
        </w:rPr>
        <w:tab/>
      </w:r>
      <w:r>
        <w:rPr>
          <w:rFonts w:ascii="Courier New" w:cs="Courier New" w:eastAsia="Courier New" w:hAnsi="Courier New"/>
          <w:sz w:val="16"/>
          <w:szCs w:val="16"/>
          <w:color w:val="auto"/>
        </w:rPr>
        <w:t>ACQUIRED</w:t>
      </w:r>
    </w:p>
    <w:p>
      <w:pPr>
        <w:spacing w:after="0" w:line="3"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KYSR-FM</w:t>
      </w:r>
    </w:p>
    <w:tbl>
      <w:tblPr>
        <w:tblLayout w:type="fixed"/>
        <w:tblInd w:w="0" w:type="dxa"/>
        <w:tblCellMar>
          <w:top w:w="0" w:type="dxa"/>
          <w:left w:w="0" w:type="dxa"/>
          <w:bottom w:w="0" w:type="dxa"/>
          <w:right w:w="0" w:type="dxa"/>
        </w:tblCellMar>
      </w:tblPr>
      <w:tr>
        <w:trPr>
          <w:trHeight w:val="203"/>
        </w:trPr>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rPr>
              <w:t>Los Angeles,</w:t>
            </w:r>
          </w:p>
        </w:tc>
        <w:tc>
          <w:tcPr>
            <w:tcW w:w="900" w:type="dxa"/>
            <w:vAlign w:val="bottom"/>
          </w:tcPr>
          <w:p>
            <w:pPr>
              <w:ind w:left="380"/>
              <w:spacing w:after="0"/>
              <w:rPr>
                <w:sz w:val="20"/>
                <w:szCs w:val="20"/>
                <w:color w:val="auto"/>
              </w:rPr>
            </w:pPr>
            <w:r>
              <w:rPr>
                <w:rFonts w:ascii="Courier New" w:cs="Courier New" w:eastAsia="Courier New" w:hAnsi="Courier New"/>
                <w:sz w:val="18"/>
                <w:szCs w:val="18"/>
                <w:color w:val="auto"/>
              </w:rPr>
              <w:t>98.7</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MHz</w:t>
            </w:r>
          </w:p>
        </w:tc>
        <w:tc>
          <w:tcPr>
            <w:tcW w:w="10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75,000</w:t>
            </w:r>
          </w:p>
        </w:tc>
        <w:tc>
          <w:tcPr>
            <w:tcW w:w="1780" w:type="dxa"/>
            <w:vAlign w:val="bottom"/>
          </w:tcPr>
          <w:p>
            <w:pPr>
              <w:ind w:left="260"/>
              <w:spacing w:after="0"/>
              <w:rPr>
                <w:sz w:val="20"/>
                <w:szCs w:val="20"/>
                <w:color w:val="auto"/>
              </w:rPr>
            </w:pPr>
            <w:r>
              <w:rPr>
                <w:rFonts w:ascii="Courier New" w:cs="Courier New" w:eastAsia="Courier New" w:hAnsi="Courier New"/>
                <w:sz w:val="18"/>
                <w:szCs w:val="18"/>
                <w:color w:val="auto"/>
              </w:rPr>
              <w:t>Adult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1990</w:t>
            </w:r>
          </w:p>
        </w:tc>
      </w:tr>
      <w:tr>
        <w:trPr>
          <w:trHeight w:val="203"/>
        </w:trPr>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w:t>
            </w: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Contemporary</w:t>
            </w:r>
          </w:p>
        </w:tc>
        <w:tc>
          <w:tcPr>
            <w:tcW w:w="68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KXEZ-FM</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Los Angeles,</w:t>
            </w:r>
          </w:p>
        </w:tc>
        <w:tc>
          <w:tcPr>
            <w:tcW w:w="148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100.3 MHz</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50,000</w:t>
            </w:r>
          </w:p>
        </w:tc>
        <w:tc>
          <w:tcPr>
            <w:tcW w:w="1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Adult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w:t>
            </w: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Contemporary</w:t>
            </w:r>
          </w:p>
        </w:tc>
        <w:tc>
          <w:tcPr>
            <w:tcW w:w="68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KSRY-FM</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San Francisco,</w:t>
            </w:r>
          </w:p>
        </w:tc>
        <w:tc>
          <w:tcPr>
            <w:tcW w:w="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98.9</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MHz</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50,000</w:t>
            </w:r>
          </w:p>
        </w:tc>
        <w:tc>
          <w:tcPr>
            <w:tcW w:w="1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Adult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1990</w:t>
            </w:r>
          </w:p>
        </w:tc>
      </w:tr>
      <w:tr>
        <w:trPr>
          <w:trHeight w:val="203"/>
        </w:trPr>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w:t>
            </w: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Contemporary</w:t>
            </w:r>
          </w:p>
        </w:tc>
        <w:tc>
          <w:tcPr>
            <w:tcW w:w="68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KSRI-FM</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Santa Cruz/San</w:t>
            </w:r>
          </w:p>
        </w:tc>
        <w:tc>
          <w:tcPr>
            <w:tcW w:w="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99.1</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MHz</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50,000</w:t>
            </w:r>
          </w:p>
        </w:tc>
        <w:tc>
          <w:tcPr>
            <w:tcW w:w="1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Adult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1990</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Jose, CA</w:t>
            </w: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Contemporary</w:t>
            </w:r>
          </w:p>
        </w:tc>
        <w:tc>
          <w:tcPr>
            <w:tcW w:w="68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_________________________</w:t>
      </w: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D/N = Day/Night</w:t>
      </w:r>
    </w:p>
    <w:p>
      <w:pPr>
        <w:spacing w:after="0" w:line="206" w:lineRule="exact"/>
        <w:rPr>
          <w:sz w:val="20"/>
          <w:szCs w:val="20"/>
          <w:color w:val="auto"/>
        </w:rPr>
      </w:pPr>
    </w:p>
    <w:p>
      <w:pPr>
        <w:ind w:right="2739" w:firstLine="421"/>
        <w:spacing w:after="0" w:line="237" w:lineRule="auto"/>
        <w:rPr>
          <w:sz w:val="20"/>
          <w:szCs w:val="20"/>
          <w:color w:val="auto"/>
        </w:rPr>
      </w:pPr>
      <w:r>
        <w:rPr>
          <w:rFonts w:ascii="Courier New" w:cs="Courier New" w:eastAsia="Courier New" w:hAnsi="Courier New"/>
          <w:sz w:val="18"/>
          <w:szCs w:val="18"/>
          <w:color w:val="auto"/>
        </w:rPr>
        <w:t>As indicated in the table above, the radio stations generally have specialized program formats targeted to specific audiences. In addition, the stations' programming includes entertainment, news, religion, sports, education and other topics of general interest. The stations also provide time for public affairs, educational and cultural programs and for discussion of local and national issues.</w:t>
      </w:r>
    </w:p>
    <w:p>
      <w:pPr>
        <w:spacing w:after="0" w:line="210" w:lineRule="exact"/>
        <w:rPr>
          <w:sz w:val="20"/>
          <w:szCs w:val="20"/>
          <w:color w:val="auto"/>
        </w:rPr>
      </w:pPr>
    </w:p>
    <w:p>
      <w:pPr>
        <w:ind w:right="2739" w:firstLine="421"/>
        <w:spacing w:after="0" w:line="237" w:lineRule="auto"/>
        <w:rPr>
          <w:sz w:val="20"/>
          <w:szCs w:val="20"/>
          <w:color w:val="auto"/>
        </w:rPr>
      </w:pPr>
      <w:r>
        <w:rPr>
          <w:rFonts w:ascii="Courier New" w:cs="Courier New" w:eastAsia="Courier New" w:hAnsi="Courier New"/>
          <w:sz w:val="18"/>
          <w:szCs w:val="18"/>
          <w:color w:val="auto"/>
        </w:rPr>
        <w:t>Radio station revenues are derived almost entirely from the sale of advertising time. Only a small amount of such revenues is derived from sponsored programs or non-broadcast sources. As is customary in the industry, national representatives are engaged to obtain advertising from and to sell broadcast time to national advertisers, and are compensated on a commission basis. The stations' own sales forces sell advertising time to local and regional advertisers. Local, regional and national advertising is generally sold pursuant to contracts which are for short periods and generally are cancelable upon prior notice, but frequently are renewed for additional terms.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REGULATION</w:t>
      </w:r>
    </w:p>
    <w:p>
      <w:pPr>
        <w:spacing w:after="0" w:line="207" w:lineRule="exact"/>
        <w:rPr>
          <w:sz w:val="20"/>
          <w:szCs w:val="20"/>
          <w:color w:val="auto"/>
        </w:rPr>
      </w:pPr>
    </w:p>
    <w:p>
      <w:pPr>
        <w:ind w:right="3039" w:firstLine="421"/>
        <w:spacing w:after="0" w:line="271" w:lineRule="auto"/>
        <w:rPr>
          <w:sz w:val="20"/>
          <w:szCs w:val="20"/>
          <w:color w:val="auto"/>
        </w:rPr>
      </w:pPr>
      <w:r>
        <w:rPr>
          <w:rFonts w:ascii="Courier New" w:cs="Courier New" w:eastAsia="Courier New" w:hAnsi="Courier New"/>
          <w:sz w:val="16"/>
          <w:szCs w:val="16"/>
          <w:color w:val="auto"/>
        </w:rPr>
        <w:t>The Company's entertainment, cable television and broadcasting businesses are subject to extensive regulation by federal, state and local governmental authorities and its programming businesses are affected thereby. The rules, regulations, policies and procedures affecting these businesses are constantly subject to change. The descriptions which follow are summaries and should be read in conjunction with the texts of the statutes, rules and regulations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 - 21</w:t>
      </w:r>
    </w:p>
    <w:p>
      <w:pPr>
        <w:sectPr>
          <w:pgSz w:w="11900" w:h="16838" w:orient="portrait"/>
          <w:cols w:equalWidth="0" w:num="1">
            <w:col w:w="10219"/>
          </w:cols>
          <w:pgMar w:left="240" w:top="717" w:right="1440" w:bottom="1440" w:gutter="0" w:footer="0" w:header="0"/>
        </w:sectPr>
      </w:pPr>
    </w:p>
    <w:bookmarkStart w:id="23" w:name="page24"/>
    <w:bookmarkEnd w:id="23"/>
    <w:p>
      <w:pPr>
        <w:ind w:right="3259"/>
        <w:spacing w:after="0" w:line="236" w:lineRule="auto"/>
        <w:rPr>
          <w:sz w:val="20"/>
          <w:szCs w:val="20"/>
          <w:color w:val="auto"/>
        </w:rPr>
      </w:pPr>
      <w:r>
        <w:rPr>
          <w:rFonts w:ascii="Courier New" w:cs="Courier New" w:eastAsia="Courier New" w:hAnsi="Courier New"/>
          <w:sz w:val="18"/>
          <w:szCs w:val="18"/>
          <w:color w:val="auto"/>
        </w:rPr>
        <w:t>described herein. The descriptions do not purport to describe all present and proposed federal, state and local statutes, rules and regulations affecting the Company's businesses.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VIACOM ENTERTAINMENT</w:t>
      </w:r>
    </w:p>
    <w:p>
      <w:pPr>
        <w:spacing w:after="0" w:line="207" w:lineRule="exact"/>
        <w:rPr>
          <w:sz w:val="20"/>
          <w:szCs w:val="20"/>
          <w:color w:val="auto"/>
        </w:rPr>
      </w:pPr>
    </w:p>
    <w:p>
      <w:pPr>
        <w:ind w:right="2739" w:firstLine="421"/>
        <w:spacing w:after="0" w:line="237" w:lineRule="auto"/>
        <w:rPr>
          <w:sz w:val="20"/>
          <w:szCs w:val="20"/>
          <w:color w:val="auto"/>
        </w:rPr>
      </w:pPr>
      <w:r>
        <w:rPr>
          <w:rFonts w:ascii="Courier New" w:cs="Courier New" w:eastAsia="Courier New" w:hAnsi="Courier New"/>
          <w:sz w:val="18"/>
          <w:szCs w:val="18"/>
          <w:color w:val="auto"/>
        </w:rPr>
        <w:t>The Company's first run, network and other production operations and its distribution of off-network, first run and other programs in domestic and foreign syndication are not directly regulated by legislation. However, existing and proposed rules and regulations of the FCC applicable to broadcast networks, individual broadcast stations and cable could affect Viacom Entertainment.</w:t>
      </w:r>
    </w:p>
    <w:p>
      <w:pPr>
        <w:spacing w:after="0" w:line="210" w:lineRule="exact"/>
        <w:rPr>
          <w:sz w:val="20"/>
          <w:szCs w:val="20"/>
          <w:color w:val="auto"/>
        </w:rPr>
      </w:pPr>
    </w:p>
    <w:p>
      <w:pPr>
        <w:ind w:right="2739" w:firstLine="421"/>
        <w:spacing w:after="0" w:line="238" w:lineRule="auto"/>
        <w:rPr>
          <w:sz w:val="20"/>
          <w:szCs w:val="20"/>
          <w:color w:val="auto"/>
        </w:rPr>
      </w:pPr>
      <w:r>
        <w:rPr>
          <w:rFonts w:ascii="Courier New" w:cs="Courier New" w:eastAsia="Courier New" w:hAnsi="Courier New"/>
          <w:sz w:val="18"/>
          <w:szCs w:val="18"/>
          <w:color w:val="auto"/>
        </w:rPr>
        <w:t>FINANCIAL INTEREST AND SYNDICATION RULES. The financial interest and syndication rules ("finsyn rules") were adopted by the FCC in 1970. These rules significantly limited the role of broadcast television networks in broadcast television program syndication. The financial interest rule prohibited a network from acquiring a financial or proprietary right or interest in the exhibition (other than its own broadcast network exhibition), distribution or other commercial use in connection with the broadcasting of any television program of which it is not the sole producer. The syndication rule prohibited a network from syndicating programming domestically to television stations for non-network exhibition and precluded a network from reserving any rights to participate in income derived from domestic broadcast syndication, or from foreign broadcast syndication where the network was not the sole producer. For the purposes of these rules, a broadcast network was defined as any entity which offers an interconnected program service on a regular basis for 15 or more hours per week to at least 25 affiliated television stations in 10 or more states.</w:t>
      </w:r>
    </w:p>
    <w:p>
      <w:pPr>
        <w:spacing w:after="0" w:line="209" w:lineRule="exact"/>
        <w:rPr>
          <w:sz w:val="20"/>
          <w:szCs w:val="20"/>
          <w:color w:val="auto"/>
        </w:rPr>
      </w:pPr>
    </w:p>
    <w:p>
      <w:pPr>
        <w:ind w:right="3259" w:firstLine="527"/>
        <w:spacing w:after="0" w:line="270" w:lineRule="auto"/>
        <w:rPr>
          <w:sz w:val="20"/>
          <w:szCs w:val="20"/>
          <w:color w:val="auto"/>
        </w:rPr>
      </w:pPr>
      <w:r>
        <w:rPr>
          <w:rFonts w:ascii="Courier New" w:cs="Courier New" w:eastAsia="Courier New" w:hAnsi="Courier New"/>
          <w:sz w:val="16"/>
          <w:szCs w:val="16"/>
          <w:color w:val="auto"/>
        </w:rPr>
        <w:t>In 1991 the FCC adopted modified finsyn rules. In 1992, these rules were vacated by the U.S. Court of Appeals for the Seventh Circuit (the "Seventh Circuit Appeals Court"), acting on appeals filed by ABC, CBS, NBC and others. In 1993 the FCC adopted a decision (the "Decision") further modifying the finsyn rules effective as of June 5, 1993, although ABC, CBS, and NBC could not commence operating under the modified finsyn rules until November 10, 1993 when the antitrust consent decrees to which they are subject were modified to eliminate certain restrictions by an order (the "Order") of the U.S. District Court for the Central District of California (the "District Court"). The modified rules will expire in November 1995, absent an affirmative</w:t>
      </w:r>
    </w:p>
    <w:p>
      <w:pPr>
        <w:spacing w:after="0" w:line="188"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6"/>
          <w:szCs w:val="16"/>
          <w:color w:val="auto"/>
        </w:rPr>
        <w:t>FCC action retaining or further modifying them. The FCC is to initiate a final review of the modified rules six months prior to their November 1995 expiration date and proponents of their continuance have the burden of proving that the public interest requires their continued retention. The Decision has been appealed by the networks and others, and all appeals have been consolidated before the Seventh Circuit Appeals Court. The Company is unable to predict what action the court will take when it reviews the Decision or what effect, if any, the Decision will have on the Company's distribution and production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 - 22</w:t>
      </w:r>
    </w:p>
    <w:p>
      <w:pPr>
        <w:sectPr>
          <w:pgSz w:w="11900" w:h="16838" w:orient="portrait"/>
          <w:cols w:equalWidth="0" w:num="1">
            <w:col w:w="10219"/>
          </w:cols>
          <w:pgMar w:left="240" w:top="723" w:right="1440" w:bottom="1440" w:gutter="0" w:footer="0" w:header="0"/>
        </w:sectPr>
      </w:pPr>
    </w:p>
    <w:bookmarkStart w:id="24" w:name="page25"/>
    <w:bookmarkEnd w:id="24"/>
    <w:p>
      <w:pPr>
        <w:ind w:right="3259" w:firstLine="527"/>
        <w:spacing w:after="0" w:line="237" w:lineRule="auto"/>
        <w:rPr>
          <w:sz w:val="20"/>
          <w:szCs w:val="20"/>
          <w:color w:val="auto"/>
        </w:rPr>
      </w:pPr>
      <w:r>
        <w:rPr>
          <w:rFonts w:ascii="Courier New" w:cs="Courier New" w:eastAsia="Courier New" w:hAnsi="Courier New"/>
          <w:sz w:val="18"/>
          <w:szCs w:val="18"/>
          <w:color w:val="auto"/>
        </w:rPr>
        <w:t>The Decision eliminates certain restrictions on network acquisition of financial interests and syndication rights in network programming. With respect to first run programs, networks may not acquire any financial interests or syndication rights except in programs produced solely by the network and in programs distributed only outside the U.S. The networks are also prohibited by the modified rules from directly engaging in syndication in the U.S. of both network prime time entertainment programs and first run programs, but they may syndicate non-prime time network programs and network non-entertainment programs in the U.S. and any programs in foreign markets.</w:t>
      </w:r>
    </w:p>
    <w:p>
      <w:pPr>
        <w:spacing w:after="0" w:line="13" w:lineRule="exact"/>
        <w:rPr>
          <w:sz w:val="20"/>
          <w:szCs w:val="20"/>
          <w:color w:val="auto"/>
        </w:rPr>
      </w:pPr>
    </w:p>
    <w:p>
      <w:pPr>
        <w:ind w:right="3259"/>
        <w:spacing w:after="0"/>
        <w:rPr>
          <w:sz w:val="20"/>
          <w:szCs w:val="20"/>
          <w:color w:val="auto"/>
        </w:rPr>
      </w:pPr>
      <w:r>
        <w:rPr>
          <w:rFonts w:ascii="Courier New" w:cs="Courier New" w:eastAsia="Courier New" w:hAnsi="Courier New"/>
          <w:sz w:val="18"/>
          <w:szCs w:val="18"/>
          <w:color w:val="auto"/>
        </w:rPr>
        <w:t>Networks must also release prime time entertainment programs in which they hold syndication rights into the syndication market no later than four years after the program's network debut or within six months after the end of the network run, whichever is earlier. In addition, networks are also subject to certain certification and reporting requirements. A network is defined in the modified rules as any entity that provides more than 15 hours of prime time programming per week to affiliates reaching 75% of television households nationwide. Emerging networks not currently meeting the network definition are exempt from the modified rules except for certain reporting requirements which become applicable when they commence providing 16 hours per week of prime time programs to their affiliates. The networks must use an independent syndicator to distribute off-network prime time entertainment programs in which they hold syndication rights, and there must be no contractual or other understandings between the network and the syndicator regarding the subsequent sale or scheduling of the syndicated program that would have the direct or indirect effect of affiliate station favoritism.</w:t>
      </w:r>
    </w:p>
    <w:p>
      <w:pPr>
        <w:spacing w:after="0" w:line="380" w:lineRule="exact"/>
        <w:rPr>
          <w:sz w:val="20"/>
          <w:szCs w:val="20"/>
          <w:color w:val="auto"/>
        </w:rPr>
      </w:pPr>
    </w:p>
    <w:p>
      <w:pPr>
        <w:ind w:right="3679" w:firstLine="527"/>
        <w:spacing w:after="0" w:line="273" w:lineRule="auto"/>
        <w:rPr>
          <w:sz w:val="20"/>
          <w:szCs w:val="20"/>
          <w:color w:val="auto"/>
        </w:rPr>
      </w:pPr>
      <w:r>
        <w:rPr>
          <w:rFonts w:ascii="Courier New" w:cs="Courier New" w:eastAsia="Courier New" w:hAnsi="Courier New"/>
          <w:sz w:val="16"/>
          <w:szCs w:val="16"/>
          <w:color w:val="auto"/>
        </w:rPr>
        <w:t>The FCC will consider complaints if a party can make a showing undermining the credibility of the independence of the syndicator, and it is unclear whether such complaints may be directed only to the network involved or whether independent syndicators may also be subject to such complaints.</w:t>
      </w:r>
    </w:p>
    <w:p>
      <w:pPr>
        <w:spacing w:after="0" w:line="185" w:lineRule="exact"/>
        <w:rPr>
          <w:sz w:val="20"/>
          <w:szCs w:val="20"/>
          <w:color w:val="auto"/>
        </w:rPr>
      </w:pPr>
    </w:p>
    <w:p>
      <w:pPr>
        <w:ind w:right="2619" w:firstLine="421"/>
        <w:spacing w:after="0" w:line="237" w:lineRule="auto"/>
        <w:rPr>
          <w:sz w:val="20"/>
          <w:szCs w:val="20"/>
          <w:color w:val="auto"/>
        </w:rPr>
      </w:pPr>
      <w:r>
        <w:rPr>
          <w:rFonts w:ascii="Courier New" w:cs="Courier New" w:eastAsia="Courier New" w:hAnsi="Courier New"/>
          <w:sz w:val="18"/>
          <w:szCs w:val="18"/>
          <w:color w:val="auto"/>
        </w:rPr>
        <w:t>PRIME TIME ACCESS RULE. The Prime Time Access Rule ("PTAR") prohibits network affiliates in the top 50 markets (designated by the FCC based on survey data) from exhibiting network or off-network programming during more than three out of the four prime time hours, with certain limited exceptions. The Decision provided that first run programming produced by a network will be considered network programming for this purpose.</w:t>
      </w:r>
    </w:p>
    <w:p>
      <w:pPr>
        <w:spacing w:after="0" w:line="211" w:lineRule="exact"/>
        <w:rPr>
          <w:sz w:val="20"/>
          <w:szCs w:val="20"/>
          <w:color w:val="auto"/>
        </w:rPr>
      </w:pPr>
    </w:p>
    <w:p>
      <w:pPr>
        <w:ind w:right="2939" w:firstLine="421"/>
        <w:spacing w:after="0" w:line="271" w:lineRule="auto"/>
        <w:rPr>
          <w:sz w:val="20"/>
          <w:szCs w:val="20"/>
          <w:color w:val="auto"/>
        </w:rPr>
      </w:pPr>
      <w:r>
        <w:rPr>
          <w:rFonts w:ascii="Courier New" w:cs="Courier New" w:eastAsia="Courier New" w:hAnsi="Courier New"/>
          <w:sz w:val="16"/>
          <w:szCs w:val="16"/>
          <w:color w:val="auto"/>
        </w:rPr>
        <w:t>A number of interested parties have raised the issue of whether PTAR should be modified or repealed. Certain programmers are seeking modification of PTAR to permit the exhibition of off-network programming. The licensee of WCPX-TV, Orlando, Florida, has sought elimination of PTAR on First Amendment grounds and certain West Coast network affiliates have obtained PTAR waivers from the FCC that facilitated the commencement of network prime time one hour earlier.</w:t>
      </w:r>
    </w:p>
    <w:p>
      <w:pPr>
        <w:spacing w:after="0" w:line="188" w:lineRule="exact"/>
        <w:rPr>
          <w:sz w:val="20"/>
          <w:szCs w:val="20"/>
          <w:color w:val="auto"/>
        </w:rPr>
      </w:pPr>
    </w:p>
    <w:p>
      <w:pPr>
        <w:ind w:right="3259" w:firstLine="421"/>
        <w:spacing w:after="0" w:line="290" w:lineRule="auto"/>
        <w:rPr>
          <w:sz w:val="20"/>
          <w:szCs w:val="20"/>
          <w:color w:val="auto"/>
        </w:rPr>
      </w:pPr>
      <w:r>
        <w:rPr>
          <w:rFonts w:ascii="Courier New" w:cs="Courier New" w:eastAsia="Courier New" w:hAnsi="Courier New"/>
          <w:sz w:val="16"/>
          <w:szCs w:val="16"/>
          <w:color w:val="auto"/>
        </w:rPr>
        <w:t>If PTAR itself is so modified or is eliminated, the Company is unable to predict the effect, if any, on its first run and other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 - 23</w:t>
      </w:r>
    </w:p>
    <w:p>
      <w:pPr>
        <w:sectPr>
          <w:pgSz w:w="11900" w:h="16838" w:orient="portrait"/>
          <w:cols w:equalWidth="0" w:num="1">
            <w:col w:w="10219"/>
          </w:cols>
          <w:pgMar w:left="240" w:top="723" w:right="1440" w:bottom="1440" w:gutter="0" w:footer="0" w:header="0"/>
        </w:sectPr>
      </w:pPr>
    </w:p>
    <w:bookmarkStart w:id="25" w:name="page26"/>
    <w:bookmarkEnd w:id="25"/>
    <w:p>
      <w:pPr>
        <w:ind w:right="2739"/>
        <w:spacing w:after="0" w:line="237" w:lineRule="auto"/>
        <w:rPr>
          <w:sz w:val="20"/>
          <w:szCs w:val="20"/>
          <w:color w:val="auto"/>
        </w:rPr>
      </w:pPr>
      <w:r>
        <w:rPr>
          <w:rFonts w:ascii="Courier New" w:cs="Courier New" w:eastAsia="Courier New" w:hAnsi="Courier New"/>
          <w:sz w:val="18"/>
          <w:szCs w:val="18"/>
          <w:color w:val="auto"/>
        </w:rPr>
        <w:t>distribution activities. The Company is also unable to predict whether earlier commencement of network prime time programming would affect the availability of prime time for the presentation of syndicated programs on network-affiliated stations.</w:t>
      </w:r>
    </w:p>
    <w:p>
      <w:pPr>
        <w:spacing w:after="0" w:line="207" w:lineRule="exact"/>
        <w:rPr>
          <w:sz w:val="20"/>
          <w:szCs w:val="20"/>
          <w:color w:val="auto"/>
        </w:rPr>
      </w:pPr>
    </w:p>
    <w:p>
      <w:pPr>
        <w:ind w:right="2739" w:firstLine="421"/>
        <w:spacing w:after="0" w:line="238" w:lineRule="auto"/>
        <w:rPr>
          <w:sz w:val="20"/>
          <w:szCs w:val="20"/>
          <w:color w:val="auto"/>
        </w:rPr>
      </w:pPr>
      <w:r>
        <w:rPr>
          <w:rFonts w:ascii="Courier New" w:cs="Courier New" w:eastAsia="Courier New" w:hAnsi="Courier New"/>
          <w:sz w:val="18"/>
          <w:szCs w:val="18"/>
          <w:color w:val="auto"/>
        </w:rPr>
        <w:t>EUROPEAN COMMUNITY DIRECTIVE. In October 1989, the European Commission directed each European Community member country to adopt broadcast quota regulations based on its guidelines by October 3, 1991. All member countries other than Spain and the Flemish region of Belgium have enacted legislation aimed at adopting such regulations. Such broadcast quota regulations may limit the amount of U.S. produced programming to be purchased by foreign customers which could have an adverse impact on the Company's foreign syndication operations. Similar rules are contained in a Council of Europe Convention which went into force on May 1, 1993. This has currently been ratified by Cyprus, Italy, Poland, San Marino, Switzerland, the Vatican and the United Kingdom.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VIACOM 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Regulation</w:t>
      </w:r>
    </w:p>
    <w:p>
      <w:pPr>
        <w:spacing w:after="0" w:line="207" w:lineRule="exact"/>
        <w:rPr>
          <w:sz w:val="20"/>
          <w:szCs w:val="20"/>
          <w:color w:val="auto"/>
        </w:rPr>
      </w:pPr>
    </w:p>
    <w:p>
      <w:pPr>
        <w:ind w:right="2739" w:firstLine="421"/>
        <w:spacing w:after="0" w:line="238" w:lineRule="auto"/>
        <w:rPr>
          <w:sz w:val="20"/>
          <w:szCs w:val="20"/>
          <w:color w:val="auto"/>
        </w:rPr>
      </w:pPr>
      <w:r>
        <w:rPr>
          <w:rFonts w:ascii="Courier New" w:cs="Courier New" w:eastAsia="Courier New" w:hAnsi="Courier New"/>
          <w:sz w:val="18"/>
          <w:szCs w:val="18"/>
          <w:color w:val="auto"/>
        </w:rPr>
        <w:t>1992 CABLE ACT. On October 5, 1992, Congress enacted the Cable Television Consumer Protection and Competition Act of 1992 (the "1992 Cable Act") substantially amending the regulatory framework under which cable television systems have operated since the Communications Act of 1934, as amended (the "Communications Act"), was amended by the Cable Communications Policy Act of 1984 (the "1984 Act"). The FCC through its rules and regulations began implementing the requirements of the 1992 Cable Act in 1993 and is currently engaged in several proceedings in order to adopt additional rules and regulations or to reconsider and/or amend certain of the rules and regulations previously adopted. The extent and materiality of the effects of the 1992 Cable Act on Viacom Cable and Viacom Networks depend to a large degree on the final form of the FCC's implementing regulations and the outcome of judicial challenges to various provisions of the 1992 Cable Act as more fully discussed below. The following is a summary of certain significant issues:</w:t>
      </w:r>
    </w:p>
    <w:p>
      <w:pPr>
        <w:spacing w:after="0" w:line="203" w:lineRule="exact"/>
        <w:rPr>
          <w:sz w:val="20"/>
          <w:szCs w:val="20"/>
          <w:color w:val="auto"/>
        </w:rPr>
      </w:pPr>
    </w:p>
    <w:p>
      <w:pPr>
        <w:ind w:left="420"/>
        <w:spacing w:after="0"/>
        <w:tabs>
          <w:tab w:leader="none" w:pos="2300" w:val="left"/>
        </w:tabs>
        <w:rPr>
          <w:sz w:val="20"/>
          <w:szCs w:val="20"/>
          <w:color w:val="auto"/>
        </w:rPr>
      </w:pPr>
      <w:r>
        <w:rPr>
          <w:rFonts w:ascii="Courier New" w:cs="Courier New" w:eastAsia="Courier New" w:hAnsi="Courier New"/>
          <w:sz w:val="18"/>
          <w:szCs w:val="18"/>
          <w:color w:val="auto"/>
        </w:rPr>
        <w:t>Rate Regulation.</w:t>
      </w:r>
      <w:r>
        <w:rPr>
          <w:sz w:val="20"/>
          <w:szCs w:val="20"/>
          <w:color w:val="auto"/>
        </w:rPr>
        <w:tab/>
      </w:r>
      <w:r>
        <w:rPr>
          <w:rFonts w:ascii="Courier New" w:cs="Courier New" w:eastAsia="Courier New" w:hAnsi="Courier New"/>
          <w:sz w:val="16"/>
          <w:szCs w:val="16"/>
          <w:color w:val="auto"/>
        </w:rPr>
        <w:t>Rate regulations adopted in April 1993 by the FCC</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20" w:right="2739"/>
        <w:spacing w:after="0" w:line="270" w:lineRule="auto"/>
        <w:rPr>
          <w:sz w:val="20"/>
          <w:szCs w:val="20"/>
          <w:color w:val="auto"/>
        </w:rPr>
      </w:pPr>
      <w:r>
        <w:rPr>
          <w:rFonts w:ascii="Courier New" w:cs="Courier New" w:eastAsia="Courier New" w:hAnsi="Courier New"/>
          <w:sz w:val="16"/>
          <w:szCs w:val="16"/>
          <w:color w:val="auto"/>
        </w:rPr>
        <w:t>(the "April 1993 Regulations") govern rates charged to subscribers for regulated tiers of cable service and became effective on September 1, 1993. On February 22, 1994, the FCC adopted additional rules (the "February 22nd Regulations") which have not yet been published in their final form. The "benchmark" formula adopted as part of the April 1993 Regulations establishes an "initial permitted rate" which may be charged by cable operators for specified tiers of cable service. The regulations also establish the prices which may be charged for equipment used to receive these services. Because the text of the February 22nd Regulations has not been released, it is not possible to know the extent or nature of the revisions to the April 1993 Regulations. However, from public statements made during the FCC's February 22 meeting and news releases issued thereafter, it appears that the February 22nd Regulations will contain a new formula for determining permitted rates. The new formula may require up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 - 24</w:t>
      </w:r>
    </w:p>
    <w:p>
      <w:pPr>
        <w:sectPr>
          <w:pgSz w:w="11900" w:h="16838" w:orient="portrait"/>
          <w:cols w:equalWidth="0" w:num="1">
            <w:col w:w="10219"/>
          </w:cols>
          <w:pgMar w:left="240" w:top="723" w:right="1440" w:bottom="1440" w:gutter="0" w:footer="0" w:header="0"/>
        </w:sectPr>
      </w:pPr>
    </w:p>
    <w:bookmarkStart w:id="26" w:name="page27"/>
    <w:bookmarkEnd w:id="26"/>
    <w:p>
      <w:pPr>
        <w:ind w:right="2739"/>
        <w:spacing w:after="0" w:line="237" w:lineRule="auto"/>
        <w:rPr>
          <w:sz w:val="20"/>
          <w:szCs w:val="20"/>
          <w:color w:val="auto"/>
        </w:rPr>
      </w:pPr>
      <w:r>
        <w:rPr>
          <w:rFonts w:ascii="Courier New" w:cs="Courier New" w:eastAsia="Courier New" w:hAnsi="Courier New"/>
          <w:sz w:val="18"/>
          <w:szCs w:val="18"/>
          <w:color w:val="auto"/>
        </w:rPr>
        <w:t>17% reduction of rates from those charged on September 30, 1992, rather than the 10% reduction required by the April 1993 Regulations. The February 22nd Regulations also adopted interim standards governing "cost-of-service" proceedings pursuant to which a cable operator would be permitted to charge rates in excess of rates which it would otherwise be permitted to charge under such regulations, provided that the operator substantiates that its costs in providing services justify such rates.</w:t>
      </w:r>
    </w:p>
    <w:p>
      <w:pPr>
        <w:spacing w:after="0" w:line="200" w:lineRule="exact"/>
        <w:rPr>
          <w:sz w:val="20"/>
          <w:szCs w:val="20"/>
          <w:color w:val="auto"/>
        </w:rPr>
      </w:pPr>
    </w:p>
    <w:p>
      <w:pPr>
        <w:spacing w:after="0" w:line="215" w:lineRule="exact"/>
        <w:rPr>
          <w:sz w:val="20"/>
          <w:szCs w:val="20"/>
          <w:color w:val="auto"/>
        </w:rPr>
      </w:pPr>
    </w:p>
    <w:p>
      <w:pPr>
        <w:ind w:right="3039" w:firstLine="316"/>
        <w:spacing w:after="0" w:line="269" w:lineRule="auto"/>
        <w:rPr>
          <w:sz w:val="20"/>
          <w:szCs w:val="20"/>
          <w:color w:val="auto"/>
        </w:rPr>
      </w:pPr>
      <w:r>
        <w:rPr>
          <w:rFonts w:ascii="Courier New" w:cs="Courier New" w:eastAsia="Courier New" w:hAnsi="Courier New"/>
          <w:sz w:val="16"/>
          <w:szCs w:val="16"/>
          <w:color w:val="auto"/>
        </w:rPr>
        <w:t>Based on its implementation of the April 1993 Regulations, the Company estimates that it will recognize a reduction to revenues ranging from $27 million to $32 million on an annualized basis, substantially all of which will be reflected as a reduction in earnings from operations of its cable television division. The Company's estimated reduction does not reflect further reductions to revenue which would result from the lowering of the initial permitted rates pursuant to the February 22nd Regulations. These new and reduced initial permitted rates will apply prospectively from a date to be announced by the FCC when it publishes precise regulations which implement the February 22nd Regulations. Until the February 22nd Regulations are released, it is not possible to predict the effects of the interim standards governing cost-of-service proceedings; however, based on the FCC's public statements, the Company believes it is unlikely that it will be able to utilize such proceedings so as to charge rates in excess of rates which it would otherwise be permitted to charge under the regulations. The Company's ability to mitigate the effects of these new rate regulations by employing techniques such as the pricing and repricing of new or currently offered unregulated program services and ancillary services may also be restricted by the new regulations adopted as part of the February 22nd Regulations. No such mitigating factors are reflected in the estimated reductions to revenues. The stated reduction to revenues may be mitigated by the higher customer growth due to lower primary service rates. The Company also cannot predict the effect, if any, of cable system rate regulation on license fee rates payable by cable systems to program services such as those owned by the Company.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00"/>
        <w:spacing w:after="0"/>
        <w:tabs>
          <w:tab w:leader="none" w:pos="2720" w:val="left"/>
        </w:tabs>
        <w:rPr>
          <w:sz w:val="20"/>
          <w:szCs w:val="20"/>
          <w:color w:val="auto"/>
        </w:rPr>
      </w:pPr>
      <w:r>
        <w:rPr>
          <w:rFonts w:ascii="Courier New" w:cs="Courier New" w:eastAsia="Courier New" w:hAnsi="Courier New"/>
          <w:sz w:val="18"/>
          <w:szCs w:val="18"/>
          <w:color w:val="auto"/>
        </w:rPr>
        <w:t>Vertical Integration.</w:t>
      </w:r>
      <w:r>
        <w:rPr>
          <w:sz w:val="20"/>
          <w:szCs w:val="20"/>
          <w:color w:val="auto"/>
        </w:rPr>
        <w:tab/>
      </w:r>
      <w:r>
        <w:rPr>
          <w:rFonts w:ascii="Courier New" w:cs="Courier New" w:eastAsia="Courier New" w:hAnsi="Courier New"/>
          <w:sz w:val="16"/>
          <w:szCs w:val="16"/>
          <w:color w:val="auto"/>
        </w:rPr>
        <w:t>Certain pricing and other restrictions are</w:t>
      </w:r>
    </w:p>
    <w:p>
      <w:pPr>
        <w:ind w:left="3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739"/>
        <w:spacing w:after="0" w:line="269" w:lineRule="auto"/>
        <w:rPr>
          <w:sz w:val="20"/>
          <w:szCs w:val="20"/>
          <w:color w:val="auto"/>
        </w:rPr>
      </w:pPr>
      <w:r>
        <w:rPr>
          <w:rFonts w:ascii="Courier New" w:cs="Courier New" w:eastAsia="Courier New" w:hAnsi="Courier New"/>
          <w:sz w:val="16"/>
          <w:szCs w:val="16"/>
          <w:color w:val="auto"/>
        </w:rPr>
        <w:t>imposed on vertically integrated cable programmers (such as the Company) with respect to their dealings with multichannel distributors of programming, such as cable systems, SMATV systems, MMDS operators and TVRO and DBS distributors (as defined in "BUSINESS--Competition-- Viacom Cable Television"). The FCC's implementing regulations governing access by multichannel distributors to the programming of vertically integrated cable programmers limit the extent to which a vertically integrated cable programmer can differentiate in pricing or other terms and conditions of carriage between and among multichannel distributors. Because the application of these new regulations is subject to numerous uncertainties, the Company is currently unable to determine their impact, if any, on the Company. The FCC's implementing regulations also limit the number of channels on a cable system which may be used to carry the programming of such system's affiliated (vertically integrated) cable programmers. These regulations provide generally that no more than 40% of such a system's channels can be used to carry the programming of the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 - 25</w:t>
      </w:r>
    </w:p>
    <w:p>
      <w:pPr>
        <w:sectPr>
          <w:pgSz w:w="11900" w:h="16838" w:orient="portrait"/>
          <w:cols w:equalWidth="0" w:num="1">
            <w:col w:w="10099"/>
          </w:cols>
          <w:pgMar w:left="360" w:top="723" w:right="1440" w:bottom="1440" w:gutter="0" w:footer="0" w:header="0"/>
        </w:sectPr>
      </w:pPr>
    </w:p>
    <w:bookmarkStart w:id="27" w:name="page28"/>
    <w:bookmarkEnd w:id="27"/>
    <w:p>
      <w:pPr>
        <w:ind w:right="2739"/>
        <w:spacing w:after="0" w:line="237" w:lineRule="auto"/>
        <w:rPr>
          <w:sz w:val="20"/>
          <w:szCs w:val="20"/>
          <w:color w:val="auto"/>
        </w:rPr>
      </w:pPr>
      <w:r>
        <w:rPr>
          <w:rFonts w:ascii="Courier New" w:cs="Courier New" w:eastAsia="Courier New" w:hAnsi="Courier New"/>
          <w:sz w:val="18"/>
          <w:szCs w:val="18"/>
          <w:color w:val="auto"/>
        </w:rPr>
        <w:t>affiliated cable programmers. These channel occupancy limits apply only up to 75 channels of a given system. The FCC also considered whether limits should be placed on a multichannel distributor's right to participate in the production or creation of programming, and concluded that no such limits are appropriate at this time. The FCC's implementing regulations governing access by multichannel distributors to the programming of vertically integrated cable programmers and regarding channel occupancy limits are subject to pending petitions for reconsideration at the FCC.</w:t>
      </w:r>
    </w:p>
    <w:p>
      <w:pPr>
        <w:spacing w:after="0" w:line="208" w:lineRule="exact"/>
        <w:rPr>
          <w:sz w:val="20"/>
          <w:szCs w:val="20"/>
          <w:color w:val="auto"/>
        </w:rPr>
      </w:pPr>
    </w:p>
    <w:p>
      <w:pPr>
        <w:ind w:left="300"/>
        <w:spacing w:after="0"/>
        <w:tabs>
          <w:tab w:leader="none" w:pos="4080" w:val="left"/>
        </w:tabs>
        <w:rPr>
          <w:sz w:val="20"/>
          <w:szCs w:val="20"/>
          <w:color w:val="auto"/>
        </w:rPr>
      </w:pPr>
      <w:r>
        <w:rPr>
          <w:rFonts w:ascii="Courier New" w:cs="Courier New" w:eastAsia="Courier New" w:hAnsi="Courier New"/>
          <w:sz w:val="18"/>
          <w:szCs w:val="18"/>
          <w:color w:val="auto"/>
        </w:rPr>
        <w:t>Must Carry/Retransmission Consent.</w:t>
      </w:r>
      <w:r>
        <w:rPr>
          <w:sz w:val="20"/>
          <w:szCs w:val="20"/>
          <w:color w:val="auto"/>
        </w:rPr>
        <w:tab/>
      </w:r>
      <w:r>
        <w:rPr>
          <w:rFonts w:ascii="Courier New" w:cs="Courier New" w:eastAsia="Courier New" w:hAnsi="Courier New"/>
          <w:sz w:val="16"/>
          <w:szCs w:val="16"/>
          <w:color w:val="auto"/>
        </w:rPr>
        <w:t>Commercial television stations</w:t>
      </w:r>
    </w:p>
    <w:p>
      <w:pPr>
        <w:ind w:left="3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739"/>
        <w:spacing w:after="0" w:line="269" w:lineRule="auto"/>
        <w:rPr>
          <w:sz w:val="20"/>
          <w:szCs w:val="20"/>
          <w:color w:val="auto"/>
        </w:rPr>
      </w:pPr>
      <w:r>
        <w:rPr>
          <w:rFonts w:ascii="Courier New" w:cs="Courier New" w:eastAsia="Courier New" w:hAnsi="Courier New"/>
          <w:sz w:val="16"/>
          <w:szCs w:val="16"/>
          <w:color w:val="auto"/>
        </w:rPr>
        <w:t>which are "local" to communities served by a cable system can elect to require either (a) carriage (and with certain restrictions, channel position) on the cable system ("Must Carry"), or (b) payment (monetary or in-kind) in consideration for their consent to the retransmission of their signal by the cable system ("Retransmission Consent"). In addition, a cable system may not carry any commercial non-satellite-delivered television station which is "distant" to communities served by such system or any radio station without obtaining the consent of such station for such retransmission; however, such television and radio stations do not have Must Carry rights. Such stations may require payment in consideration for Retransmission Consent. Viacom Cable has negotiated retransmission rights for a number of commercial stations which it carries. Some of these agreements are on an interim basis and may be canceled by the stations. Viacom Cable carries other stations pursuant to their exercise of their Must Carry rights. Local non-commercial television stations have Must Carry rights, but may not elect Retransmission Consent. The Must Carry rules were challenged by cable program services and cable system operators. In April 1993, a District of Columbia three judge court upheld the rules against a facial First Amendment attack. The U.S. Supreme Court accepted review; oral argument was heard in January 1994 and a decision is expected by July 1994. (See "BUSINESS -- Regulation -- Viacom Broadcasting -- Must Carry/Retransmission Consent")</w:t>
      </w:r>
    </w:p>
    <w:p>
      <w:pPr>
        <w:spacing w:after="0" w:line="387" w:lineRule="exact"/>
        <w:rPr>
          <w:sz w:val="20"/>
          <w:szCs w:val="20"/>
          <w:color w:val="auto"/>
        </w:rPr>
      </w:pPr>
    </w:p>
    <w:p>
      <w:pPr>
        <w:ind w:left="300"/>
        <w:spacing w:after="0"/>
        <w:tabs>
          <w:tab w:leader="none" w:pos="3880" w:val="left"/>
        </w:tabs>
        <w:rPr>
          <w:sz w:val="20"/>
          <w:szCs w:val="20"/>
          <w:color w:val="auto"/>
        </w:rPr>
      </w:pPr>
      <w:r>
        <w:rPr>
          <w:rFonts w:ascii="Courier New" w:cs="Courier New" w:eastAsia="Courier New" w:hAnsi="Courier New"/>
          <w:sz w:val="18"/>
          <w:szCs w:val="18"/>
          <w:color w:val="auto"/>
        </w:rPr>
        <w:t>Limits on Number of Subscribers.</w:t>
      </w:r>
      <w:r>
        <w:rPr>
          <w:sz w:val="20"/>
          <w:szCs w:val="20"/>
          <w:color w:val="auto"/>
        </w:rPr>
        <w:tab/>
      </w:r>
      <w:r>
        <w:rPr>
          <w:rFonts w:ascii="Courier New" w:cs="Courier New" w:eastAsia="Courier New" w:hAnsi="Courier New"/>
          <w:sz w:val="16"/>
          <w:szCs w:val="16"/>
          <w:color w:val="auto"/>
        </w:rPr>
        <w:t>The FCC's implementing</w:t>
      </w:r>
    </w:p>
    <w:p>
      <w:pPr>
        <w:ind w:left="3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regulations generally impose a 30% horizontal ownership limit on the number of homes passed by cable that any one cable operator can serve nationwide through systems in which it has an attributable interest (the Company serves approximately 2% of "homes passed" nationwide). In view of a recent federal district court decision holding that this imposition of horizontal ownership limits is unconstitutional, the FCC has stayed the effectiveness of this 30% limit until final judicial resolution of the constitutional issue.</w:t>
      </w:r>
    </w:p>
    <w:p>
      <w:pPr>
        <w:spacing w:after="0" w:line="207" w:lineRule="exact"/>
        <w:rPr>
          <w:sz w:val="20"/>
          <w:szCs w:val="20"/>
          <w:color w:val="auto"/>
        </w:rPr>
      </w:pPr>
    </w:p>
    <w:p>
      <w:pPr>
        <w:ind w:left="420"/>
        <w:spacing w:after="0"/>
        <w:tabs>
          <w:tab w:leader="none" w:pos="3980" w:val="left"/>
        </w:tabs>
        <w:rPr>
          <w:sz w:val="20"/>
          <w:szCs w:val="20"/>
          <w:color w:val="auto"/>
        </w:rPr>
      </w:pPr>
      <w:r>
        <w:rPr>
          <w:rFonts w:ascii="Courier New" w:cs="Courier New" w:eastAsia="Courier New" w:hAnsi="Courier New"/>
          <w:sz w:val="18"/>
          <w:szCs w:val="18"/>
          <w:color w:val="auto"/>
        </w:rPr>
        <w:t>Buy Through to Premium Services.</w:t>
      </w:r>
      <w:r>
        <w:rPr>
          <w:sz w:val="20"/>
          <w:szCs w:val="20"/>
          <w:color w:val="auto"/>
        </w:rPr>
        <w:tab/>
      </w:r>
      <w:r>
        <w:rPr>
          <w:rFonts w:ascii="Courier New" w:cs="Courier New" w:eastAsia="Courier New" w:hAnsi="Courier New"/>
          <w:sz w:val="16"/>
          <w:szCs w:val="16"/>
          <w:color w:val="auto"/>
        </w:rPr>
        <w:t>Pursuant to the 1992 Cable</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Act, a cable system may not require subscribers to purchase any tier of service other than the basic service tier in order to obtain services offered by the cable operator on a per channel (e.g., premium services) or pay-per-view basis. A cable system</w:t>
      </w:r>
    </w:p>
    <w:p>
      <w:pPr>
        <w:ind w:left="100"/>
        <w:spacing w:after="0" w:line="234" w:lineRule="auto"/>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3259"/>
        <w:spacing w:after="0" w:line="273" w:lineRule="auto"/>
        <w:rPr>
          <w:sz w:val="20"/>
          <w:szCs w:val="20"/>
          <w:color w:val="auto"/>
        </w:rPr>
      </w:pPr>
      <w:r>
        <w:rPr>
          <w:rFonts w:ascii="Courier New" w:cs="Courier New" w:eastAsia="Courier New" w:hAnsi="Courier New"/>
          <w:sz w:val="16"/>
          <w:szCs w:val="16"/>
          <w:color w:val="auto"/>
        </w:rPr>
        <w:t>which is not now fully addressable and which cannot utilize other means to facilitate access to all of its programming will have up to 10 years to fully comply with this provision through the implementation of fully addressable technology. The Company's cable systems have already begun to implement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 - 26</w:t>
      </w:r>
    </w:p>
    <w:p>
      <w:pPr>
        <w:sectPr>
          <w:pgSz w:w="11900" w:h="16838" w:orient="portrait"/>
          <w:cols w:equalWidth="0" w:num="1">
            <w:col w:w="10099"/>
          </w:cols>
          <w:pgMar w:left="360" w:top="723" w:right="1440" w:bottom="1440" w:gutter="0" w:footer="0" w:header="0"/>
        </w:sectPr>
      </w:pPr>
    </w:p>
    <w:bookmarkStart w:id="28" w:name="page29"/>
    <w:bookmarkEnd w:id="28"/>
    <w:p>
      <w:pPr>
        <w:ind w:right="2739" w:firstLine="421"/>
        <w:spacing w:after="0" w:line="268" w:lineRule="auto"/>
        <w:rPr>
          <w:sz w:val="20"/>
          <w:szCs w:val="20"/>
          <w:color w:val="auto"/>
        </w:rPr>
      </w:pPr>
      <w:r>
        <w:rPr>
          <w:rFonts w:ascii="Courier New" w:cs="Courier New" w:eastAsia="Courier New" w:hAnsi="Courier New"/>
          <w:sz w:val="16"/>
          <w:szCs w:val="16"/>
          <w:color w:val="auto"/>
        </w:rPr>
        <w:t>Among other things, the 1992 Cable Act and the FCC's implementing regulations also: (i) with certain exceptions, require a three-year holding period before the resale of cable systems; (ii) provide that franchising authorities cannot unreasonably refuse to grant competing franchises (all of the Company's current franchises are non-exclusive);</w:t>
      </w:r>
    </w:p>
    <w:p>
      <w:pPr>
        <w:spacing w:after="0" w:line="1" w:lineRule="exact"/>
        <w:rPr>
          <w:sz w:val="20"/>
          <w:szCs w:val="20"/>
          <w:color w:val="auto"/>
        </w:rPr>
      </w:pPr>
    </w:p>
    <w:p>
      <w:pPr>
        <w:ind w:right="2839" w:firstLine="8"/>
        <w:spacing w:after="0" w:line="237" w:lineRule="auto"/>
        <w:tabs>
          <w:tab w:leader="none" w:pos="63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 that the FCC study the cost and benefits of issuing regulations with respect to compatibility between cable system equipment and consumer electronics such as VCRs and issue such regulations as may be appropriate; and (iv) facilitate the manner in which third parties can lease channel capacity from cable systems and provide that the maximum rates which a cable system can charge for leased channel capacity may be set by the FCC. Pursuant to the 1992 Cable Act, the FCC adopted minimum customer service standards and also determined the circumstances under which local franchising authorities may impose higher standards.</w:t>
      </w:r>
    </w:p>
    <w:p>
      <w:pPr>
        <w:spacing w:after="0" w:line="215" w:lineRule="exact"/>
        <w:rPr>
          <w:sz w:val="20"/>
          <w:szCs w:val="20"/>
          <w:color w:val="auto"/>
        </w:rPr>
      </w:pPr>
    </w:p>
    <w:p>
      <w:pPr>
        <w:ind w:right="2939" w:firstLine="421"/>
        <w:spacing w:after="0" w:line="237" w:lineRule="auto"/>
        <w:rPr>
          <w:sz w:val="20"/>
          <w:szCs w:val="20"/>
          <w:color w:val="auto"/>
        </w:rPr>
      </w:pPr>
      <w:r>
        <w:rPr>
          <w:rFonts w:ascii="Courier New" w:cs="Courier New" w:eastAsia="Courier New" w:hAnsi="Courier New"/>
          <w:sz w:val="18"/>
          <w:szCs w:val="18"/>
          <w:color w:val="auto"/>
        </w:rPr>
        <w:t>Lawsuits have been filed challenging the constitutionality of various provisions of the 1992 Cable Act including the provisions relating to rate regulation, Must Carry, Retransmission Consent, the pricing and other restrictions imposed on vertically integrated cable programmers with respect to their dealings with multichannel programming distributors, and the mandated availability of cable channels for leased access and PEG programming.</w:t>
      </w:r>
    </w:p>
    <w:p>
      <w:pPr>
        <w:spacing w:after="0" w:line="211" w:lineRule="exact"/>
        <w:rPr>
          <w:sz w:val="20"/>
          <w:szCs w:val="20"/>
          <w:color w:val="auto"/>
        </w:rPr>
      </w:pPr>
    </w:p>
    <w:p>
      <w:pPr>
        <w:ind w:right="2839" w:firstLine="421"/>
        <w:spacing w:after="0" w:line="268" w:lineRule="auto"/>
        <w:rPr>
          <w:sz w:val="20"/>
          <w:szCs w:val="20"/>
          <w:color w:val="auto"/>
        </w:rPr>
      </w:pPr>
      <w:r>
        <w:rPr>
          <w:rFonts w:ascii="Courier New" w:cs="Courier New" w:eastAsia="Courier New" w:hAnsi="Courier New"/>
          <w:sz w:val="16"/>
          <w:szCs w:val="16"/>
          <w:color w:val="auto"/>
        </w:rPr>
        <w:t>COMPETITION WITH TELEPHONE COMPANIES. In a recent decision by the U.S. District Court for the Eastern District of Virginia, the Court declared the restrictions contained in the Communications Act on</w:t>
      </w:r>
    </w:p>
    <w:p>
      <w:pPr>
        <w:spacing w:after="0" w:line="1" w:lineRule="exact"/>
        <w:rPr>
          <w:sz w:val="20"/>
          <w:szCs w:val="20"/>
          <w:color w:val="auto"/>
        </w:rPr>
      </w:pPr>
    </w:p>
    <w:p>
      <w:pPr>
        <w:ind w:right="2739"/>
        <w:spacing w:after="0" w:line="269" w:lineRule="auto"/>
        <w:rPr>
          <w:sz w:val="20"/>
          <w:szCs w:val="20"/>
          <w:color w:val="auto"/>
        </w:rPr>
      </w:pPr>
      <w:r>
        <w:rPr>
          <w:rFonts w:ascii="Courier New" w:cs="Courier New" w:eastAsia="Courier New" w:hAnsi="Courier New"/>
          <w:sz w:val="16"/>
          <w:szCs w:val="16"/>
          <w:color w:val="auto"/>
        </w:rPr>
        <w:t>the provision of video programming by a telephone company in its local service area to be unconstitutional and has enjoined enforcement of those restrictions. The Court has held that this decision does not apply to geographic areas outside of its jurisdiction. An appeal of the Court's holding of the unconstitutionality of such restrictions has been filed. Several similar suits have recently been filed in different jurisdictions by regional Bell Operating Companies (including NYNEX) ("BOCs") challenging the very same restrictions. In an interpretation of the current restrictions contained in the Communications Act, the FCC in 1992 established its "Video Dial Tone" policy. The Video Dial Tone policy is being challenged in court by cable interests as violating the Communications Act. It is also being challenged by telephone interests as not being liberal enough. The policy permits in-service-area delivery of video programming by a telephone company (a "telco", as further defined below) and exempts telcos from the Communications Act's franchising requirements so long as their facilities are capable of two-way video and are used for transmission of video programming on a common carrier basis, i.e. use of the facilities must be available to all programmers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 ----</w:t>
      </w:r>
    </w:p>
    <w:p>
      <w:pPr>
        <w:spacing w:after="0" w:line="4"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and program packagers on a non-discriminatory, first-come first-served basis. Telcos are also permitted to provide to facilities users additional "enhanced" services such as video gateways, video processing services, customer premises equipment and billing and collection. These can be provided on a non-common carrier basis. There are currently pending in Congress four principal bills (in the Senate, S. 1086, the Telecommunications Infrastructure Act of 1993, and S. 1822, the Communications Act of 1994 (which is expected to supersede S. 1086) and in the House, H.R. 3626, the Antitrust Reform Act 1993, and H.R. 3636, the National Communications Competition and Information Infrastructure Act of 1993) which would, among other things, permit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 - 27</w:t>
      </w:r>
    </w:p>
    <w:p>
      <w:pPr>
        <w:sectPr>
          <w:pgSz w:w="11900" w:h="16838" w:orient="portrait"/>
          <w:cols w:equalWidth="0" w:num="1">
            <w:col w:w="10219"/>
          </w:cols>
          <w:pgMar w:left="240" w:top="723" w:right="1440" w:bottom="1440" w:gutter="0" w:footer="0" w:header="0"/>
        </w:sectPr>
      </w:pPr>
    </w:p>
    <w:bookmarkStart w:id="29" w:name="page30"/>
    <w:bookmarkEnd w:id="29"/>
    <w:p>
      <w:pPr>
        <w:ind w:right="2739"/>
        <w:spacing w:after="0" w:line="238" w:lineRule="auto"/>
        <w:rPr>
          <w:sz w:val="20"/>
          <w:szCs w:val="20"/>
          <w:color w:val="auto"/>
        </w:rPr>
      </w:pPr>
      <w:r>
        <w:rPr>
          <w:rFonts w:ascii="Courier New" w:cs="Courier New" w:eastAsia="Courier New" w:hAnsi="Courier New"/>
          <w:sz w:val="18"/>
          <w:szCs w:val="18"/>
          <w:color w:val="auto"/>
        </w:rPr>
        <w:t>BOC or a Regional Holding Company ("RHC"; a BOC or RHC, a "telco") to offer cable service under certain stated conditions including providing safeguards and transition rules designed to protect against anti-competitive activity by the telcos and cross-subsidization of a telco's cable business by the telco's charges to its telephone customers. These bills also generally eliminate state and local entry barriers which currently either prohibit or restrict an entity's (including a cable operator's) capacity to offer telecommunications services (including telephone exchange service) in competition with telcos and to interconnect on a non-discriminatory basis with telcos and utilize certain telco facilities in order to provide service in competition with a telco. The Clinton Administration has indicated its intention to propose reform of federal telecommunications legislation, although such proposal has not been finalized. At present, state and/or local laws do not prohibit cable television companies from engaging in certain kinds of telephony business in most states. Viacom Cable is a general partner in three partnerships providing commercial competitive access services which link business customers to long distance carriers via private networks owned by the cable television company partners and leased to the partnerships. If the pending legislation does not become law, and the various appeals courts uphold the unconstitutionality of the Communications Act's restrictions on telco video programming, the telcos have stated their intent to immediately enter the video programming business.</w:t>
      </w:r>
    </w:p>
    <w:p>
      <w:pPr>
        <w:spacing w:after="0" w:line="211" w:lineRule="exact"/>
        <w:rPr>
          <w:sz w:val="20"/>
          <w:szCs w:val="20"/>
          <w:color w:val="auto"/>
        </w:rPr>
      </w:pPr>
    </w:p>
    <w:p>
      <w:pPr>
        <w:ind w:right="2739" w:firstLine="421"/>
        <w:spacing w:after="0" w:line="270" w:lineRule="auto"/>
        <w:rPr>
          <w:sz w:val="20"/>
          <w:szCs w:val="20"/>
          <w:color w:val="auto"/>
        </w:rPr>
      </w:pPr>
      <w:r>
        <w:rPr>
          <w:rFonts w:ascii="Courier New" w:cs="Courier New" w:eastAsia="Courier New" w:hAnsi="Courier New"/>
          <w:sz w:val="16"/>
          <w:szCs w:val="16"/>
          <w:color w:val="auto"/>
        </w:rPr>
        <w:t>COMPULSORY COPYRIGHT. Cable television systems are subject to the Copyright Act of 1976 which provides a compulsory license for carriage of distant broadcast signals at prescribed rates. No license fee is charged by the copyright holder for retransmission of broadcast signals which are "local" to the communities served by the cable system. The FCC has recommended to Congress that it eliminate the compulsory license for retransmission of both distant and local signals, requiring instead that approval be received from the copyright holders for retransmission. If the compulsory license is repealed, Viacom Cable could incur additional costs for its carriage of programming of certain broadcast stations and if some broadcast stations are not carried, customer satisfaction with cable service may be adversely affected until satisfactory replacement programming is obtained.</w:t>
      </w:r>
    </w:p>
    <w:p>
      <w:pPr>
        <w:spacing w:after="0" w:line="185" w:lineRule="exact"/>
        <w:rPr>
          <w:sz w:val="20"/>
          <w:szCs w:val="20"/>
          <w:color w:val="auto"/>
        </w:rPr>
      </w:pPr>
    </w:p>
    <w:p>
      <w:pPr>
        <w:ind w:right="2739" w:firstLine="421"/>
        <w:spacing w:after="0" w:line="237" w:lineRule="auto"/>
        <w:rPr>
          <w:sz w:val="20"/>
          <w:szCs w:val="20"/>
          <w:color w:val="auto"/>
        </w:rPr>
      </w:pPr>
      <w:r>
        <w:rPr>
          <w:rFonts w:ascii="Courier New" w:cs="Courier New" w:eastAsia="Courier New" w:hAnsi="Courier New"/>
          <w:sz w:val="18"/>
          <w:szCs w:val="18"/>
          <w:color w:val="auto"/>
        </w:rPr>
        <w:t>Pending legislation in the 103rd Congress includes a bill (H.R.759) to affirm the application of the compulsory license to MMDS and other alternative video transmission technologies; a bill (H.R.1103) to eliminate the sunset provision of the Satellite Home Viewer Act and continue the application of the compulsory license to satellite carriers that transmit to home dish owners; and a bill (H.R.12) to provide for payment by television broadcasters to program producers where a broadcaster exercises its Retransmission Consent rights enacted in the 1992 Cable Act and thereby obtains payment from a cable operator for retransmission of the broadcaster's signal.</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and Local Regulation.</w:t>
      </w:r>
    </w:p>
    <w:p>
      <w:pPr>
        <w:spacing w:after="0" w:line="207" w:lineRule="exact"/>
        <w:rPr>
          <w:sz w:val="20"/>
          <w:szCs w:val="20"/>
          <w:color w:val="auto"/>
        </w:rPr>
      </w:pPr>
    </w:p>
    <w:p>
      <w:pPr>
        <w:ind w:right="2839" w:firstLine="421"/>
        <w:spacing w:after="0" w:line="275" w:lineRule="auto"/>
        <w:rPr>
          <w:sz w:val="20"/>
          <w:szCs w:val="20"/>
          <w:color w:val="auto"/>
        </w:rPr>
      </w:pPr>
      <w:r>
        <w:rPr>
          <w:rFonts w:ascii="Courier New" w:cs="Courier New" w:eastAsia="Courier New" w:hAnsi="Courier New"/>
          <w:sz w:val="16"/>
          <w:szCs w:val="16"/>
          <w:color w:val="auto"/>
        </w:rPr>
        <w:t>State and local regulation of cable is exercised primarily through the franchising process under which a company enters into a franchise agreement with the appropriate franchising authority and agrees to abide by applicable ordinances. The 1992 Cable Act permits the FCC to</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 - 28</w:t>
      </w:r>
    </w:p>
    <w:p>
      <w:pPr>
        <w:sectPr>
          <w:pgSz w:w="11900" w:h="16838" w:orient="portrait"/>
          <w:cols w:equalWidth="0" w:num="1">
            <w:col w:w="10219"/>
          </w:cols>
          <w:pgMar w:left="240" w:top="723" w:right="1440" w:bottom="1440" w:gutter="0" w:footer="0" w:header="0"/>
        </w:sectPr>
      </w:pPr>
    </w:p>
    <w:bookmarkStart w:id="30" w:name="page31"/>
    <w:bookmarkEnd w:id="30"/>
    <w:p>
      <w:pPr>
        <w:ind w:right="3039"/>
        <w:spacing w:after="0" w:line="237" w:lineRule="auto"/>
        <w:rPr>
          <w:sz w:val="20"/>
          <w:szCs w:val="20"/>
          <w:color w:val="auto"/>
        </w:rPr>
      </w:pPr>
      <w:r>
        <w:rPr>
          <w:rFonts w:ascii="Courier New" w:cs="Courier New" w:eastAsia="Courier New" w:hAnsi="Courier New"/>
          <w:sz w:val="18"/>
          <w:szCs w:val="18"/>
          <w:color w:val="auto"/>
        </w:rPr>
        <w:t>broaden the regulatory powers of the franchising authorities, particularly in the areas of rate regulation and customer service standards. (See "BUSINESS --- Regulation -- Viacom Cable -- Federal Regulation")</w:t>
      </w:r>
    </w:p>
    <w:p>
      <w:pPr>
        <w:spacing w:after="0" w:line="207" w:lineRule="exact"/>
        <w:rPr>
          <w:sz w:val="20"/>
          <w:szCs w:val="20"/>
          <w:color w:val="auto"/>
        </w:rPr>
      </w:pPr>
    </w:p>
    <w:p>
      <w:pPr>
        <w:ind w:right="2739" w:firstLine="421"/>
        <w:spacing w:after="0" w:line="271" w:lineRule="auto"/>
        <w:rPr>
          <w:sz w:val="20"/>
          <w:szCs w:val="20"/>
          <w:color w:val="auto"/>
        </w:rPr>
      </w:pPr>
      <w:r>
        <w:rPr>
          <w:rFonts w:ascii="Courier New" w:cs="Courier New" w:eastAsia="Courier New" w:hAnsi="Courier New"/>
          <w:sz w:val="16"/>
          <w:szCs w:val="16"/>
          <w:color w:val="auto"/>
        </w:rPr>
        <w:t>Under the 1984 Act, franchising authorities may control only cable-related equipment and facilities requirements and may not require the carriage of specific program services. However, if the Must Carry provisions of the 1992 Cable Act are upheld by the Supreme Court, federal law (as implemented by FCC regulations) will mandate the carriage of both commercial and non-commercial television broadcast stations "local" to the area in which a cable system is located. (See "BUSINESS -- Regulation -- Viacom Cable -- Federal Regulation")</w:t>
      </w:r>
    </w:p>
    <w:p>
      <w:pPr>
        <w:spacing w:after="0" w:line="186" w:lineRule="exact"/>
        <w:rPr>
          <w:sz w:val="20"/>
          <w:szCs w:val="20"/>
          <w:color w:val="auto"/>
        </w:rPr>
      </w:pPr>
    </w:p>
    <w:p>
      <w:pPr>
        <w:ind w:right="2739" w:firstLine="421"/>
        <w:spacing w:after="0" w:line="237" w:lineRule="auto"/>
        <w:rPr>
          <w:sz w:val="20"/>
          <w:szCs w:val="20"/>
          <w:color w:val="auto"/>
        </w:rPr>
      </w:pPr>
      <w:r>
        <w:rPr>
          <w:rFonts w:ascii="Courier New" w:cs="Courier New" w:eastAsia="Courier New" w:hAnsi="Courier New"/>
          <w:sz w:val="18"/>
          <w:szCs w:val="18"/>
          <w:color w:val="auto"/>
        </w:rPr>
        <w:t>The 1984 Act, as amended, guarantees cable operators due process rights in franchise renewal proceedings and provides that franchises will be renewed unless the cable operator fails to meet one or more enumerated statutory criteria. The Company's current franchises expire on various dates through 2017. During the five-year period 1994 through 1998, franchises having an aggregate of approximately 230,081 customers (as of October 31, 1993) will expire unless renewed. The Company expects its franchises to be renewed.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VIACOM NETWORKS</w:t>
      </w:r>
    </w:p>
    <w:p>
      <w:pPr>
        <w:spacing w:after="0" w:line="207" w:lineRule="exact"/>
        <w:rPr>
          <w:sz w:val="20"/>
          <w:szCs w:val="20"/>
          <w:color w:val="auto"/>
        </w:rPr>
      </w:pPr>
    </w:p>
    <w:p>
      <w:pPr>
        <w:ind w:right="3159" w:firstLine="421"/>
        <w:spacing w:after="0" w:line="235" w:lineRule="auto"/>
        <w:rPr>
          <w:sz w:val="20"/>
          <w:szCs w:val="20"/>
          <w:color w:val="auto"/>
        </w:rPr>
      </w:pPr>
      <w:r>
        <w:rPr>
          <w:rFonts w:ascii="Courier New" w:cs="Courier New" w:eastAsia="Courier New" w:hAnsi="Courier New"/>
          <w:sz w:val="18"/>
          <w:szCs w:val="18"/>
          <w:color w:val="auto"/>
        </w:rPr>
        <w:t>1992 CABLE ACT. See "BUSINESS -- Regulation -- Viacom Cable -- Federal Regulation -- 1992 Cable Act".</w:t>
      </w:r>
    </w:p>
    <w:p>
      <w:pPr>
        <w:spacing w:after="0" w:line="208" w:lineRule="exact"/>
        <w:rPr>
          <w:sz w:val="20"/>
          <w:szCs w:val="20"/>
          <w:color w:val="auto"/>
        </w:rPr>
      </w:pPr>
    </w:p>
    <w:p>
      <w:pPr>
        <w:ind w:right="2739" w:firstLine="421"/>
        <w:spacing w:after="0" w:line="238" w:lineRule="auto"/>
        <w:rPr>
          <w:sz w:val="20"/>
          <w:szCs w:val="20"/>
          <w:color w:val="auto"/>
        </w:rPr>
      </w:pPr>
      <w:r>
        <w:rPr>
          <w:rFonts w:ascii="Courier New" w:cs="Courier New" w:eastAsia="Courier New" w:hAnsi="Courier New"/>
          <w:sz w:val="18"/>
          <w:szCs w:val="18"/>
          <w:color w:val="auto"/>
        </w:rPr>
        <w:t>MODIFICATION OF FINAL JUDGMENT. The Modification of Final Judgment (the "MFJ") is the consent decree pursuant to which AT&amp;T was reorganized and was required to divest its local telephone service monopolies. As a result, seven RHCs were formed (including NYNEX) comprised of operating companies within their regions (the BOCs). In addition, that portion of the continental United States served by the BOCs was divided into geographical areas termed Local Access and Transport Areas ("LATAs"). The MFJ restricts the RHCs, the BOCs and their affiliates from engaging in inter-LATA telecommunications services and from manufacturing telecommunications products. As a result of NYNEX's investment in Viacom Inc., the Company could arguably be considered an affiliate of an RHC for MFJ purposes. As a result, the Company transferred certain of Viacom Networks' and other operations and properties to an affiliated entity which will be consolidated into the Company for financial reporting purposes. Neither the transfer nor the operations of the affiliate as an entity separate from the Company will have a material effect on the financial condition or the results of operations of the Company. However, should the MFJ restrictions be modified or waived, the Company intends to retransfer the assets and operations and any future appreciation in the value of such assets after such retransfer will be for the benefit of the holders of Viacom Common Stock.</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VIACOM BROADCASTING</w:t>
      </w:r>
    </w:p>
    <w:p>
      <w:pPr>
        <w:spacing w:after="0" w:line="207" w:lineRule="exact"/>
        <w:rPr>
          <w:sz w:val="20"/>
          <w:szCs w:val="20"/>
          <w:color w:val="auto"/>
        </w:rPr>
      </w:pPr>
    </w:p>
    <w:p>
      <w:pPr>
        <w:ind w:right="2939" w:firstLine="421"/>
        <w:spacing w:after="0" w:line="235" w:lineRule="auto"/>
        <w:rPr>
          <w:sz w:val="20"/>
          <w:szCs w:val="20"/>
          <w:color w:val="auto"/>
        </w:rPr>
      </w:pPr>
      <w:r>
        <w:rPr>
          <w:rFonts w:ascii="Courier New" w:cs="Courier New" w:eastAsia="Courier New" w:hAnsi="Courier New"/>
          <w:sz w:val="18"/>
          <w:szCs w:val="18"/>
          <w:color w:val="auto"/>
        </w:rPr>
        <w:t>Television and radio broadcasting are subject to the jurisdiction of the FCC pursuant to the Communications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 - 29</w:t>
      </w:r>
    </w:p>
    <w:p>
      <w:pPr>
        <w:sectPr>
          <w:pgSz w:w="11900" w:h="16838" w:orient="portrait"/>
          <w:cols w:equalWidth="0" w:num="1">
            <w:col w:w="10219"/>
          </w:cols>
          <w:pgMar w:left="240" w:top="723" w:right="1440" w:bottom="1440" w:gutter="0" w:footer="0" w:header="0"/>
        </w:sectPr>
      </w:pPr>
    </w:p>
    <w:bookmarkStart w:id="31" w:name="page32"/>
    <w:bookmarkEnd w:id="31"/>
    <w:p>
      <w:pPr>
        <w:ind w:right="2739" w:firstLine="421"/>
        <w:spacing w:after="0" w:line="237" w:lineRule="auto"/>
        <w:rPr>
          <w:sz w:val="20"/>
          <w:szCs w:val="20"/>
          <w:color w:val="auto"/>
        </w:rPr>
      </w:pPr>
      <w:r>
        <w:rPr>
          <w:rFonts w:ascii="Courier New" w:cs="Courier New" w:eastAsia="Courier New" w:hAnsi="Courier New"/>
          <w:sz w:val="18"/>
          <w:szCs w:val="18"/>
          <w:color w:val="auto"/>
        </w:rPr>
        <w:t>THE COMMUNICATIONS ACT. The Communications Act authorizes the FCC: to issue, renew, revoke or modify broadcast licenses; to regulate the radio frequency, operating power and location of stations; to approve the transmitting equipment used by stations; to adopt rules and regulations necessary to carry out the provisions of the Communications Act; and to impose certain penalties for violations of the Communications Act and the FCC's regulations governing the day-to-day operations of television and radio stations.</w:t>
      </w:r>
    </w:p>
    <w:p>
      <w:pPr>
        <w:spacing w:after="0" w:line="212" w:lineRule="exact"/>
        <w:rPr>
          <w:sz w:val="20"/>
          <w:szCs w:val="20"/>
          <w:color w:val="auto"/>
        </w:rPr>
      </w:pPr>
    </w:p>
    <w:p>
      <w:pPr>
        <w:ind w:right="2739" w:firstLine="421"/>
        <w:spacing w:after="0" w:line="270" w:lineRule="auto"/>
        <w:rPr>
          <w:sz w:val="20"/>
          <w:szCs w:val="20"/>
          <w:color w:val="auto"/>
        </w:rPr>
      </w:pPr>
      <w:r>
        <w:rPr>
          <w:rFonts w:ascii="Courier New" w:cs="Courier New" w:eastAsia="Courier New" w:hAnsi="Courier New"/>
          <w:sz w:val="16"/>
          <w:szCs w:val="16"/>
          <w:color w:val="auto"/>
        </w:rPr>
        <w:t>BROADCAST LICENSES. Broadcast station licenses (both television and radio) are ordinarily granted for the maximum allowable period of five years in the case of television and seven years in the case of radio, and are renewable for additional five-year or seven-year periods upon application and approval. Such licenses may be revoked by the FCC for serious violations of its regulations. Petitions to deny renewal of a license or competing applications may be filed for the frequency used by a renewal applicant. If a petition to deny is filed, the FCC will determine whether renewal is in the public interest based upon presentations made by the licensee and the petitioner. If a competing application is filed, a comparative hearing is held to determine which applicant should be granted the license. In the absence of egregious and willful violations of FCC rules, license holders, as a practical matter, can generally expect renewal by the FCC.</w:t>
      </w:r>
    </w:p>
    <w:p>
      <w:pPr>
        <w:spacing w:after="0" w:line="388" w:lineRule="exact"/>
        <w:rPr>
          <w:sz w:val="20"/>
          <w:szCs w:val="20"/>
          <w:color w:val="auto"/>
        </w:rPr>
      </w:pPr>
    </w:p>
    <w:p>
      <w:pPr>
        <w:ind w:right="2739" w:firstLine="421"/>
        <w:spacing w:after="0" w:line="237" w:lineRule="auto"/>
        <w:rPr>
          <w:sz w:val="20"/>
          <w:szCs w:val="20"/>
          <w:color w:val="auto"/>
        </w:rPr>
      </w:pPr>
      <w:r>
        <w:rPr>
          <w:rFonts w:ascii="Courier New" w:cs="Courier New" w:eastAsia="Courier New" w:hAnsi="Courier New"/>
          <w:sz w:val="18"/>
          <w:szCs w:val="18"/>
          <w:color w:val="auto"/>
        </w:rPr>
        <w:t>The licenses for the Company's television stations expire as follows: WVIT-TV on April 1, 1994; each of WNYT-TV and WHEC-TV on June 1, 1994; KSLA-TV on June 1, 1997; and KMOV-TV on February 1, 1998. The Company's licenses for its radio stations expire as follows: WMZQ-AM-FM, WCPT-AM and WCXR-FM on October 1, 1995; WLTI-FM on October 1, 1996; WLIT-FM on December 1, 1996; KSRI-FM and KSRY-FM on August 1, 1997; KYSR-FM and KXEZ-FM on December 1, 1997; each of KBSG-AM-FM and KNDD-FM on February 1, 1998; and WLTW-FM on June 1, 1998. The Company has applied for renewal of and expects that the licenses which expire in 1994 will be renewed.</w:t>
      </w:r>
    </w:p>
    <w:p>
      <w:pPr>
        <w:spacing w:after="0" w:line="215" w:lineRule="exact"/>
        <w:rPr>
          <w:sz w:val="20"/>
          <w:szCs w:val="20"/>
          <w:color w:val="auto"/>
        </w:rPr>
      </w:pPr>
    </w:p>
    <w:p>
      <w:pPr>
        <w:ind w:right="2739" w:firstLine="421"/>
        <w:spacing w:after="0" w:line="268" w:lineRule="auto"/>
        <w:rPr>
          <w:sz w:val="20"/>
          <w:szCs w:val="20"/>
          <w:color w:val="auto"/>
        </w:rPr>
      </w:pPr>
      <w:r>
        <w:rPr>
          <w:rFonts w:ascii="Courier New" w:cs="Courier New" w:eastAsia="Courier New" w:hAnsi="Courier New"/>
          <w:sz w:val="16"/>
          <w:szCs w:val="16"/>
          <w:color w:val="auto"/>
        </w:rPr>
        <w:t>The Communications Act prohibits the assignment of a license or the transfer of control of a license without prior approval of the FCC.</w:t>
      </w:r>
    </w:p>
    <w:p>
      <w:pPr>
        <w:ind w:right="2839"/>
        <w:spacing w:after="0" w:line="271" w:lineRule="auto"/>
        <w:rPr>
          <w:sz w:val="20"/>
          <w:szCs w:val="20"/>
          <w:color w:val="auto"/>
        </w:rPr>
      </w:pPr>
      <w:r>
        <w:rPr>
          <w:rFonts w:ascii="Courier New" w:cs="Courier New" w:eastAsia="Courier New" w:hAnsi="Courier New"/>
          <w:sz w:val="16"/>
          <w:szCs w:val="16"/>
          <w:color w:val="auto"/>
        </w:rPr>
        <w:t>The Communications Act also provides that no license may be held by a corporation if (1) any officer or director is an alien, or (2) more than 20% of the voting stock is owned of record or voted by aliens or is subject to control by aliens. In addition, no corporation may hold the voting stock of another corporation owning broadcast licenses if any of the officers or directors of such parent corporation are aliens or more than 25% of the voting stock of such parent corporation is owned of record or voted by aliens or is subject to control by aliens, unless specific FCC authorization is obtained.</w:t>
      </w:r>
    </w:p>
    <w:p>
      <w:pPr>
        <w:spacing w:after="0" w:line="184" w:lineRule="exact"/>
        <w:rPr>
          <w:sz w:val="20"/>
          <w:szCs w:val="20"/>
          <w:color w:val="auto"/>
        </w:rPr>
      </w:pPr>
    </w:p>
    <w:p>
      <w:pPr>
        <w:ind w:right="2739" w:firstLine="421"/>
        <w:spacing w:after="0" w:line="268" w:lineRule="auto"/>
        <w:rPr>
          <w:sz w:val="20"/>
          <w:szCs w:val="20"/>
          <w:color w:val="auto"/>
        </w:rPr>
      </w:pPr>
      <w:r>
        <w:rPr>
          <w:rFonts w:ascii="Courier New" w:cs="Courier New" w:eastAsia="Courier New" w:hAnsi="Courier New"/>
          <w:sz w:val="16"/>
          <w:szCs w:val="16"/>
          <w:color w:val="auto"/>
        </w:rPr>
        <w:t>MUST CARRY/RETRANSMISSION CONSENT. The 1992 Cable Act contains provisions which grant certain Must Carry rights to commercial broadcast television stations that are "local" to communities served by a cable system, including the right to elect either to require a cable operator to carry the station pursuant to the Must Carry provisions of the Act or to require that the cable operator secure the station's Retransmission Consent on a negotiated basis before the station can be carried (i.e., retransmitted) on the cable system. Each of the</w:t>
      </w:r>
    </w:p>
    <w:p>
      <w:pPr>
        <w:ind w:left="960"/>
        <w:spacing w:after="0" w:line="235"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Company's television stations elected in 1993 to negotiate with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 - 30</w:t>
      </w:r>
    </w:p>
    <w:p>
      <w:pPr>
        <w:sectPr>
          <w:pgSz w:w="11900" w:h="16838" w:orient="portrait"/>
          <w:cols w:equalWidth="0" w:num="1">
            <w:col w:w="10219"/>
          </w:cols>
          <w:pgMar w:left="240" w:top="723" w:right="1440" w:bottom="1440" w:gutter="0" w:footer="0" w:header="0"/>
        </w:sectPr>
      </w:pPr>
    </w:p>
    <w:bookmarkStart w:id="32" w:name="page33"/>
    <w:bookmarkEnd w:id="32"/>
    <w:p>
      <w:pPr>
        <w:ind w:right="2739"/>
        <w:spacing w:after="0" w:line="269" w:lineRule="auto"/>
        <w:rPr>
          <w:sz w:val="20"/>
          <w:szCs w:val="20"/>
          <w:color w:val="auto"/>
        </w:rPr>
      </w:pPr>
      <w:r>
        <w:rPr>
          <w:rFonts w:ascii="Courier New" w:cs="Courier New" w:eastAsia="Courier New" w:hAnsi="Courier New"/>
          <w:sz w:val="16"/>
          <w:szCs w:val="16"/>
          <w:color w:val="auto"/>
        </w:rPr>
        <w:t>local cable systems for the systems' right to retransmit the station's signal. All such negotiations were successfully completed assuring continued carriage of each station on all of their local cable systems at least through December 1996. The Must Carry Rules were challenged by cable program services and cable system operators. In April 1993, a District of Columbia three judge court upheld the rules against a facial First Amendment attack. The U.S. Supreme Court accepted review; oral argument was heard in January 1994 and a decision is expected by July 1994. If the Must Carry Rules are determined to be unconstitutional, the Company's television stations do not expect to be materially affected since they expect to continue to obtain carriage pursuant to Retransmission Consent negotiations. If a station is not carried by a cable system in its area, that station could experience a decline in revenues. The Company's television stations have traditionally been carried prior to the institution of Retransmission Consent and in the absence of Must Carry. (See "BUSINESS -- Regulation</w:t>
      </w:r>
    </w:p>
    <w:p>
      <w:pPr>
        <w:spacing w:after="0" w:line="194" w:lineRule="exact"/>
        <w:rPr>
          <w:sz w:val="20"/>
          <w:szCs w:val="20"/>
          <w:color w:val="auto"/>
        </w:rPr>
      </w:pPr>
    </w:p>
    <w:p>
      <w:pPr>
        <w:ind w:right="2739" w:firstLine="8"/>
        <w:spacing w:after="0" w:line="235" w:lineRule="auto"/>
        <w:tabs>
          <w:tab w:leader="none" w:pos="21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Viacom Cable Television -- Must Carry/Retransmission Consent and Compulsory Copyright")</w:t>
      </w:r>
    </w:p>
    <w:p>
      <w:pPr>
        <w:spacing w:after="0" w:line="208" w:lineRule="exact"/>
        <w:rPr>
          <w:sz w:val="20"/>
          <w:szCs w:val="20"/>
          <w:color w:val="auto"/>
        </w:rPr>
      </w:pPr>
    </w:p>
    <w:p>
      <w:pPr>
        <w:ind w:right="2739" w:firstLine="421"/>
        <w:spacing w:after="0" w:line="271" w:lineRule="auto"/>
        <w:rPr>
          <w:sz w:val="20"/>
          <w:szCs w:val="20"/>
          <w:color w:val="auto"/>
        </w:rPr>
      </w:pPr>
      <w:r>
        <w:rPr>
          <w:rFonts w:ascii="Courier New" w:cs="Courier New" w:eastAsia="Courier New" w:hAnsi="Courier New"/>
          <w:sz w:val="16"/>
          <w:szCs w:val="16"/>
          <w:color w:val="auto"/>
        </w:rPr>
        <w:t>RESTRICTIONS ON BROADCAST ADVERTISING. In past Congressional sessions, committees of Congress examined proposals for legislation that would eliminate or severely restrict advertising of beer and wine either through direct restrictions on content or through elimination or reduction of the deductibility of expenses for such advertising under federal tax laws. Such proposals generated substantial opposition, but it is possible that similar proposals will be reintroduced in Congress. The elimination of all beer and wine advertising would have an adverse effect on the revenues of the Company's television and radio stations.</w:t>
      </w:r>
    </w:p>
    <w:p>
      <w:pPr>
        <w:spacing w:after="0" w:line="184" w:lineRule="exact"/>
        <w:rPr>
          <w:sz w:val="20"/>
          <w:szCs w:val="20"/>
          <w:color w:val="auto"/>
        </w:rPr>
      </w:pPr>
    </w:p>
    <w:p>
      <w:pPr>
        <w:ind w:right="3039" w:firstLine="421"/>
        <w:spacing w:after="0" w:line="237" w:lineRule="auto"/>
        <w:rPr>
          <w:sz w:val="20"/>
          <w:szCs w:val="20"/>
          <w:color w:val="auto"/>
        </w:rPr>
      </w:pPr>
      <w:r>
        <w:rPr>
          <w:rFonts w:ascii="Courier New" w:cs="Courier New" w:eastAsia="Courier New" w:hAnsi="Courier New"/>
          <w:sz w:val="18"/>
          <w:szCs w:val="18"/>
          <w:color w:val="auto"/>
        </w:rPr>
        <w:t>Congress may again take up Campaign Finance Reform legislation similar to that which was passed by the 102nd Congress but vetoed by President Bush. Such legislation could reduce revenues of the Company's television and radio stations derived from political advertising by candidates for certain public offices.</w:t>
      </w:r>
    </w:p>
    <w:p>
      <w:pPr>
        <w:spacing w:after="0" w:line="209" w:lineRule="exact"/>
        <w:rPr>
          <w:sz w:val="20"/>
          <w:szCs w:val="20"/>
          <w:color w:val="auto"/>
        </w:rPr>
      </w:pPr>
    </w:p>
    <w:p>
      <w:pPr>
        <w:ind w:right="2739" w:firstLine="421"/>
        <w:spacing w:after="0" w:line="238" w:lineRule="auto"/>
        <w:rPr>
          <w:sz w:val="20"/>
          <w:szCs w:val="20"/>
          <w:color w:val="auto"/>
        </w:rPr>
      </w:pPr>
      <w:r>
        <w:rPr>
          <w:rFonts w:ascii="Courier New" w:cs="Courier New" w:eastAsia="Courier New" w:hAnsi="Courier New"/>
          <w:sz w:val="18"/>
          <w:szCs w:val="18"/>
          <w:color w:val="auto"/>
        </w:rPr>
        <w:t>On April 9, 1991, the FCC adopted regulations to implement the Children's Television Act of 1990 (the "Children's Television Act") which limit the amount of advertising in children's programming, including a prohibition on children's programming which contains characters that are based on products advertised on such programs. The FCC will take into account the efforts made by broadcasters to meet the educational and informational needs of children as part of assessing the broadcaster's record of performance in the public interest before granting renewal of broadcast licenses. The impact, if any, of these regulations on the Company's television stations is not material. The FCC has instituted an inquiry into the manner in which TV stations have been complying with the Children's Television Act. Additionally, the FCC is considering whether to impose limits on the amount of advertising time which a television station can sell during any broadcast hour or part thereof.</w:t>
      </w:r>
    </w:p>
    <w:p>
      <w:pPr>
        <w:spacing w:after="0" w:line="208"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OWNERSHIP LIMITATIONS. The FCC has placed limits on the number of radio and television stations in which one entity can own an "attributable interest". The Company currently owns radio stations below those ownership limits and, with the transfer of control of licenses held by Paramount, owns the maximum permitted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 - 31</w:t>
      </w:r>
    </w:p>
    <w:p>
      <w:pPr>
        <w:sectPr>
          <w:pgSz w:w="11900" w:h="16838" w:orient="portrait"/>
          <w:cols w:equalWidth="0" w:num="1">
            <w:col w:w="10219"/>
          </w:cols>
          <w:pgMar w:left="240" w:top="723" w:right="1440" w:bottom="1440" w:gutter="0" w:footer="0" w:header="0"/>
        </w:sectPr>
      </w:pPr>
    </w:p>
    <w:bookmarkStart w:id="33" w:name="page34"/>
    <w:bookmarkEnd w:id="33"/>
    <w:p>
      <w:pPr>
        <w:ind w:right="2739"/>
        <w:spacing w:after="0" w:line="269" w:lineRule="auto"/>
        <w:rPr>
          <w:sz w:val="20"/>
          <w:szCs w:val="20"/>
          <w:color w:val="auto"/>
        </w:rPr>
      </w:pPr>
      <w:r>
        <w:rPr>
          <w:rFonts w:ascii="Courier New" w:cs="Courier New" w:eastAsia="Courier New" w:hAnsi="Courier New"/>
          <w:sz w:val="16"/>
          <w:szCs w:val="16"/>
          <w:color w:val="auto"/>
        </w:rPr>
        <w:t>television stations. The FCC has adopted a number of rules designed to prevent monopoly or undue concentration of control of the media of mass communications. In 1992 the FCC amended its regulations to permit a single entity to have an "attributable" ownership or management interest in up to 18 AM and 18 FM stations nationwide (20 AM and 20 FM beginning in 1994), including multiple AM and/or FM stations licensed to serve the same market. Minority-controlled broadcasters can own an additional three AM and three FM stations. The limit on the number of such multiple stations in a particular market which a single entity may own or control depends upon the total number of AM and/or FM stations in that market, provided that, at the time of purchase, the combined audience share of such multiple stations does not exceed 25%. With respect to television, the FCC's rules limit the maximum number of stations nationwide in which one entity can have an "attributable" ownership or management interest, to that number which serves up to 25% of U.S. television households, provided, however, that (except in limited circumstances) the total number of stations will not exceed 12. Unlike certain of the new radio rules, there is now no allowance for ownership of multiple television stations licensed to serve the same market, although the FCC is examining the issue. The FCC also permits radio stations to broker the programming and sales inventories of their stations to other radio stations within the same area, subject to various restrictions, so long as ultimate operational control and ownership is retained and exercised by the licensee. Such brokerage agreements function, as a practical matter, to effect a consolidation of competitive radio broadcast stations within a market in much the same manner as multiple ownership of radio facilities by one entity. Similar brokerage agreements among television stations are being implemented in a smaller number of markets than in radio and are not now subject to any explicit FCC regulations.</w:t>
      </w:r>
    </w:p>
    <w:p>
      <w:pPr>
        <w:spacing w:after="0" w:line="200" w:lineRule="exact"/>
        <w:rPr>
          <w:sz w:val="20"/>
          <w:szCs w:val="20"/>
          <w:color w:val="auto"/>
        </w:rPr>
      </w:pPr>
    </w:p>
    <w:p>
      <w:pPr>
        <w:spacing w:after="0" w:line="392" w:lineRule="exact"/>
        <w:rPr>
          <w:sz w:val="20"/>
          <w:szCs w:val="20"/>
          <w:color w:val="auto"/>
        </w:rPr>
      </w:pPr>
    </w:p>
    <w:p>
      <w:pPr>
        <w:ind w:right="2839" w:firstLine="421"/>
        <w:spacing w:after="0" w:line="268" w:lineRule="auto"/>
        <w:rPr>
          <w:sz w:val="20"/>
          <w:szCs w:val="20"/>
          <w:color w:val="auto"/>
        </w:rPr>
      </w:pPr>
      <w:r>
        <w:rPr>
          <w:rFonts w:ascii="Courier New" w:cs="Courier New" w:eastAsia="Courier New" w:hAnsi="Courier New"/>
          <w:sz w:val="16"/>
          <w:szCs w:val="16"/>
          <w:color w:val="auto"/>
        </w:rPr>
        <w:t>The FCC's ownership limitations also prohibit a single entity from owning multiple "same service" (e.g., TV, AM or FM) stations licensed</w:t>
      </w:r>
    </w:p>
    <w:p>
      <w:pPr>
        <w:ind w:left="338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to serve different markets if the broadcast signals of such stations overlap, to a specified measurable degree. The maximum number of commonly owned stations serving neighboring markets whose signals can overlap is the same as that maximum number of commonly owned stations which an entity can own or control in a single market. Additional ownership prohibitions preclude common ownership in the same market of</w:t>
      </w:r>
    </w:p>
    <w:p>
      <w:pPr>
        <w:spacing w:after="0" w:line="1" w:lineRule="exact"/>
        <w:rPr>
          <w:sz w:val="20"/>
          <w:szCs w:val="20"/>
          <w:color w:val="auto"/>
        </w:rPr>
      </w:pPr>
    </w:p>
    <w:p>
      <w:pPr>
        <w:ind w:right="2739" w:firstLine="8"/>
        <w:spacing w:after="0" w:line="238"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television stations and cable systems; (ii) television or radio stations and newspapers of general circulation; and (iii) radio and television stations. Radio-television cross-ownership prohibitions are subject to waiver by the FCC on a case-by-case basis. The Company operates two AM and two FM stations as well as a television station serving Washington, D.C. Ownership of the television station (WDCA) was obtained when Viacom Inc. acquired majority ownership of Paramount on March 11, 1994. Pursuant to the FCC's order consenting to the transfer of control of the broadcast licenses of Paramount to the Company, the Company has undertaken to dispose of one AM and one FM radio station serving Washington, D.C. no later than September 11, 1995. The FCC's previous prohibition on a national television network's (ABC, CBS, and NBC) owning or operating cable systems has been repealed but with certain limits as to the number of homes which network-owned cable systems can pass on a national and local basis.</w:t>
      </w:r>
    </w:p>
    <w:p>
      <w:pPr>
        <w:spacing w:after="0" w:line="202" w:lineRule="exact"/>
        <w:rPr>
          <w:sz w:val="20"/>
          <w:szCs w:val="20"/>
          <w:color w:val="auto"/>
        </w:rPr>
      </w:pPr>
    </w:p>
    <w:p>
      <w:pPr>
        <w:ind w:left="420"/>
        <w:spacing w:after="0"/>
        <w:tabs>
          <w:tab w:leader="none" w:pos="3140" w:val="left"/>
        </w:tabs>
        <w:rPr>
          <w:sz w:val="20"/>
          <w:szCs w:val="20"/>
          <w:color w:val="auto"/>
        </w:rPr>
      </w:pPr>
      <w:r>
        <w:rPr>
          <w:rFonts w:ascii="Courier New" w:cs="Courier New" w:eastAsia="Courier New" w:hAnsi="Courier New"/>
          <w:sz w:val="18"/>
          <w:szCs w:val="18"/>
          <w:color w:val="auto"/>
        </w:rPr>
        <w:t>TERRITORIAL EXCLUSIVITY.</w:t>
      </w:r>
      <w:r>
        <w:rPr>
          <w:sz w:val="20"/>
          <w:szCs w:val="20"/>
          <w:color w:val="auto"/>
        </w:rPr>
        <w:tab/>
      </w:r>
      <w:r>
        <w:rPr>
          <w:rFonts w:ascii="Courier New" w:cs="Courier New" w:eastAsia="Courier New" w:hAnsi="Courier New"/>
          <w:sz w:val="16"/>
          <w:szCs w:val="16"/>
          <w:color w:val="auto"/>
        </w:rPr>
        <w:t>The FCC is considering changes to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 - 32</w:t>
      </w:r>
    </w:p>
    <w:p>
      <w:pPr>
        <w:sectPr>
          <w:pgSz w:w="11900" w:h="16838" w:orient="portrait"/>
          <w:cols w:equalWidth="0" w:num="1">
            <w:col w:w="10219"/>
          </w:cols>
          <w:pgMar w:left="240" w:top="723" w:right="1440" w:bottom="1440" w:gutter="0" w:footer="0" w:header="0"/>
        </w:sectPr>
      </w:pPr>
    </w:p>
    <w:bookmarkStart w:id="34" w:name="page35"/>
    <w:bookmarkEnd w:id="34"/>
    <w:p>
      <w:pPr>
        <w:ind w:right="2739"/>
        <w:spacing w:after="0" w:line="237" w:lineRule="auto"/>
        <w:rPr>
          <w:sz w:val="20"/>
          <w:szCs w:val="20"/>
          <w:color w:val="auto"/>
        </w:rPr>
      </w:pPr>
      <w:r>
        <w:rPr>
          <w:rFonts w:ascii="Courier New" w:cs="Courier New" w:eastAsia="Courier New" w:hAnsi="Courier New"/>
          <w:sz w:val="18"/>
          <w:szCs w:val="18"/>
          <w:color w:val="auto"/>
        </w:rPr>
        <w:t>non-network program territorial exclusivity rules which provide that a broadcaster, with certain limited exceptions, cannot obtain exclusivity to syndicated programming as against other broadcast stations beyond a 35-mile radius from its city of license. The proposed rule would permit expansion of the 35-mile exclusivity area thereby increasing the protection given the programming contracted for by a broadcaster. The Company cannot predict the effect, if any, that any change of this rule may have on its broadcast operations.</w:t>
      </w:r>
    </w:p>
    <w:p>
      <w:pPr>
        <w:spacing w:after="0" w:line="212" w:lineRule="exact"/>
        <w:rPr>
          <w:sz w:val="20"/>
          <w:szCs w:val="20"/>
          <w:color w:val="auto"/>
        </w:rPr>
      </w:pPr>
    </w:p>
    <w:p>
      <w:pPr>
        <w:ind w:right="2739" w:firstLine="421"/>
        <w:spacing w:after="0" w:line="269" w:lineRule="auto"/>
        <w:rPr>
          <w:sz w:val="20"/>
          <w:szCs w:val="20"/>
          <w:color w:val="auto"/>
        </w:rPr>
      </w:pPr>
      <w:r>
        <w:rPr>
          <w:rFonts w:ascii="Courier New" w:cs="Courier New" w:eastAsia="Courier New" w:hAnsi="Courier New"/>
          <w:sz w:val="16"/>
          <w:szCs w:val="16"/>
          <w:color w:val="auto"/>
        </w:rPr>
        <w:t>HDTV. The FCC is considering technical standards to be adopted for the transmission of high definition television ("HDTV"), an advanced television system which enhances picture and sound quality, as well as the methods and timetable for implementation of an HDTV transmission standard by broadcasters. A standard has been recommended to the FCC by an advisory committee. The standard which is ultimately adopted for HDTV transmissions and the manner in which that transmission standard will be implemented and the development of technologies such as "digital compression" will have an economic and competitive impact on broadcasting and cable operations. The Company cannot predict the effect of implementation of these technologies on its operations. The FCC has stated its intention not to disadvantage broadcasters and it is expected that any HDTV standard which is ultimately adopted will be fashioned so as to accommodate the needs of broadcasters vis-a-vis competitive video delivery technologies. The FCC has already determined that TV stations will be given up to six years to implement HDTV once a standard has been selected and that stations which do not convert to the HDTV standard will lose their licenses to broadcast at the end of a proposed 15-year period from adoption of the standard.</w:t>
      </w:r>
    </w:p>
    <w:p>
      <w:pPr>
        <w:spacing w:after="0" w:line="19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The cost of converting to HDTV will not have a material effect on the Company.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VIACOM NETWORKS</w:t>
      </w:r>
    </w:p>
    <w:p>
      <w:pPr>
        <w:spacing w:after="0" w:line="207" w:lineRule="exact"/>
        <w:rPr>
          <w:sz w:val="20"/>
          <w:szCs w:val="20"/>
          <w:color w:val="auto"/>
        </w:rPr>
      </w:pPr>
    </w:p>
    <w:p>
      <w:pPr>
        <w:ind w:right="2739" w:firstLine="421"/>
        <w:spacing w:after="0" w:line="238" w:lineRule="auto"/>
        <w:rPr>
          <w:sz w:val="20"/>
          <w:szCs w:val="20"/>
          <w:color w:val="auto"/>
        </w:rPr>
      </w:pPr>
      <w:r>
        <w:rPr>
          <w:rFonts w:ascii="Courier New" w:cs="Courier New" w:eastAsia="Courier New" w:hAnsi="Courier New"/>
          <w:sz w:val="18"/>
          <w:szCs w:val="18"/>
          <w:color w:val="auto"/>
        </w:rPr>
        <w:t>MTVN COMPETITION. MTVN services are in competition for available channel space on existing cable systems and for fees from cable operators and alternative media distributors, with other cable program services, and nationally distributed and local independent television stations. MTVN also competes for advertising revenue with other cable and broadcast television programmers, and radio and print media. For basic cable television programmers, such as MTVN, advertising revenues derived by each programming service depend on the number of households subscribing to the service through local cable operators and other distributors. A number of record companies have announced plans to launch music-based program services in the U.S. and internationally. For example, Tele-Communications, Inc. and Bertelsmann AG announced plans for a music video/home shopping channel and Sony Corp.'s Sony Music and Time Warner Inc.'s Time Warner Music Group are discussing the formation of a worldwide music video program service with such other major record companies as EMI Music, a unit of Thorn EMI PLC, and PolyGram.</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As of December 31, 1993, there were 32 principal cable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 - 33</w:t>
      </w:r>
    </w:p>
    <w:p>
      <w:pPr>
        <w:sectPr>
          <w:pgSz w:w="11900" w:h="16838" w:orient="portrait"/>
          <w:cols w:equalWidth="0" w:num="1">
            <w:col w:w="10219"/>
          </w:cols>
          <w:pgMar w:left="240" w:top="723" w:right="1440" w:bottom="1440" w:gutter="0" w:footer="0" w:header="0"/>
        </w:sectPr>
      </w:pPr>
    </w:p>
    <w:bookmarkStart w:id="35" w:name="page36"/>
    <w:bookmarkEnd w:id="35"/>
    <w:p>
      <w:pPr>
        <w:ind w:right="2939"/>
        <w:spacing w:after="0" w:line="273" w:lineRule="auto"/>
        <w:rPr>
          <w:sz w:val="20"/>
          <w:szCs w:val="20"/>
          <w:color w:val="auto"/>
        </w:rPr>
      </w:pPr>
      <w:r>
        <w:rPr>
          <w:rFonts w:ascii="Courier New" w:cs="Courier New" w:eastAsia="Courier New" w:hAnsi="Courier New"/>
          <w:sz w:val="16"/>
          <w:szCs w:val="16"/>
          <w:color w:val="auto"/>
        </w:rPr>
        <w:t>services and superstations under contract with A.C. Nielsen Company, including MTV, VH-1, NICKELODEON (including NICKELODEON and NICK AT NITE program segments), each with over 10,000,000 subscribers. The Nielsen Report ranked NICKELODEON/NICK AT NITE seventh, MTV eleventh, and VH-1 sixteenth, in terms of subscriber households.</w:t>
      </w:r>
    </w:p>
    <w:p>
      <w:pPr>
        <w:spacing w:after="0" w:line="185" w:lineRule="exact"/>
        <w:rPr>
          <w:sz w:val="20"/>
          <w:szCs w:val="20"/>
          <w:color w:val="auto"/>
        </w:rPr>
      </w:pPr>
    </w:p>
    <w:p>
      <w:pPr>
        <w:ind w:right="2739" w:firstLine="421"/>
        <w:spacing w:after="0" w:line="268" w:lineRule="auto"/>
        <w:rPr>
          <w:sz w:val="20"/>
          <w:szCs w:val="20"/>
          <w:color w:val="auto"/>
        </w:rPr>
      </w:pPr>
      <w:r>
        <w:rPr>
          <w:rFonts w:ascii="Courier New" w:cs="Courier New" w:eastAsia="Courier New" w:hAnsi="Courier New"/>
          <w:sz w:val="16"/>
          <w:szCs w:val="16"/>
          <w:color w:val="auto"/>
        </w:rPr>
        <w:t>MTV EUROPE is engaged in a number of related litigations in Europe contesting the legality of certain joint licensing activities by the major worldwide record companies. In 1992, MTV EUROPE initiated a proceeding before the European Commission, seeking the dissolution, under Articles 85 and 86 of the Treaty of Rome, of the record companies' joint licensing organizations -- Video Performance Limited (VPL) and International Federation of Phonogram and Videogram Producers (IFPI) -- through which the record companies exclusively license rights to exhibit music video clips on television in Europe and elsewhere.</w:t>
      </w:r>
    </w:p>
    <w:p>
      <w:pPr>
        <w:spacing w:after="0" w:line="2"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6"/>
          <w:szCs w:val="16"/>
          <w:color w:val="auto"/>
        </w:rPr>
        <w:t>The EC issued a preliminary letter in 1993 stating its non-binding opinion that the arrangements constituted an unlawful restriction of trade under Article 85, and reserved its right to address abuse of monopoly power under Article 86. MTVN has been informed that the EC has issued a Statement of Objections, which commences formal legal proceedings against VPL and IFPI, and their major record company members. MTV EUROPE has been licensed to continue to exhibit music video clips during the EC proceeding under an EC-assisted interim agreement with VPL and IFPI, which expires in July 1994.</w:t>
      </w:r>
    </w:p>
    <w:p>
      <w:pPr>
        <w:spacing w:after="0" w:line="184" w:lineRule="exact"/>
        <w:rPr>
          <w:sz w:val="20"/>
          <w:szCs w:val="20"/>
          <w:color w:val="auto"/>
        </w:rPr>
      </w:pPr>
    </w:p>
    <w:p>
      <w:pPr>
        <w:ind w:right="2739" w:firstLine="421"/>
        <w:spacing w:after="0" w:line="237" w:lineRule="auto"/>
        <w:rPr>
          <w:sz w:val="20"/>
          <w:szCs w:val="20"/>
          <w:color w:val="auto"/>
        </w:rPr>
      </w:pPr>
      <w:r>
        <w:rPr>
          <w:rFonts w:ascii="Courier New" w:cs="Courier New" w:eastAsia="Courier New" w:hAnsi="Courier New"/>
          <w:sz w:val="18"/>
          <w:szCs w:val="18"/>
          <w:color w:val="auto"/>
        </w:rPr>
        <w:t>In December 1993, MTV EUROPE commenced a separate proceeding before the European Commission, challenging the operation of VIVA, a German language music service owned by four of the five major record companies, as another example of illegal cartel activity.</w:t>
      </w:r>
    </w:p>
    <w:p>
      <w:pPr>
        <w:spacing w:after="0" w:line="207" w:lineRule="exact"/>
        <w:rPr>
          <w:sz w:val="20"/>
          <w:szCs w:val="20"/>
          <w:color w:val="auto"/>
        </w:rPr>
      </w:pPr>
    </w:p>
    <w:p>
      <w:pPr>
        <w:ind w:right="2739" w:firstLine="421"/>
        <w:spacing w:after="0" w:line="237" w:lineRule="auto"/>
        <w:rPr>
          <w:sz w:val="20"/>
          <w:szCs w:val="20"/>
          <w:color w:val="auto"/>
        </w:rPr>
      </w:pPr>
      <w:r>
        <w:rPr>
          <w:rFonts w:ascii="Courier New" w:cs="Courier New" w:eastAsia="Courier New" w:hAnsi="Courier New"/>
          <w:sz w:val="18"/>
          <w:szCs w:val="18"/>
          <w:color w:val="auto"/>
        </w:rPr>
        <w:t>In a separate U.K. high court action, MTV EUROPE is seeking reimbursement of license fees paid to VPL and IFPI, on the grounds that these fees were unlawfully extracted by the record companies' cartel organizations.</w:t>
      </w:r>
    </w:p>
    <w:p>
      <w:pPr>
        <w:spacing w:after="0" w:line="207" w:lineRule="exact"/>
        <w:rPr>
          <w:sz w:val="20"/>
          <w:szCs w:val="20"/>
          <w:color w:val="auto"/>
        </w:rPr>
      </w:pPr>
    </w:p>
    <w:p>
      <w:pPr>
        <w:ind w:right="2739" w:firstLine="421"/>
        <w:spacing w:after="0" w:line="269" w:lineRule="auto"/>
        <w:rPr>
          <w:sz w:val="20"/>
          <w:szCs w:val="20"/>
          <w:color w:val="auto"/>
        </w:rPr>
      </w:pPr>
      <w:r>
        <w:rPr>
          <w:rFonts w:ascii="Courier New" w:cs="Courier New" w:eastAsia="Courier New" w:hAnsi="Courier New"/>
          <w:sz w:val="16"/>
          <w:szCs w:val="16"/>
          <w:color w:val="auto"/>
        </w:rPr>
        <w:t>SNI COMPETITION. The principal means of competition in the provision of premium subscription television program services are: (1) the acquisition and packaging of an adequate number of quality recently released motion pictures; and (2) the offering of prices, marketing and advertising support and other incentives to cable operators and other distributors so as to favorably position and package SNI's premium subscription television program services to subscribers. HBO is the dominant company in the premium subscription television category, offering two premium subscription television program services, the HBO service and Cinemax. SNI is second to HBO with a significantly smaller share of the premium subscription television category. In addition, in February 1994, Encore Media Corp. (an affiliate of Liberty Media Corporation and Tele-Communications, Inc.) launched Starz!, a premium subscription television program service that will exhibit recently released motion pictures. The Company believes that Starz! will directly compete with SNI's premium program services.</w:t>
      </w:r>
    </w:p>
    <w:p>
      <w:pPr>
        <w:spacing w:after="0" w:line="397" w:lineRule="exact"/>
        <w:rPr>
          <w:sz w:val="20"/>
          <w:szCs w:val="20"/>
          <w:color w:val="auto"/>
        </w:rPr>
      </w:pPr>
    </w:p>
    <w:p>
      <w:pPr>
        <w:ind w:right="2739" w:firstLine="421"/>
        <w:spacing w:after="0" w:line="275" w:lineRule="auto"/>
        <w:rPr>
          <w:sz w:val="20"/>
          <w:szCs w:val="20"/>
          <w:color w:val="auto"/>
        </w:rPr>
      </w:pPr>
      <w:r>
        <w:rPr>
          <w:rFonts w:ascii="Courier New" w:cs="Courier New" w:eastAsia="Courier New" w:hAnsi="Courier New"/>
          <w:sz w:val="16"/>
          <w:szCs w:val="16"/>
          <w:color w:val="auto"/>
        </w:rPr>
        <w:t>On November 9, 1993, the Company filed an amended complaint in its antitrust suit against Tele-Communications, Inc., Liberty Media Corporation, Satellite Services, Inc., Encore Media Corp., Netlink USA, Comcast Corporation and QVC Network, Inc., which action is pending in</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 - 34</w:t>
      </w:r>
    </w:p>
    <w:p>
      <w:pPr>
        <w:sectPr>
          <w:pgSz w:w="11900" w:h="16838" w:orient="portrait"/>
          <w:cols w:equalWidth="0" w:num="1">
            <w:col w:w="10219"/>
          </w:cols>
          <w:pgMar w:left="240" w:top="723"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8"/>
          <w:szCs w:val="18"/>
          <w:color w:val="auto"/>
        </w:rPr>
        <w:t>the Southern District of New York. (See "Item 3 - Legal Proceedings")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VIACOM ENTERTAINMENT</w:t>
      </w:r>
    </w:p>
    <w:p>
      <w:pPr>
        <w:spacing w:after="0" w:line="207" w:lineRule="exact"/>
        <w:rPr>
          <w:sz w:val="20"/>
          <w:szCs w:val="20"/>
          <w:color w:val="auto"/>
        </w:rPr>
      </w:pPr>
    </w:p>
    <w:p>
      <w:pPr>
        <w:ind w:right="2839" w:firstLine="421"/>
        <w:spacing w:after="0" w:line="268" w:lineRule="auto"/>
        <w:rPr>
          <w:sz w:val="20"/>
          <w:szCs w:val="20"/>
          <w:color w:val="auto"/>
        </w:rPr>
      </w:pPr>
      <w:r>
        <w:rPr>
          <w:rFonts w:ascii="Courier New" w:cs="Courier New" w:eastAsia="Courier New" w:hAnsi="Courier New"/>
          <w:sz w:val="16"/>
          <w:szCs w:val="16"/>
          <w:color w:val="auto"/>
        </w:rPr>
        <w:t>Distribution and production of programming for television is a highly competitive business. The Company competes directly with other distributors and producers including major motion picture studios and other companies which produce and/or distribute programs and films.</w:t>
      </w:r>
    </w:p>
    <w:p>
      <w:pPr>
        <w:spacing w:after="0" w:line="1" w:lineRule="exact"/>
        <w:rPr>
          <w:sz w:val="20"/>
          <w:szCs w:val="20"/>
          <w:color w:val="auto"/>
        </w:rPr>
      </w:pPr>
    </w:p>
    <w:p>
      <w:pPr>
        <w:ind w:right="2739"/>
        <w:spacing w:after="0" w:line="238" w:lineRule="auto"/>
        <w:rPr>
          <w:sz w:val="20"/>
          <w:szCs w:val="20"/>
          <w:color w:val="auto"/>
        </w:rPr>
      </w:pPr>
      <w:r>
        <w:rPr>
          <w:rFonts w:ascii="Courier New" w:cs="Courier New" w:eastAsia="Courier New" w:hAnsi="Courier New"/>
          <w:sz w:val="18"/>
          <w:szCs w:val="18"/>
          <w:color w:val="auto"/>
        </w:rPr>
        <w:t>The main competitive factors in the television program distribution business are the availability and quality of product, promotion and marketing, and access to licensees of product. Major studios and distributors with a history of successful programming are better positioned to acquire and/or produce and distribute quality product. These studios and distributors also have greater available resources for promotion and marketing. Brand name identification is an advantage to a distributor in promoting and marketing programs for domestic and first run exhibition. The decline in the demand by licensees for recent off-network series and series produced for first run exhibition (due to renewal of existing series by stations during the past year) and feature films (due primarily to the recent expansion of the Fox network to supply programming to its affiliated stations seven nights a week) has been partly offset by a resurgence in demand by stations for first run hours and an increasing number of programming outlets, particularly cable networks. Distributors are advantageously positioned to obtain clearances from stations they also own. This advantage increases with an increase in the number of stations so owned, the size of the markets served by those stations and the viewership of those stations. Since the successful launch of a program for first run exhibition generally requires securing licenses in New York, Los Angeles and Chicago, distributors owning stations serving these markets are at the greatest advantage among distributors owning stations.</w:t>
      </w:r>
    </w:p>
    <w:p>
      <w:pPr>
        <w:spacing w:after="0" w:line="211" w:lineRule="exact"/>
        <w:rPr>
          <w:sz w:val="20"/>
          <w:szCs w:val="20"/>
          <w:color w:val="auto"/>
        </w:rPr>
      </w:pPr>
    </w:p>
    <w:p>
      <w:pPr>
        <w:ind w:right="2739" w:firstLine="527"/>
        <w:spacing w:after="0" w:line="238" w:lineRule="auto"/>
        <w:rPr>
          <w:sz w:val="20"/>
          <w:szCs w:val="20"/>
          <w:color w:val="auto"/>
        </w:rPr>
      </w:pPr>
      <w:r>
        <w:rPr>
          <w:rFonts w:ascii="Courier New" w:cs="Courier New" w:eastAsia="Courier New" w:hAnsi="Courier New"/>
          <w:sz w:val="18"/>
          <w:szCs w:val="18"/>
          <w:color w:val="auto"/>
        </w:rPr>
        <w:t>Distribution of programming for television in international markets is also a highly competitive business. The Company competes in such markets with both U.S. and non-U.S. producers and distributors. Deregulation by certain foreign countries has given rise to new broadcast stations and cable services which, along with technological advances such as DBS, are continuing to increase the number of potential international customers. However, as a result of a political directive adopted by the European Community in 1989, which became effective in October 1991, most European Community countries have adopted broadcast quota regulations based on the guidelines of the directive. Such broadcast quota regulations may adversely affect the amount of U.S. produced programming to be purchased by foreign customers. (See "BUSINESS -- Regulation -- Viacom Entertainment -- European Community Directive")</w:t>
      </w:r>
    </w:p>
    <w:p>
      <w:pPr>
        <w:spacing w:after="0" w:line="208" w:lineRule="exact"/>
        <w:rPr>
          <w:sz w:val="20"/>
          <w:szCs w:val="20"/>
          <w:color w:val="auto"/>
        </w:rPr>
      </w:pPr>
    </w:p>
    <w:p>
      <w:pPr>
        <w:ind w:right="2739" w:firstLine="421"/>
        <w:spacing w:after="0" w:line="271" w:lineRule="auto"/>
        <w:rPr>
          <w:sz w:val="20"/>
          <w:szCs w:val="20"/>
          <w:color w:val="auto"/>
        </w:rPr>
      </w:pPr>
      <w:r>
        <w:rPr>
          <w:rFonts w:ascii="Courier New" w:cs="Courier New" w:eastAsia="Courier New" w:hAnsi="Courier New"/>
          <w:sz w:val="16"/>
          <w:szCs w:val="16"/>
          <w:color w:val="auto"/>
        </w:rPr>
        <w:t>Program production for network television, which is a source of product for the Company's distribution operations, and program production for first run exhibition on cable and other media are highly competitive businesses. The Company competes with the major studios and other production companies. A company with a program airing on a network, which program the network deems commercially successful, is at an advantage in getting that network and, to a lesser extent, other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 - 35</w:t>
      </w:r>
    </w:p>
    <w:p>
      <w:pPr>
        <w:sectPr>
          <w:pgSz w:w="11900" w:h="16838" w:orient="portrait"/>
          <w:cols w:equalWidth="0" w:num="1">
            <w:col w:w="10219"/>
          </w:cols>
          <w:pgMar w:left="240" w:top="717" w:right="1440" w:bottom="1440" w:gutter="0" w:footer="0" w:header="0"/>
        </w:sectPr>
      </w:pPr>
    </w:p>
    <w:bookmarkStart w:id="37" w:name="page38"/>
    <w:bookmarkEnd w:id="37"/>
    <w:p>
      <w:pPr>
        <w:ind w:right="3159"/>
        <w:spacing w:after="0" w:line="235" w:lineRule="auto"/>
        <w:rPr>
          <w:sz w:val="20"/>
          <w:szCs w:val="20"/>
          <w:color w:val="auto"/>
        </w:rPr>
      </w:pPr>
      <w:r>
        <w:rPr>
          <w:rFonts w:ascii="Courier New" w:cs="Courier New" w:eastAsia="Courier New" w:hAnsi="Courier New"/>
          <w:sz w:val="18"/>
          <w:szCs w:val="18"/>
          <w:color w:val="auto"/>
        </w:rPr>
        <w:t>networks, to license additional programs. (See "BUSINESS -- Viacom Entertainment -- Viacom Productions")</w:t>
      </w:r>
    </w:p>
    <w:p>
      <w:pPr>
        <w:spacing w:after="0" w:line="208"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Subsequent to December 31, 1993, Viacom Inc. acquired Paramount, which is a significantly larger distributor and producer of television programming. It is anticipated that this acquisition and the combination of the Company's television distribution and production businesses with those of Paramount will significantly enhance the Company's competitive position in these businesses.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VIACOM NEW MEDIA</w:t>
      </w:r>
    </w:p>
    <w:p>
      <w:pPr>
        <w:spacing w:after="0" w:line="207" w:lineRule="exact"/>
        <w:rPr>
          <w:sz w:val="20"/>
          <w:szCs w:val="20"/>
          <w:color w:val="auto"/>
        </w:rPr>
      </w:pPr>
    </w:p>
    <w:p>
      <w:pPr>
        <w:ind w:right="2739" w:firstLine="421"/>
        <w:spacing w:after="0" w:line="237" w:lineRule="auto"/>
        <w:rPr>
          <w:sz w:val="20"/>
          <w:szCs w:val="20"/>
          <w:color w:val="auto"/>
        </w:rPr>
      </w:pPr>
      <w:r>
        <w:rPr>
          <w:rFonts w:ascii="Courier New" w:cs="Courier New" w:eastAsia="Courier New" w:hAnsi="Courier New"/>
          <w:sz w:val="18"/>
          <w:szCs w:val="18"/>
          <w:color w:val="auto"/>
        </w:rPr>
        <w:t>The emerging market for interactive multimedia software is highly competitive and rapidly evolving. Major competitors include hardware manufacturers who also manufacture and publish cartridge video games, software publishers, and interactive software publishing divisions that have been established by diversified entertainment companies similar to the Company.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VIACOM CABLE TELEVISION</w:t>
      </w:r>
    </w:p>
    <w:p>
      <w:pPr>
        <w:spacing w:after="0" w:line="207" w:lineRule="exact"/>
        <w:rPr>
          <w:sz w:val="20"/>
          <w:szCs w:val="20"/>
          <w:color w:val="auto"/>
        </w:rPr>
      </w:pPr>
    </w:p>
    <w:p>
      <w:pPr>
        <w:ind w:right="2739" w:firstLine="421"/>
        <w:spacing w:after="0" w:line="238" w:lineRule="auto"/>
        <w:rPr>
          <w:sz w:val="20"/>
          <w:szCs w:val="20"/>
          <w:color w:val="auto"/>
        </w:rPr>
      </w:pPr>
      <w:r>
        <w:rPr>
          <w:rFonts w:ascii="Courier New" w:cs="Courier New" w:eastAsia="Courier New" w:hAnsi="Courier New"/>
          <w:sz w:val="18"/>
          <w:szCs w:val="18"/>
          <w:color w:val="auto"/>
        </w:rPr>
        <w:t>The Company's cable systems operate pursuant to non-exclusive franchises granted by local governing authorities (either municipal or county) and primarily compete with over-the-air broadcast television. Cable systems also compete with other distribution systems which deliver programming by microwave transmission ("MDS" and "MMDS") and satellite transmission to master antennas ("SMATV") or directly to subscribers via either "TVRO" or "DBS" technology. A new type of distribution system called Multichannel Local Distribution Service ("MLDS"), which is similar to but more advanced than MMDS due to greater channel capacity, could also become competitive with cable. In 1991, the FCC concluded a proceeding aimed at eliminating a number of technological and regulatory limitations applicable to, and thereby supporting the potential growth of, MMDS and SMATV as competitive video delivery technologies. Certain DBS distribution systems are expected to commence their services in the near future, including United States Satellite Broadcasting, Inc., with which the Company has distribution agreements for each of the Company's wholly owned basic cable and premium networks, and Hughes DirecTV The development of these other distribution systems could in the future result in substantial competition for the Company's cable systems, depending upon the marketing plans and programming provided. However, a developing technology called "digital compression" may allow cable systems to significantly increase the number of channels of programming they deliver and thereby help cable systems meet competition from these other distribution systems.</w:t>
      </w:r>
    </w:p>
    <w:p>
      <w:pPr>
        <w:spacing w:after="0" w:line="212" w:lineRule="exact"/>
        <w:rPr>
          <w:sz w:val="20"/>
          <w:szCs w:val="20"/>
          <w:color w:val="auto"/>
        </w:rPr>
      </w:pPr>
    </w:p>
    <w:p>
      <w:pPr>
        <w:ind w:right="2739" w:firstLine="421"/>
        <w:spacing w:after="0" w:line="271" w:lineRule="auto"/>
        <w:rPr>
          <w:sz w:val="20"/>
          <w:szCs w:val="20"/>
          <w:color w:val="auto"/>
        </w:rPr>
      </w:pPr>
      <w:r>
        <w:rPr>
          <w:rFonts w:ascii="Courier New" w:cs="Courier New" w:eastAsia="Courier New" w:hAnsi="Courier New"/>
          <w:sz w:val="16"/>
          <w:szCs w:val="16"/>
          <w:color w:val="auto"/>
        </w:rPr>
        <w:t>The acquisition of new franchises has slowed as an increasingly limited number of franchises and systems are left to be developed. The resulting reduced rate of construction may affect the cable industry's ability to sustain its historical subscriber growth rate. However, cable operators have increasingly sought to expand their subscriber bases through the acquisition of contiguous systems, which provide increased operating efficiencies. The Company's plan to expand in the cable business includes supplying additional services to its customers,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 - 36</w:t>
      </w:r>
    </w:p>
    <w:p>
      <w:pPr>
        <w:sectPr>
          <w:pgSz w:w="11900" w:h="16838" w:orient="portrait"/>
          <w:cols w:equalWidth="0" w:num="1">
            <w:col w:w="10219"/>
          </w:cols>
          <w:pgMar w:left="240" w:top="723" w:right="1440" w:bottom="1440" w:gutter="0" w:footer="0" w:header="0"/>
        </w:sectPr>
      </w:pPr>
    </w:p>
    <w:bookmarkStart w:id="38" w:name="page39"/>
    <w:bookmarkEnd w:id="38"/>
    <w:p>
      <w:pPr>
        <w:ind w:right="2839"/>
        <w:spacing w:after="0" w:line="237" w:lineRule="auto"/>
        <w:rPr>
          <w:sz w:val="20"/>
          <w:szCs w:val="20"/>
          <w:color w:val="auto"/>
        </w:rPr>
      </w:pPr>
      <w:r>
        <w:rPr>
          <w:rFonts w:ascii="Courier New" w:cs="Courier New" w:eastAsia="Courier New" w:hAnsi="Courier New"/>
          <w:sz w:val="18"/>
          <w:szCs w:val="18"/>
          <w:color w:val="auto"/>
        </w:rPr>
        <w:t>increasing primary and premium subscriber penetrations, developing existing franchise areas and, to a lesser degree, reviewing possible acquisitions of existing systems, principally contiguous systems, directly or through participation with others in partnerships or joint ventures.</w:t>
      </w:r>
    </w:p>
    <w:p>
      <w:pPr>
        <w:spacing w:after="0" w:line="209" w:lineRule="exact"/>
        <w:rPr>
          <w:sz w:val="20"/>
          <w:szCs w:val="20"/>
          <w:color w:val="auto"/>
        </w:rPr>
      </w:pPr>
    </w:p>
    <w:p>
      <w:pPr>
        <w:ind w:right="2519" w:firstLine="421"/>
        <w:spacing w:after="0" w:line="271" w:lineRule="auto"/>
        <w:rPr>
          <w:sz w:val="20"/>
          <w:szCs w:val="20"/>
          <w:color w:val="auto"/>
        </w:rPr>
      </w:pPr>
      <w:r>
        <w:rPr>
          <w:rFonts w:ascii="Courier New" w:cs="Courier New" w:eastAsia="Courier New" w:hAnsi="Courier New"/>
          <w:sz w:val="16"/>
          <w:szCs w:val="16"/>
          <w:color w:val="auto"/>
        </w:rPr>
        <w:t>Since the Company's cable television systems are franchised on a non-exclusive basis, other cable operators have been franchised and may continue to apply for franchises in certain areas served by the Company's cable systems. In addition, the 1992 Cable Act prohibits a franchiser from granting exclusive franchises and from unreasonably refusing to reward additional competitive franchises. In 1986, the U.S. Supreme Court held that cable system operations implicate First Amendment rights and that local franchising authorities may violate those rights by establishing franchise requirements, unless there is a legitimate government purpose. Since this decision, various federal district</w:t>
      </w:r>
    </w:p>
    <w:p>
      <w:pPr>
        <w:spacing w:after="0" w:line="184"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and appellate courts have issued contradictory opinions with respect to the enforceability of specific franchise requirements. Depending on the resolution of these cases, competitive entry by other operators into Viacom Cable's franchise areas and Viacom Cable's entry into other franchise areas could be more easily achieved.</w:t>
      </w:r>
    </w:p>
    <w:p>
      <w:pPr>
        <w:spacing w:after="0" w:line="209" w:lineRule="exact"/>
        <w:rPr>
          <w:sz w:val="20"/>
          <w:szCs w:val="20"/>
          <w:color w:val="auto"/>
        </w:rPr>
      </w:pPr>
    </w:p>
    <w:p>
      <w:pPr>
        <w:ind w:right="2739" w:firstLine="421"/>
        <w:spacing w:after="0" w:line="237" w:lineRule="auto"/>
        <w:rPr>
          <w:sz w:val="20"/>
          <w:szCs w:val="20"/>
          <w:color w:val="auto"/>
        </w:rPr>
      </w:pPr>
      <w:r>
        <w:rPr>
          <w:rFonts w:ascii="Courier New" w:cs="Courier New" w:eastAsia="Courier New" w:hAnsi="Courier New"/>
          <w:sz w:val="18"/>
          <w:szCs w:val="18"/>
          <w:color w:val="auto"/>
        </w:rPr>
        <w:t>The entry of telephone companies into the cable television business may adversely affect Viacom Cable. The FCC's Video Dial Tone regulations (See "BUSINESS -- Regulation -- Viacom Cable Television -- Competition with Telephone Companies") are an indication of the FCC's willingness to narrow the cross-ownership prohibitions contained in the Communications Act to the extent that it can do so consistent with its interpretation of the Act.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VIACOM BROADCASTING</w:t>
      </w:r>
    </w:p>
    <w:p>
      <w:pPr>
        <w:spacing w:after="0" w:line="207" w:lineRule="exact"/>
        <w:rPr>
          <w:sz w:val="20"/>
          <w:szCs w:val="20"/>
          <w:color w:val="auto"/>
        </w:rPr>
      </w:pPr>
    </w:p>
    <w:p>
      <w:pPr>
        <w:ind w:right="2739" w:firstLine="421"/>
        <w:spacing w:after="0" w:line="238" w:lineRule="auto"/>
        <w:rPr>
          <w:sz w:val="20"/>
          <w:szCs w:val="20"/>
          <w:color w:val="auto"/>
        </w:rPr>
      </w:pPr>
      <w:r>
        <w:rPr>
          <w:rFonts w:ascii="Courier New" w:cs="Courier New" w:eastAsia="Courier New" w:hAnsi="Courier New"/>
          <w:sz w:val="18"/>
          <w:szCs w:val="18"/>
          <w:color w:val="auto"/>
        </w:rPr>
        <w:t>The principal methods of competition in the television and radio broadcasting field are the development of audience interest through programming and promotions. Television and radio stations also compete for advertising revenues with other stations in their respective coverage areas and with all other advertising media. They also compete with various other forms of leisure time activities, such as cable television systems and audio players and video recorders. These competing services, which may provide improved signal reception and offer an increased home entertainment selection, have been in a period of rapid development and expansion. Technological advances and regulatory policies will have an impact, upon the future competitive broadcasting environment. In particular, recent FCC liberalization of its radio station ownership limits will allow for increased group ownership of stations. However, the Company is unable to predict what impact these rule changes will have on its businesses in their markets. (See "BUSINESS -- Regulation -- Viacom Broadcasting -- Ownership Limitations")</w:t>
      </w:r>
    </w:p>
    <w:p>
      <w:pPr>
        <w:spacing w:after="0" w:line="209" w:lineRule="exact"/>
        <w:rPr>
          <w:sz w:val="20"/>
          <w:szCs w:val="20"/>
          <w:color w:val="auto"/>
        </w:rPr>
      </w:pPr>
    </w:p>
    <w:p>
      <w:pPr>
        <w:jc w:val="both"/>
        <w:ind w:right="2839" w:firstLine="421"/>
        <w:spacing w:after="0" w:line="268" w:lineRule="auto"/>
        <w:rPr>
          <w:sz w:val="20"/>
          <w:szCs w:val="20"/>
          <w:color w:val="auto"/>
        </w:rPr>
      </w:pPr>
      <w:r>
        <w:rPr>
          <w:rFonts w:ascii="Courier New" w:cs="Courier New" w:eastAsia="Courier New" w:hAnsi="Courier New"/>
          <w:sz w:val="16"/>
          <w:szCs w:val="16"/>
          <w:color w:val="auto"/>
        </w:rPr>
        <w:t>DBS satellite distribution of programs is expected to commence in 1994. Additionally, the FCC has issued rules which may significantly increase the number of multipoint distribution service stations (i.e.,</w:t>
      </w:r>
    </w:p>
    <w:p>
      <w:pPr>
        <w:ind w:left="686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939"/>
        <w:spacing w:after="0" w:line="290" w:lineRule="auto"/>
        <w:rPr>
          <w:sz w:val="20"/>
          <w:szCs w:val="20"/>
          <w:color w:val="auto"/>
        </w:rPr>
      </w:pPr>
      <w:r>
        <w:rPr>
          <w:rFonts w:ascii="Courier New" w:cs="Courier New" w:eastAsia="Courier New" w:hAnsi="Courier New"/>
          <w:sz w:val="16"/>
          <w:szCs w:val="16"/>
          <w:color w:val="auto"/>
        </w:rPr>
        <w:t>video services distributed on microwave frequencies which can only be received by special microwave antennas). The FCC has also authorized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 - 37</w:t>
      </w:r>
    </w:p>
    <w:p>
      <w:pPr>
        <w:sectPr>
          <w:pgSz w:w="11900" w:h="16838" w:orient="portrait"/>
          <w:cols w:equalWidth="0" w:num="1">
            <w:col w:w="10219"/>
          </w:cols>
          <w:pgMar w:left="240" w:top="723" w:right="1440" w:bottom="1440" w:gutter="0" w:footer="0" w:header="0"/>
        </w:sectPr>
      </w:pPr>
    </w:p>
    <w:bookmarkStart w:id="39" w:name="page40"/>
    <w:bookmarkEnd w:id="39"/>
    <w:p>
      <w:pPr>
        <w:ind w:right="2739"/>
        <w:spacing w:after="0" w:line="238" w:lineRule="auto"/>
        <w:rPr>
          <w:sz w:val="20"/>
          <w:szCs w:val="20"/>
          <w:color w:val="auto"/>
        </w:rPr>
      </w:pPr>
      <w:r>
        <w:rPr>
          <w:rFonts w:ascii="Courier New" w:cs="Courier New" w:eastAsia="Courier New" w:hAnsi="Courier New"/>
          <w:sz w:val="18"/>
          <w:szCs w:val="18"/>
          <w:color w:val="auto"/>
        </w:rPr>
        <w:t>video uses of certain frequencies which have not traditionally been used or permitted for commercial video services and has issued rules which will increase the number of FM and AM stations. The FCC is also considering authorizing digital audio broadcasts ("DAB"), which could ultimately permit increased radio competition by satellite delivery of audio stations directly to the home (or to cars) and result in an increased spectrum being used for digital delivery of radio signals, and it has authorized and is in the process of licensing low power television stations ("LPTV stations") that may serve various communities with coverage areas smaller than those served by full conventional television stations. Because of their coverage limitations, LPTV stations may be allocated to communities which cannot accommodate a full power television station because of technical requirements.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PROPERTIES.</w:t>
      </w:r>
    </w:p>
    <w:p>
      <w:pPr>
        <w:spacing w:after="0" w:line="207" w:lineRule="exact"/>
        <w:rPr>
          <w:sz w:val="20"/>
          <w:szCs w:val="20"/>
          <w:color w:val="auto"/>
        </w:rPr>
      </w:pPr>
    </w:p>
    <w:p>
      <w:pPr>
        <w:ind w:right="2739" w:firstLine="421"/>
        <w:spacing w:after="0" w:line="271" w:lineRule="auto"/>
        <w:rPr>
          <w:sz w:val="20"/>
          <w:szCs w:val="20"/>
          <w:color w:val="auto"/>
        </w:rPr>
      </w:pPr>
      <w:r>
        <w:rPr>
          <w:rFonts w:ascii="Courier New" w:cs="Courier New" w:eastAsia="Courier New" w:hAnsi="Courier New"/>
          <w:sz w:val="16"/>
          <w:szCs w:val="16"/>
          <w:color w:val="auto"/>
        </w:rPr>
        <w:t>The Company maintains its worldwide headquarters at 1515 Broadway, New York, New York, where it rents approximately 720,000 square feet for executive offices, including MTVN. The Company also rents approximately 24,000 square feet at the same location for WLTW-FM and Viacom Broadcasting headquarters. The lease runs to 2010, with four renewal options for five years each. The lease also grants the Company options for additional space at the then fair market value, including sufficient space for SNI and Paramount headquarters staff, and a right of first negotiation for other available space in the building.</w:t>
      </w:r>
    </w:p>
    <w:p>
      <w:pPr>
        <w:spacing w:after="0" w:line="184" w:lineRule="exact"/>
        <w:rPr>
          <w:sz w:val="20"/>
          <w:szCs w:val="20"/>
          <w:color w:val="auto"/>
        </w:rPr>
      </w:pPr>
    </w:p>
    <w:p>
      <w:pPr>
        <w:ind w:right="2739" w:firstLine="421"/>
        <w:spacing w:after="0" w:line="237" w:lineRule="auto"/>
        <w:rPr>
          <w:sz w:val="20"/>
          <w:szCs w:val="20"/>
          <w:color w:val="auto"/>
        </w:rPr>
      </w:pPr>
      <w:r>
        <w:rPr>
          <w:rFonts w:ascii="Courier New" w:cs="Courier New" w:eastAsia="Courier New" w:hAnsi="Courier New"/>
          <w:sz w:val="18"/>
          <w:szCs w:val="18"/>
          <w:color w:val="auto"/>
        </w:rPr>
        <w:t>The Company also leases approximately 106,000 square feet at 1775 Broadway, New York, New York. The lease expires in 1998. In 1992, the Company sublet approximately 53,000 square feet of such space to COMEDY CENTRAL.</w:t>
      </w:r>
    </w:p>
    <w:p>
      <w:pPr>
        <w:spacing w:after="0" w:line="207" w:lineRule="exact"/>
        <w:rPr>
          <w:sz w:val="20"/>
          <w:szCs w:val="20"/>
          <w:color w:val="auto"/>
        </w:rPr>
      </w:pPr>
    </w:p>
    <w:p>
      <w:pPr>
        <w:ind w:right="2739" w:firstLine="421"/>
        <w:spacing w:after="0" w:line="237" w:lineRule="auto"/>
        <w:rPr>
          <w:sz w:val="20"/>
          <w:szCs w:val="20"/>
          <w:color w:val="auto"/>
        </w:rPr>
      </w:pPr>
      <w:r>
        <w:rPr>
          <w:rFonts w:ascii="Courier New" w:cs="Courier New" w:eastAsia="Courier New" w:hAnsi="Courier New"/>
          <w:sz w:val="18"/>
          <w:szCs w:val="18"/>
          <w:color w:val="auto"/>
        </w:rPr>
        <w:t>The Company also operates a data processing facility in Rutherford, New Jersey and owns a 30,000 square foot building at 140 West 43rd Street, New York, New York, which supports office and conferencing requirements.</w:t>
      </w:r>
    </w:p>
    <w:p>
      <w:pPr>
        <w:spacing w:after="0" w:line="207" w:lineRule="exact"/>
        <w:rPr>
          <w:sz w:val="20"/>
          <w:szCs w:val="20"/>
          <w:color w:val="auto"/>
        </w:rPr>
      </w:pPr>
    </w:p>
    <w:p>
      <w:pPr>
        <w:ind w:right="2839" w:firstLine="421"/>
        <w:spacing w:after="0" w:line="235" w:lineRule="auto"/>
        <w:rPr>
          <w:sz w:val="20"/>
          <w:szCs w:val="20"/>
          <w:color w:val="auto"/>
        </w:rPr>
      </w:pPr>
      <w:r>
        <w:rPr>
          <w:rFonts w:ascii="Courier New" w:cs="Courier New" w:eastAsia="Courier New" w:hAnsi="Courier New"/>
          <w:sz w:val="18"/>
          <w:szCs w:val="18"/>
          <w:color w:val="auto"/>
        </w:rPr>
        <w:t>Viacom MGS Services leases approximately 25,000 square feet at 619 West 54th Street, New York, New York.</w:t>
      </w:r>
    </w:p>
    <w:p>
      <w:pPr>
        <w:spacing w:after="0" w:line="208" w:lineRule="exact"/>
        <w:rPr>
          <w:sz w:val="20"/>
          <w:szCs w:val="20"/>
          <w:color w:val="auto"/>
        </w:rPr>
      </w:pPr>
    </w:p>
    <w:p>
      <w:pPr>
        <w:ind w:right="2839" w:firstLine="421"/>
        <w:spacing w:after="0" w:line="238" w:lineRule="auto"/>
        <w:rPr>
          <w:sz w:val="20"/>
          <w:szCs w:val="20"/>
          <w:color w:val="auto"/>
        </w:rPr>
      </w:pPr>
      <w:r>
        <w:rPr>
          <w:rFonts w:ascii="Courier New" w:cs="Courier New" w:eastAsia="Courier New" w:hAnsi="Courier New"/>
          <w:sz w:val="18"/>
          <w:szCs w:val="18"/>
          <w:color w:val="auto"/>
        </w:rPr>
        <w:t>During 1993, the Company leased premises in California, Ohio, Oregon, Tennessee and Washington, the locations of Viacom Cable's operations. Viacom Cable's operations require a large investment in physical assets consisting primarily of receiving apparatus, trunk lines, feeder cable and drop lines connecting the distribution network to the premises of the customers, electronic amplification and distribution equipment, converters located in customers' homes and other components. Significant expenditures are also required for replacement of and additions to such system assets as a result of technological advances, ordinary wear and tear and regulatory standards. Approximately 47% of the Company's cable television systems' fixed assets have been installed within the past five years and, except for ordinary wear and tear, the Company believes that this equipment is in good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 - 38</w:t>
      </w:r>
    </w:p>
    <w:p>
      <w:pPr>
        <w:sectPr>
          <w:pgSz w:w="11900" w:h="16838" w:orient="portrait"/>
          <w:cols w:equalWidth="0" w:num="1">
            <w:col w:w="10219"/>
          </w:cols>
          <w:pgMar w:left="240" w:top="723" w:right="1440" w:bottom="1440" w:gutter="0" w:footer="0" w:header="0"/>
        </w:sectPr>
      </w:pPr>
    </w:p>
    <w:bookmarkStart w:id="40" w:name="page41"/>
    <w:bookmarkEnd w:id="40"/>
    <w:p>
      <w:pPr>
        <w:ind w:right="2839" w:firstLine="421"/>
        <w:spacing w:after="0" w:line="237" w:lineRule="auto"/>
        <w:rPr>
          <w:sz w:val="20"/>
          <w:szCs w:val="20"/>
          <w:color w:val="auto"/>
        </w:rPr>
      </w:pPr>
      <w:r>
        <w:rPr>
          <w:rFonts w:ascii="Courier New" w:cs="Courier New" w:eastAsia="Courier New" w:hAnsi="Courier New"/>
          <w:sz w:val="18"/>
          <w:szCs w:val="18"/>
          <w:color w:val="auto"/>
        </w:rPr>
        <w:t>In addition to its leased space at 1515 Broadway, Viacom Broadcasting owns office and studio space in Hartford, Connecticut, occupied by television station WVIT-TV; in Menands, New York, occupied by television station WNYT-TV; in Shreveport, Louisiana, occupied by television station KSLA-TV; and in Rochester, New York, occupied by television station WHEC-TV. Television station KMOV-TV, St. Louis, Missouri, leases office and studio space for a term expiring December 31, 2002.</w:t>
      </w:r>
    </w:p>
    <w:p>
      <w:pPr>
        <w:spacing w:after="0" w:line="212" w:lineRule="exact"/>
        <w:rPr>
          <w:sz w:val="20"/>
          <w:szCs w:val="20"/>
          <w:color w:val="auto"/>
        </w:rPr>
      </w:pPr>
    </w:p>
    <w:p>
      <w:pPr>
        <w:ind w:right="2739" w:firstLine="421"/>
        <w:spacing w:after="0" w:line="270" w:lineRule="auto"/>
        <w:rPr>
          <w:sz w:val="20"/>
          <w:szCs w:val="20"/>
          <w:color w:val="auto"/>
        </w:rPr>
      </w:pPr>
      <w:r>
        <w:rPr>
          <w:rFonts w:ascii="Courier New" w:cs="Courier New" w:eastAsia="Courier New" w:hAnsi="Courier New"/>
          <w:sz w:val="16"/>
          <w:szCs w:val="16"/>
          <w:color w:val="auto"/>
        </w:rPr>
        <w:t>WLIT-FM, Chicago, Illinois, leases office and studio space for a term expiring in April 2002. WLTI-FM, Detroit, Michigan, leases office and studio space for a term expiring in August 2002. WMZQ-FM, Washington, D.C., leases office and studio space for a term expiring in December 1998. WMZQ-AM, Arlington, Virginia, leases office and studio space for a term expiring in August 2014. WCPT-AM and WCXR-FM lease office and studio space in Alexandria, Virginia for a term expiring in November 2001. KBSG-AM/FM, Tacoma/Seattle, Washington, lease office and studio space for a term expiring in August 1999. KYSR-FM, and KXEZ-FM, Los Angeles, California, lease office and studio space for a term expiring in October 1999. KSRY-FM, San Francisco, California, leases office and studio space for a term expiring in March 1997. KSRI-FM, Santa Cruz, California, leases office and studio space for a term expiring in July 1995. KNDD-FM, Seattle, Washington, leases office and studio space for a term expiring in February 2001.</w:t>
      </w:r>
    </w:p>
    <w:p>
      <w:pPr>
        <w:spacing w:after="0" w:line="387" w:lineRule="exact"/>
        <w:rPr>
          <w:sz w:val="20"/>
          <w:szCs w:val="20"/>
          <w:color w:val="auto"/>
        </w:rPr>
      </w:pPr>
    </w:p>
    <w:p>
      <w:pPr>
        <w:ind w:right="2739" w:firstLine="421"/>
        <w:spacing w:after="0" w:line="237" w:lineRule="auto"/>
        <w:rPr>
          <w:sz w:val="20"/>
          <w:szCs w:val="20"/>
          <w:color w:val="auto"/>
        </w:rPr>
      </w:pPr>
      <w:r>
        <w:rPr>
          <w:rFonts w:ascii="Courier New" w:cs="Courier New" w:eastAsia="Courier New" w:hAnsi="Courier New"/>
          <w:sz w:val="18"/>
          <w:szCs w:val="18"/>
          <w:color w:val="auto"/>
        </w:rPr>
        <w:t>Viacom Broadcasting owns the broadcasting antenna equipment of its radio and television stations and the main transmission and antenna sites used by its five television stations and radio stations WMZQ-FM, WCPT-AM, KYSR-FM and KNDD-FM. The other radio stations, WLTW-FM, WLIT-FM, WLTI-FM, WCXR-FM, WMZQ-AM, KBSG-AM, KBSG-FM, KSRY-FM, KSRI-FM and KXEZ-FM lease their transmission and antenna sites. The leases expire in August 2005, September 2002, December 1995, February 2000, August 2014, February 2000, December 1997, February 2000, May 1999, and November 2000, respectively.</w:t>
      </w:r>
    </w:p>
    <w:p>
      <w:pPr>
        <w:spacing w:after="0" w:line="214" w:lineRule="exact"/>
        <w:rPr>
          <w:sz w:val="20"/>
          <w:szCs w:val="20"/>
          <w:color w:val="auto"/>
        </w:rPr>
      </w:pPr>
    </w:p>
    <w:p>
      <w:pPr>
        <w:ind w:right="2839" w:firstLine="421"/>
        <w:spacing w:after="0" w:line="268" w:lineRule="auto"/>
        <w:rPr>
          <w:sz w:val="20"/>
          <w:szCs w:val="20"/>
          <w:color w:val="auto"/>
        </w:rPr>
      </w:pPr>
      <w:r>
        <w:rPr>
          <w:rFonts w:ascii="Courier New" w:cs="Courier New" w:eastAsia="Courier New" w:hAnsi="Courier New"/>
          <w:sz w:val="16"/>
          <w:szCs w:val="16"/>
          <w:color w:val="auto"/>
        </w:rPr>
        <w:t>MTVN, by agreement with MCA, leases approximately 75,000 square feet of studio and office space for NICKELODEON STUDIOS FLORIDA, which agreement expires (with extensions at MCA's option) in 2003. MTVN leases approximately 58,600 square feet of other office facilities and studios (i.e., excluding 1515 Broadway, 1775 Broadway, NICKELODEON</w:t>
      </w:r>
    </w:p>
    <w:p>
      <w:pPr>
        <w:ind w:left="740"/>
        <w:spacing w:after="0" w:line="234"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STUDIOS, Orlando and Universal City, Los Angeles).</w:t>
      </w:r>
    </w:p>
    <w:p>
      <w:pPr>
        <w:spacing w:after="0" w:line="206" w:lineRule="exact"/>
        <w:rPr>
          <w:sz w:val="20"/>
          <w:szCs w:val="20"/>
          <w:color w:val="auto"/>
        </w:rPr>
      </w:pPr>
    </w:p>
    <w:p>
      <w:pPr>
        <w:ind w:right="2739" w:firstLine="421"/>
        <w:spacing w:after="0" w:line="237" w:lineRule="auto"/>
        <w:rPr>
          <w:sz w:val="20"/>
          <w:szCs w:val="20"/>
          <w:color w:val="auto"/>
        </w:rPr>
      </w:pPr>
      <w:r>
        <w:rPr>
          <w:rFonts w:ascii="Courier New" w:cs="Courier New" w:eastAsia="Courier New" w:hAnsi="Courier New"/>
          <w:sz w:val="18"/>
          <w:szCs w:val="18"/>
          <w:color w:val="auto"/>
        </w:rPr>
        <w:t>MTVN also owns the Network Operations Center in Smithtown, New York at which it assembles and uplinks its programming signals. The center consists of a 15,000 square foot building housing television and satellite transmission equipment.</w:t>
      </w:r>
    </w:p>
    <w:p>
      <w:pPr>
        <w:spacing w:after="0" w:line="207" w:lineRule="exact"/>
        <w:rPr>
          <w:sz w:val="20"/>
          <w:szCs w:val="20"/>
          <w:color w:val="auto"/>
        </w:rPr>
      </w:pPr>
    </w:p>
    <w:p>
      <w:pPr>
        <w:ind w:right="2939" w:firstLine="421"/>
        <w:spacing w:after="0" w:line="237" w:lineRule="auto"/>
        <w:rPr>
          <w:sz w:val="20"/>
          <w:szCs w:val="20"/>
          <w:color w:val="auto"/>
        </w:rPr>
      </w:pPr>
      <w:r>
        <w:rPr>
          <w:rFonts w:ascii="Courier New" w:cs="Courier New" w:eastAsia="Courier New" w:hAnsi="Courier New"/>
          <w:sz w:val="18"/>
          <w:szCs w:val="18"/>
          <w:color w:val="auto"/>
        </w:rPr>
        <w:t>In March 1993, a subsidiary of the Company entered into an agreement to purchase approximately 50,000 square feet of office and studio space in London, England. The Company leases the space to MTV EUROPE.</w:t>
      </w:r>
    </w:p>
    <w:p>
      <w:pPr>
        <w:spacing w:after="0" w:line="207" w:lineRule="exact"/>
        <w:rPr>
          <w:sz w:val="20"/>
          <w:szCs w:val="20"/>
          <w:color w:val="auto"/>
        </w:rPr>
      </w:pPr>
    </w:p>
    <w:p>
      <w:pPr>
        <w:ind w:right="2739" w:firstLine="421"/>
        <w:spacing w:after="0" w:line="268" w:lineRule="auto"/>
        <w:rPr>
          <w:sz w:val="20"/>
          <w:szCs w:val="20"/>
          <w:color w:val="auto"/>
        </w:rPr>
      </w:pPr>
      <w:r>
        <w:rPr>
          <w:rFonts w:ascii="Courier New" w:cs="Courier New" w:eastAsia="Courier New" w:hAnsi="Courier New"/>
          <w:sz w:val="16"/>
          <w:szCs w:val="16"/>
          <w:color w:val="auto"/>
        </w:rPr>
        <w:t>SNI's executive offices are located at 1633 Broadway, New York, New York, where it rents approximately 106,000 square feet. SNI leases approximately 58,000 square feet of other office facilities (i.e.,</w:t>
      </w:r>
    </w:p>
    <w:p>
      <w:pPr>
        <w:ind w:left="6220"/>
        <w:spacing w:after="0" w:line="233"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excluding 1633 Broadway, 1775 Broadway and Universal City, Los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 - 39</w:t>
      </w:r>
    </w:p>
    <w:p>
      <w:pPr>
        <w:sectPr>
          <w:pgSz w:w="11900" w:h="16838" w:orient="portrait"/>
          <w:cols w:equalWidth="0" w:num="1">
            <w:col w:w="10219"/>
          </w:cols>
          <w:pgMar w:left="240" w:top="723"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8"/>
          <w:szCs w:val="18"/>
          <w:color w:val="auto"/>
        </w:rPr>
        <w:t>Angeles).</w:t>
      </w:r>
    </w:p>
    <w:p>
      <w:pPr>
        <w:spacing w:after="0" w:line="207" w:lineRule="exact"/>
        <w:rPr>
          <w:sz w:val="20"/>
          <w:szCs w:val="20"/>
          <w:color w:val="auto"/>
        </w:rPr>
      </w:pPr>
    </w:p>
    <w:p>
      <w:pPr>
        <w:ind w:right="2739" w:firstLine="421"/>
        <w:spacing w:after="0" w:line="236" w:lineRule="auto"/>
        <w:rPr>
          <w:sz w:val="20"/>
          <w:szCs w:val="20"/>
          <w:color w:val="auto"/>
        </w:rPr>
      </w:pPr>
      <w:r>
        <w:rPr>
          <w:rFonts w:ascii="Courier New" w:cs="Courier New" w:eastAsia="Courier New" w:hAnsi="Courier New"/>
          <w:sz w:val="18"/>
          <w:szCs w:val="18"/>
          <w:color w:val="auto"/>
        </w:rPr>
        <w:t>For a description of the transponders employed by MTVN and SNI, see "BUSINESS -- Viacom Networks -- Additional Information about MTVN and SNI."</w:t>
      </w:r>
    </w:p>
    <w:p>
      <w:pPr>
        <w:spacing w:after="0" w:line="209"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Other than Brazil, where the office facility is owned, most of the domestic and international television program and feature film sales offices are held under leases aggregating approximately 9,000 square feet. Also, the Company maintains approximately 83,000 square feet of consolidated offices in Universal City, Los Angeles for Viacom Entertainment, MTVN and SNI.</w:t>
      </w:r>
    </w:p>
    <w:p>
      <w:pPr>
        <w:spacing w:after="0" w:line="210" w:lineRule="exact"/>
        <w:rPr>
          <w:sz w:val="20"/>
          <w:szCs w:val="20"/>
          <w:color w:val="auto"/>
        </w:rPr>
      </w:pPr>
    </w:p>
    <w:p>
      <w:pPr>
        <w:ind w:right="3039" w:firstLine="421"/>
        <w:spacing w:after="0" w:line="236" w:lineRule="auto"/>
        <w:rPr>
          <w:sz w:val="20"/>
          <w:szCs w:val="20"/>
          <w:color w:val="auto"/>
        </w:rPr>
      </w:pPr>
      <w:r>
        <w:rPr>
          <w:rFonts w:ascii="Courier New" w:cs="Courier New" w:eastAsia="Courier New" w:hAnsi="Courier New"/>
          <w:sz w:val="18"/>
          <w:szCs w:val="18"/>
          <w:color w:val="auto"/>
        </w:rPr>
        <w:t>The Company also maintains a tape storage and operations service center of approximately 22,500 square feet for Viacom Networks and Viacom Enterprises in New York, New York.</w:t>
      </w:r>
    </w:p>
    <w:p>
      <w:pPr>
        <w:spacing w:after="0" w:line="209" w:lineRule="exact"/>
        <w:rPr>
          <w:sz w:val="20"/>
          <w:szCs w:val="20"/>
          <w:color w:val="auto"/>
        </w:rPr>
      </w:pPr>
    </w:p>
    <w:p>
      <w:pPr>
        <w:ind w:right="2739" w:firstLine="421"/>
        <w:spacing w:after="0" w:line="237" w:lineRule="auto"/>
        <w:rPr>
          <w:sz w:val="20"/>
          <w:szCs w:val="20"/>
          <w:color w:val="auto"/>
        </w:rPr>
      </w:pPr>
      <w:r>
        <w:rPr>
          <w:rFonts w:ascii="Courier New" w:cs="Courier New" w:eastAsia="Courier New" w:hAnsi="Courier New"/>
          <w:sz w:val="18"/>
          <w:szCs w:val="18"/>
          <w:color w:val="auto"/>
        </w:rPr>
        <w:t>The Company believes that all of its facilities are adequate for the activities conducted at such facilities. However, the Company anticipates that it will lease or purchase additional office space both in the New York area as well as in other areas where the Company and its subsidiaries are presently located.</w:t>
      </w:r>
    </w:p>
    <w:p>
      <w:pPr>
        <w:spacing w:after="0" w:line="209" w:lineRule="exact"/>
        <w:rPr>
          <w:sz w:val="20"/>
          <w:szCs w:val="20"/>
          <w:color w:val="auto"/>
        </w:rPr>
      </w:pPr>
    </w:p>
    <w:p>
      <w:pPr>
        <w:ind w:right="3039" w:firstLine="421"/>
        <w:spacing w:after="0" w:line="237" w:lineRule="auto"/>
        <w:rPr>
          <w:sz w:val="20"/>
          <w:szCs w:val="20"/>
          <w:color w:val="auto"/>
        </w:rPr>
      </w:pPr>
      <w:r>
        <w:rPr>
          <w:rFonts w:ascii="Courier New" w:cs="Courier New" w:eastAsia="Courier New" w:hAnsi="Courier New"/>
          <w:sz w:val="18"/>
          <w:szCs w:val="18"/>
          <w:color w:val="auto"/>
        </w:rPr>
        <w:t>Information with respect to Paramount in response to Item 2 is incorporated by reference herein from the Paramount Reports. Information in the Paramount Reports is given as of the date of each such report and is not updated herein.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LEGAL PROCEEDINGS.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Stockholder Litigation.</w:t>
      </w:r>
    </w:p>
    <w:p>
      <w:pPr>
        <w:spacing w:after="0" w:line="207" w:lineRule="exact"/>
        <w:rPr>
          <w:sz w:val="20"/>
          <w:szCs w:val="20"/>
          <w:color w:val="auto"/>
        </w:rPr>
      </w:pPr>
    </w:p>
    <w:p>
      <w:pPr>
        <w:ind w:right="2739" w:firstLine="421"/>
        <w:spacing w:after="0" w:line="269" w:lineRule="auto"/>
        <w:rPr>
          <w:sz w:val="20"/>
          <w:szCs w:val="20"/>
          <w:color w:val="auto"/>
        </w:rPr>
      </w:pPr>
      <w:r>
        <w:rPr>
          <w:rFonts w:ascii="Courier New" w:cs="Courier New" w:eastAsia="Courier New" w:hAnsi="Courier New"/>
          <w:sz w:val="16"/>
          <w:szCs w:val="16"/>
          <w:color w:val="auto"/>
        </w:rPr>
        <w:t>Seven putative class action complaints were filed by alleged Blockbuster stockholders in the Delaware Court of Chancery against Blockbuster, the members of its Board of Directors, Viacom Inc. and Sumner M. Redstone. By Order dated January 31, 1994, the seven actions were consolidated under the caption In re Blockbuster Entertainment Corp. Shareholders' Litigation, Consolidated Civil Action No. 13319. On February 18, 1994, plaintiffs filed the Consolidated and Amended Class Action Complaint (the "Complaint"). The Complaint generally alleges that Blockbuster's directors have violated their fiduciary duties of loyalty and fair dealing by allegedly failing to ensure the maximization of stockholder value in the sale of control of Blockbuster, including the alleged failure to authorize and direct that a process designed to secure the best value available for Blockbuster stockholders be undertaken, and by implementing measures such as the Subscription Agreement which allegedly were designed solely to thwart or impede other competing transactions. Among other things, the plaintiffs seek to (i) preliminarily and permanently enjoin the purchase by Blockbuster of shares of Viacom Class B Common Stock pursuant to the Subscription Agreement (see next paragraph); (ii) preliminarily and permanently enjoin the Blockbuster Merger or any anti-takeover devices designed to facilitate the Blockbuster Merger;</w:t>
      </w:r>
    </w:p>
    <w:p>
      <w:pPr>
        <w:spacing w:after="0" w:line="394" w:lineRule="exact"/>
        <w:rPr>
          <w:sz w:val="20"/>
          <w:szCs w:val="20"/>
          <w:color w:val="auto"/>
        </w:rPr>
      </w:pPr>
    </w:p>
    <w:p>
      <w:pPr>
        <w:ind w:right="2739" w:firstLine="8"/>
        <w:spacing w:after="0" w:line="290" w:lineRule="auto"/>
        <w:tabs>
          <w:tab w:leader="none" w:pos="63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 the Blockbuster directors to maximize stockholder value by exploring third party interest; and/or (iv) recover damages from the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 - 40</w:t>
      </w:r>
    </w:p>
    <w:p>
      <w:pPr>
        <w:sectPr>
          <w:pgSz w:w="11900" w:h="16838" w:orient="portrait"/>
          <w:cols w:equalWidth="0" w:num="1">
            <w:col w:w="10219"/>
          </w:cols>
          <w:pgMar w:left="240" w:top="717" w:right="1440" w:bottom="1440" w:gutter="0" w:footer="0" w:header="0"/>
        </w:sectPr>
      </w:pPr>
    </w:p>
    <w:bookmarkStart w:id="42" w:name="page43"/>
    <w:bookmarkEnd w:id="42"/>
    <w:p>
      <w:pPr>
        <w:ind w:right="2939"/>
        <w:spacing w:after="0" w:line="236" w:lineRule="auto"/>
        <w:rPr>
          <w:sz w:val="20"/>
          <w:szCs w:val="20"/>
          <w:color w:val="auto"/>
        </w:rPr>
      </w:pPr>
      <w:r>
        <w:rPr>
          <w:rFonts w:ascii="Courier New" w:cs="Courier New" w:eastAsia="Courier New" w:hAnsi="Courier New"/>
          <w:sz w:val="18"/>
          <w:szCs w:val="18"/>
          <w:color w:val="auto"/>
        </w:rPr>
        <w:t>Blockbuster directors for their alleged breaches of fiduciary duty. The defendants believe that plaintiffs' allegations are without merit and intend to defend themselves vigorously.</w:t>
      </w:r>
    </w:p>
    <w:p>
      <w:pPr>
        <w:spacing w:after="0" w:line="209" w:lineRule="exact"/>
        <w:rPr>
          <w:sz w:val="20"/>
          <w:szCs w:val="20"/>
          <w:color w:val="auto"/>
        </w:rPr>
      </w:pPr>
    </w:p>
    <w:p>
      <w:pPr>
        <w:ind w:right="2739" w:firstLine="421"/>
        <w:spacing w:after="0" w:line="238" w:lineRule="auto"/>
        <w:rPr>
          <w:sz w:val="20"/>
          <w:szCs w:val="20"/>
          <w:color w:val="auto"/>
        </w:rPr>
      </w:pPr>
      <w:r>
        <w:rPr>
          <w:rFonts w:ascii="Courier New" w:cs="Courier New" w:eastAsia="Courier New" w:hAnsi="Courier New"/>
          <w:sz w:val="18"/>
          <w:szCs w:val="18"/>
          <w:color w:val="auto"/>
        </w:rPr>
        <w:t>On February 28, 1994, plaintiffs filed motions in the Delaware Chancery Court seeking expedited discovery, a temporary restraining order enjoining consummation of the Subscription Agreement and the scheduling of a preliminary injunction hearing. On March 1, 1994, Vice Chancellor Carolyn Berger issued an order denying plaintiffs' motions. Following issuance of the above-described order, plaintiffs filed a Motion for Clarification or, in the alternative, for Certification on Interlocutory Appeal, requesting that the Chancery Court clarify whether its order also refers to a hearing for a preliminary injunction. Plaintiffs requested that, if the order is limited to a hearing for a temporary restraining order, the Chancery Court schedule a hearing on plaintiffs' motion for a preliminary injunction. On March 2, 1994, plaintiffs informed the Chancery Court that they had decided not to seek an interlocutory appeal and indicated their understanding that the order precluded preliminary injunctive relief as to the Subscription Agreement.</w:t>
      </w:r>
    </w:p>
    <w:p>
      <w:pPr>
        <w:spacing w:after="0" w:line="208" w:lineRule="exact"/>
        <w:rPr>
          <w:sz w:val="20"/>
          <w:szCs w:val="20"/>
          <w:color w:val="auto"/>
        </w:rPr>
      </w:pPr>
    </w:p>
    <w:p>
      <w:pPr>
        <w:ind w:right="2739" w:firstLine="421"/>
        <w:spacing w:after="0" w:line="238" w:lineRule="auto"/>
        <w:rPr>
          <w:sz w:val="20"/>
          <w:szCs w:val="20"/>
          <w:color w:val="auto"/>
        </w:rPr>
      </w:pPr>
      <w:r>
        <w:rPr>
          <w:rFonts w:ascii="Courier New" w:cs="Courier New" w:eastAsia="Courier New" w:hAnsi="Courier New"/>
          <w:sz w:val="18"/>
          <w:szCs w:val="18"/>
          <w:color w:val="auto"/>
        </w:rPr>
        <w:t>On March 7, 1994, the plaintiffs filed a motion for a preliminary injunction, seeking an order preliminarily enjoining the defendants from (i) taking any steps to effectuate or enforce the Blockbuster Merger Agreement, the Subscription Agreement and the Stockholders Stock Option Agreement; (ii) making any payment to Viacom of its fees and expenses pursuant to Section 8.05(b) of the Blockbuster Merger Agreement; and (iii) entering into any competing transaction with a party other than Viacom, which transaction includes a stock component unless adequate price protection for the stockholders of Blockbuster is provided. Plaintiffs have also moved for an injunction requiring the Blockbuster defendants to investigate all bona fide offers to acquire Blockbuster and to provide such bona fide offerors access to information concerning Blockbuster in order to facilitate such offers. No schedule has been set for a hearing on the motion.</w:t>
      </w:r>
    </w:p>
    <w:p>
      <w:pPr>
        <w:spacing w:after="0" w:line="208" w:lineRule="exact"/>
        <w:rPr>
          <w:sz w:val="20"/>
          <w:szCs w:val="20"/>
          <w:color w:val="auto"/>
        </w:rPr>
      </w:pPr>
    </w:p>
    <w:p>
      <w:pPr>
        <w:ind w:right="2739" w:firstLine="421"/>
        <w:spacing w:after="0" w:line="237" w:lineRule="auto"/>
        <w:rPr>
          <w:sz w:val="20"/>
          <w:szCs w:val="20"/>
          <w:color w:val="auto"/>
        </w:rPr>
      </w:pPr>
      <w:r>
        <w:rPr>
          <w:rFonts w:ascii="Courier New" w:cs="Courier New" w:eastAsia="Courier New" w:hAnsi="Courier New"/>
          <w:sz w:val="18"/>
          <w:szCs w:val="18"/>
          <w:color w:val="auto"/>
        </w:rPr>
        <w:t>On March 10, 1994, Defendant Sumner Redstone filed a motion to dismiss the Complaint as to him, on the grounds of lack of personal jurisdiction, insufficiency of process, and insufficiency of service of process. Also, on March 10, 1994, defendant Viacom filed a motion to dismiss the Complaint as to itself, for failure to state a claim against Viacom upon which relief can be granted. No schedule has been set for a hearing on these motions.</w:t>
      </w:r>
    </w:p>
    <w:p>
      <w:pPr>
        <w:spacing w:after="0" w:line="20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Antitrust Matters</w:t>
      </w:r>
    </w:p>
    <w:p>
      <w:pPr>
        <w:spacing w:after="0" w:line="207" w:lineRule="exact"/>
        <w:rPr>
          <w:sz w:val="20"/>
          <w:szCs w:val="20"/>
          <w:color w:val="auto"/>
        </w:rPr>
      </w:pPr>
    </w:p>
    <w:p>
      <w:pPr>
        <w:ind w:right="2839" w:firstLine="421"/>
        <w:spacing w:after="0" w:line="270" w:lineRule="auto"/>
        <w:rPr>
          <w:sz w:val="20"/>
          <w:szCs w:val="20"/>
          <w:color w:val="auto"/>
        </w:rPr>
      </w:pPr>
      <w:r>
        <w:rPr>
          <w:rFonts w:ascii="Courier New" w:cs="Courier New" w:eastAsia="Courier New" w:hAnsi="Courier New"/>
          <w:sz w:val="16"/>
          <w:szCs w:val="16"/>
          <w:color w:val="auto"/>
        </w:rPr>
        <w:t>On September 23, 1993, the Company filed an action in the United States District Court for the Southern District of New York styled Viacom International Inc. v. Tele-Communications, Inc., et al., Case No. 93 Civ. 6658, against Tele-Communications, Inc. ("TCI"), Liberty Media Corporation, Satellite Services, Inc. ("SSI"), Encore Media Corp., Netlink USA, and QVC Network, Inc. The complaint alleges violations of Sections 1 and 2 of the Sherman Act, Section 7 of the Clayton Act, Section 12 of the Cable Act, and New York's Donnelly Act, and tortious interference, against all defendants, and a breach of contract claim against defendants TCI and SSI only. In addition to</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 - 41</w:t>
      </w:r>
    </w:p>
    <w:p>
      <w:pPr>
        <w:sectPr>
          <w:pgSz w:w="11900" w:h="16838" w:orient="portrait"/>
          <w:cols w:equalWidth="0" w:num="1">
            <w:col w:w="10219"/>
          </w:cols>
          <w:pgMar w:left="240" w:top="723" w:right="1440" w:bottom="1440" w:gutter="0" w:footer="0" w:header="0"/>
        </w:sectPr>
      </w:pPr>
    </w:p>
    <w:bookmarkStart w:id="43" w:name="page44"/>
    <w:bookmarkEnd w:id="43"/>
    <w:p>
      <w:pPr>
        <w:ind w:right="2839"/>
        <w:spacing w:after="0" w:line="273" w:lineRule="auto"/>
        <w:rPr>
          <w:sz w:val="20"/>
          <w:szCs w:val="20"/>
          <w:color w:val="auto"/>
        </w:rPr>
      </w:pPr>
      <w:r>
        <w:rPr>
          <w:rFonts w:ascii="Courier New" w:cs="Courier New" w:eastAsia="Courier New" w:hAnsi="Courier New"/>
          <w:sz w:val="16"/>
          <w:szCs w:val="16"/>
          <w:color w:val="auto"/>
        </w:rPr>
        <w:t>other relief, the Company seeks injunctive relief against defendants' anticompetitive conduct and damages in an amount to be determined at trial, including trebled damages and attorneys' fees under the Sherman and Clayton Acts and damages resulting from QVC Network, Inc.'s proposed acquisition of Paramount Communications Inc.</w:t>
      </w:r>
    </w:p>
    <w:p>
      <w:pPr>
        <w:spacing w:after="0" w:line="185" w:lineRule="exact"/>
        <w:rPr>
          <w:sz w:val="20"/>
          <w:szCs w:val="20"/>
          <w:color w:val="auto"/>
        </w:rPr>
      </w:pPr>
    </w:p>
    <w:p>
      <w:pPr>
        <w:ind w:right="2739" w:firstLine="421"/>
        <w:spacing w:after="0" w:line="269" w:lineRule="auto"/>
        <w:rPr>
          <w:sz w:val="20"/>
          <w:szCs w:val="20"/>
          <w:color w:val="auto"/>
        </w:rPr>
      </w:pPr>
      <w:r>
        <w:rPr>
          <w:rFonts w:ascii="Courier New" w:cs="Courier New" w:eastAsia="Courier New" w:hAnsi="Courier New"/>
          <w:sz w:val="16"/>
          <w:szCs w:val="16"/>
          <w:color w:val="auto"/>
        </w:rPr>
        <w:t>The 19 claims for relief in the complaint are based on allegations that defendants exert monopoly power in the U.S. cable industry through their control over approximately one in four of all cable households in the United States. Among other things, the complaint alleges that defendants conspired and attempted to force SNI to enter into a merger with a TCI-controlled pay television service; defendants have attempted to eliminate The Movie Channel from at least 28 of TCI's systems and have plans to eliminate The Movie Channel from another 27 such systems; defendants have conspired with General Instrument Corporation ("GI") to entrench GI's monopoly power in the markets for digital compression and encryption systems and to use such monopoly power to weaken and eliminate the defendants' competitors; and TCI's construction of a central authorization center to illegally control the distribution of programming services through refusals to deal and denial of direct access. On November 9, 1993, the Company amended its complaint in Viacom International Inc. v. Tele-Communications, Inc., et al., Case No. 93 Civ. 6658, to add Comcast Corporation as an additional defendant and to incorporate into the allegations additional anticompetitive activities by the defendants. Each of the defendants has answered and has generally denied the material allegations of the Company's amended complaint. Following the filing of its amended complaint, the Company has agreed to voluntarily dismiss certain of its breach of contract claims against TCI and SSI.</w:t>
      </w:r>
    </w:p>
    <w:p>
      <w:pPr>
        <w:spacing w:after="0" w:line="200" w:lineRule="exact"/>
        <w:rPr>
          <w:sz w:val="20"/>
          <w:szCs w:val="20"/>
          <w:color w:val="auto"/>
        </w:rPr>
      </w:pPr>
    </w:p>
    <w:p>
      <w:pPr>
        <w:spacing w:after="0" w:line="396" w:lineRule="exact"/>
        <w:rPr>
          <w:sz w:val="20"/>
          <w:szCs w:val="20"/>
          <w:color w:val="auto"/>
        </w:rPr>
      </w:pPr>
    </w:p>
    <w:p>
      <w:pPr>
        <w:ind w:right="2739" w:firstLine="421"/>
        <w:spacing w:after="0" w:line="269" w:lineRule="auto"/>
        <w:rPr>
          <w:sz w:val="20"/>
          <w:szCs w:val="20"/>
          <w:color w:val="auto"/>
        </w:rPr>
      </w:pPr>
      <w:r>
        <w:rPr>
          <w:rFonts w:ascii="Courier New" w:cs="Courier New" w:eastAsia="Courier New" w:hAnsi="Courier New"/>
          <w:sz w:val="16"/>
          <w:szCs w:val="16"/>
          <w:color w:val="auto"/>
        </w:rPr>
        <w:t>Viacom Cable, through a subsidiary of the Company, was one of the original partners ("Original Partners") of Primestar Partners L.P. ("Primestar"). Primestar was launched in 1990 to deliver programming directly to dishes located at subscribers' homes from a mid-powered Ku-band satellite. The Company has withdrawn from Primestar by, among other things, exercising in November 1991 the Company's contractual right not to continue funding its share of Primestar's capital requirements. The Department of Justice ("DOJ") has conducted an inquiry into the structure and business of Primestar to ensure that the Original Partners did not engage in any concerted action prohibited by law. In addition, several state Attorneys General ("AGs") have reviewed the structure and business plan of Primestar as well as certain business practices of the Original Partners which reflect business practices in the cable industry, generally. The AGs' inquiry resulted in a final judgment entered into with the consent of the Original Partners in September of 1993. The DOJ has concluded its inquiry by submitting a similar consent judgment for judicial approval. Both judgments address (i) access by multichannel distributors competitive with cable to programming controlled by any of the Original Partners and (ii) the extent of programming which may be licensed exclusively by the cable operations of the Original Partners. The provisions of the AGs' decree expire in 1997 and 1999. If approved, as expected, the provisions of the DOJ decree will expire in 1999. The terms of the judgments do not materially affect the Company.</w:t>
      </w:r>
    </w:p>
    <w:p>
      <w:pPr>
        <w:spacing w:after="0" w:line="200" w:lineRule="exact"/>
        <w:rPr>
          <w:sz w:val="20"/>
          <w:szCs w:val="20"/>
          <w:color w:val="auto"/>
        </w:rPr>
      </w:pPr>
    </w:p>
    <w:p>
      <w:pPr>
        <w:spacing w:after="0" w:line="38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Information with respect to Paramount in response to Item 3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 - 42</w:t>
      </w:r>
    </w:p>
    <w:p>
      <w:pPr>
        <w:sectPr>
          <w:pgSz w:w="11900" w:h="16838" w:orient="portrait"/>
          <w:cols w:equalWidth="0" w:num="1">
            <w:col w:w="10219"/>
          </w:cols>
          <w:pgMar w:left="240" w:top="723" w:right="1440" w:bottom="1440" w:gutter="0" w:footer="0" w:header="0"/>
        </w:sectPr>
      </w:pPr>
    </w:p>
    <w:bookmarkStart w:id="44" w:name="page45"/>
    <w:bookmarkEnd w:id="44"/>
    <w:p>
      <w:pPr>
        <w:ind w:right="3039"/>
        <w:spacing w:after="0" w:line="236" w:lineRule="auto"/>
        <w:rPr>
          <w:sz w:val="20"/>
          <w:szCs w:val="20"/>
          <w:color w:val="auto"/>
        </w:rPr>
      </w:pPr>
      <w:r>
        <w:rPr>
          <w:rFonts w:ascii="Courier New" w:cs="Courier New" w:eastAsia="Courier New" w:hAnsi="Courier New"/>
          <w:sz w:val="18"/>
          <w:szCs w:val="18"/>
          <w:color w:val="auto"/>
        </w:rPr>
        <w:t>incorporated by reference herein from the Paramount Reports. Information in the Paramount Reports is given as of the date of each such report and is not updated herein.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SUBMISSION OF MATTERS TO A VOTE OF SECURITY HOLDERS.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 OF VIACOM INC. AND THE COMPANY</w:t>
      </w:r>
    </w:p>
    <w:p>
      <w:pPr>
        <w:spacing w:after="0" w:line="207" w:lineRule="exact"/>
        <w:rPr>
          <w:sz w:val="20"/>
          <w:szCs w:val="20"/>
          <w:color w:val="auto"/>
        </w:rPr>
      </w:pPr>
    </w:p>
    <w:p>
      <w:pPr>
        <w:ind w:right="2739" w:firstLine="421"/>
        <w:spacing w:after="0" w:line="236" w:lineRule="auto"/>
        <w:rPr>
          <w:sz w:val="20"/>
          <w:szCs w:val="20"/>
          <w:color w:val="auto"/>
        </w:rPr>
      </w:pPr>
      <w:r>
        <w:rPr>
          <w:rFonts w:ascii="Courier New" w:cs="Courier New" w:eastAsia="Courier New" w:hAnsi="Courier New"/>
          <w:sz w:val="18"/>
          <w:szCs w:val="18"/>
          <w:color w:val="auto"/>
        </w:rPr>
        <w:t>Set forth below is certain information concerning the current executive officers of Viacom Inc. and the Company, which information is hereby included in Part I of this report.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POSITIONS WITH VIACOM INC.</w:t>
      </w:r>
    </w:p>
    <w:p>
      <w:pPr>
        <w:ind w:left="860"/>
        <w:spacing w:after="0"/>
        <w:tabs>
          <w:tab w:leader="none" w:pos="2620" w:val="left"/>
          <w:tab w:leader="none" w:pos="4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AGE</w:t>
      </w:r>
      <w:r>
        <w:rPr>
          <w:sz w:val="20"/>
          <w:szCs w:val="20"/>
          <w:color w:val="auto"/>
        </w:rPr>
        <w:tab/>
      </w:r>
      <w:r>
        <w:rPr>
          <w:rFonts w:ascii="Courier New" w:cs="Courier New" w:eastAsia="Courier New" w:hAnsi="Courier New"/>
          <w:sz w:val="16"/>
          <w:szCs w:val="16"/>
          <w:color w:val="auto"/>
        </w:rPr>
        <w:t>AND THE COMPANY</w:t>
      </w:r>
    </w:p>
    <w:p>
      <w:pPr>
        <w:spacing w:after="0"/>
        <w:rPr>
          <w:sz w:val="20"/>
          <w:szCs w:val="20"/>
          <w:color w:val="auto"/>
        </w:rPr>
      </w:pPr>
      <w:r>
        <w:rPr>
          <w:rFonts w:ascii="Courier New" w:cs="Courier New" w:eastAsia="Courier New" w:hAnsi="Courier New"/>
          <w:sz w:val="18"/>
          <w:szCs w:val="18"/>
          <w:color w:val="auto"/>
        </w:rPr>
        <w:t>- - ------------------------------------------------------------------------</w:t>
      </w:r>
    </w:p>
    <w:tbl>
      <w:tblPr>
        <w:tblLayout w:type="fixed"/>
        <w:tblInd w:w="0" w:type="dxa"/>
        <w:tblCellMar>
          <w:top w:w="0" w:type="dxa"/>
          <w:left w:w="0" w:type="dxa"/>
          <w:bottom w:w="0" w:type="dxa"/>
          <w:right w:w="0" w:type="dxa"/>
        </w:tblCellMar>
      </w:tblPr>
      <w:tr>
        <w:trPr>
          <w:trHeight w:val="202"/>
        </w:trPr>
        <w:tc>
          <w:tcPr>
            <w:tcW w:w="2320" w:type="dxa"/>
            <w:vAlign w:val="bottom"/>
          </w:tcPr>
          <w:p>
            <w:pPr>
              <w:spacing w:after="0" w:line="202" w:lineRule="exact"/>
              <w:rPr>
                <w:sz w:val="20"/>
                <w:szCs w:val="20"/>
                <w:color w:val="auto"/>
              </w:rPr>
            </w:pPr>
            <w:r>
              <w:rPr>
                <w:rFonts w:ascii="Courier New" w:cs="Courier New" w:eastAsia="Courier New" w:hAnsi="Courier New"/>
                <w:sz w:val="18"/>
                <w:szCs w:val="18"/>
                <w:color w:val="auto"/>
              </w:rPr>
              <w:t>Sumner M. Redstone</w:t>
            </w:r>
          </w:p>
        </w:tc>
        <w:tc>
          <w:tcPr>
            <w:tcW w:w="1120" w:type="dxa"/>
            <w:vAlign w:val="bottom"/>
          </w:tcPr>
          <w:p>
            <w:pPr>
              <w:jc w:val="right"/>
              <w:ind w:right="492"/>
              <w:spacing w:after="0" w:line="202" w:lineRule="exact"/>
              <w:rPr>
                <w:sz w:val="20"/>
                <w:szCs w:val="20"/>
                <w:color w:val="auto"/>
              </w:rPr>
            </w:pPr>
            <w:r>
              <w:rPr>
                <w:rFonts w:ascii="Courier New" w:cs="Courier New" w:eastAsia="Courier New" w:hAnsi="Courier New"/>
                <w:sz w:val="18"/>
                <w:szCs w:val="18"/>
                <w:color w:val="auto"/>
              </w:rPr>
              <w:t>70</w:t>
            </w:r>
          </w:p>
        </w:tc>
        <w:tc>
          <w:tcPr>
            <w:tcW w:w="4900" w:type="dxa"/>
            <w:vAlign w:val="bottom"/>
          </w:tcPr>
          <w:p>
            <w:pPr>
              <w:ind w:left="580"/>
              <w:spacing w:after="0" w:line="202" w:lineRule="exact"/>
              <w:rPr>
                <w:sz w:val="20"/>
                <w:szCs w:val="20"/>
                <w:color w:val="auto"/>
              </w:rPr>
            </w:pPr>
            <w:r>
              <w:rPr>
                <w:rFonts w:ascii="Courier New" w:cs="Courier New" w:eastAsia="Courier New" w:hAnsi="Courier New"/>
                <w:sz w:val="18"/>
                <w:szCs w:val="18"/>
                <w:color w:val="auto"/>
              </w:rPr>
              <w:t>Chairman of the Board of Viacom</w:t>
            </w:r>
          </w:p>
        </w:tc>
      </w:tr>
      <w:tr>
        <w:trPr>
          <w:trHeight w:val="203"/>
        </w:trPr>
        <w:tc>
          <w:tcPr>
            <w:tcW w:w="2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9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Inc. and the Company</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Frank J. Biondi, Jr</w:t>
            </w:r>
          </w:p>
        </w:tc>
        <w:tc>
          <w:tcPr>
            <w:tcW w:w="11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49</w:t>
            </w:r>
          </w:p>
        </w:tc>
        <w:tc>
          <w:tcPr>
            <w:tcW w:w="4900" w:type="dxa"/>
            <w:vAlign w:val="bottom"/>
          </w:tcPr>
          <w:p>
            <w:pPr>
              <w:ind w:left="580"/>
              <w:spacing w:after="0"/>
              <w:rPr>
                <w:sz w:val="20"/>
                <w:szCs w:val="20"/>
                <w:color w:val="auto"/>
              </w:rPr>
            </w:pPr>
            <w:r>
              <w:rPr>
                <w:rFonts w:ascii="Courier New" w:cs="Courier New" w:eastAsia="Courier New" w:hAnsi="Courier New"/>
                <w:sz w:val="18"/>
                <w:szCs w:val="18"/>
                <w:color w:val="auto"/>
              </w:rPr>
              <w:t>President, Chief Executive Officer</w:t>
            </w:r>
          </w:p>
        </w:tc>
      </w:tr>
      <w:tr>
        <w:trPr>
          <w:trHeight w:val="203"/>
        </w:trPr>
        <w:tc>
          <w:tcPr>
            <w:tcW w:w="2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9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and Director of Viacom Inc. and</w:t>
            </w:r>
          </w:p>
        </w:tc>
      </w:tr>
      <w:tr>
        <w:trPr>
          <w:trHeight w:val="203"/>
        </w:trPr>
        <w:tc>
          <w:tcPr>
            <w:tcW w:w="2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9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the Company</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Raymond A. Boyce</w:t>
            </w:r>
          </w:p>
        </w:tc>
        <w:tc>
          <w:tcPr>
            <w:tcW w:w="11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58</w:t>
            </w:r>
          </w:p>
        </w:tc>
        <w:tc>
          <w:tcPr>
            <w:tcW w:w="4900" w:type="dxa"/>
            <w:vAlign w:val="bottom"/>
          </w:tcPr>
          <w:p>
            <w:pPr>
              <w:ind w:left="580"/>
              <w:spacing w:after="0"/>
              <w:rPr>
                <w:sz w:val="20"/>
                <w:szCs w:val="20"/>
                <w:color w:val="auto"/>
              </w:rPr>
            </w:pPr>
            <w:r>
              <w:rPr>
                <w:rFonts w:ascii="Courier New" w:cs="Courier New" w:eastAsia="Courier New" w:hAnsi="Courier New"/>
                <w:sz w:val="18"/>
                <w:szCs w:val="18"/>
                <w:color w:val="auto"/>
              </w:rPr>
              <w:t>Senior Vice President, Corporate</w:t>
            </w:r>
          </w:p>
        </w:tc>
      </w:tr>
      <w:tr>
        <w:trPr>
          <w:trHeight w:val="203"/>
        </w:trPr>
        <w:tc>
          <w:tcPr>
            <w:tcW w:w="2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9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Relations of Viacom Inc. and the</w:t>
            </w:r>
          </w:p>
        </w:tc>
      </w:tr>
      <w:tr>
        <w:trPr>
          <w:trHeight w:val="203"/>
        </w:trPr>
        <w:tc>
          <w:tcPr>
            <w:tcW w:w="2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9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Company</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Neil S. Braun</w:t>
            </w:r>
          </w:p>
        </w:tc>
        <w:tc>
          <w:tcPr>
            <w:tcW w:w="11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41</w:t>
            </w:r>
          </w:p>
        </w:tc>
        <w:tc>
          <w:tcPr>
            <w:tcW w:w="4900" w:type="dxa"/>
            <w:vAlign w:val="bottom"/>
          </w:tcPr>
          <w:p>
            <w:pPr>
              <w:ind w:left="580"/>
              <w:spacing w:after="0"/>
              <w:rPr>
                <w:sz w:val="20"/>
                <w:szCs w:val="20"/>
                <w:color w:val="auto"/>
              </w:rPr>
            </w:pPr>
            <w:r>
              <w:rPr>
                <w:rFonts w:ascii="Courier New" w:cs="Courier New" w:eastAsia="Courier New" w:hAnsi="Courier New"/>
                <w:sz w:val="18"/>
                <w:szCs w:val="18"/>
                <w:color w:val="auto"/>
              </w:rPr>
              <w:t>Senior Vice President of Viacom Inc.</w:t>
            </w:r>
          </w:p>
        </w:tc>
      </w:tr>
      <w:tr>
        <w:trPr>
          <w:trHeight w:val="203"/>
        </w:trPr>
        <w:tc>
          <w:tcPr>
            <w:tcW w:w="2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9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and the Company</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Vaughn A. Clarke</w:t>
            </w:r>
          </w:p>
        </w:tc>
        <w:tc>
          <w:tcPr>
            <w:tcW w:w="11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40</w:t>
            </w:r>
          </w:p>
        </w:tc>
        <w:tc>
          <w:tcPr>
            <w:tcW w:w="4900" w:type="dxa"/>
            <w:vAlign w:val="bottom"/>
          </w:tcPr>
          <w:p>
            <w:pPr>
              <w:ind w:left="580"/>
              <w:spacing w:after="0"/>
              <w:rPr>
                <w:sz w:val="20"/>
                <w:szCs w:val="20"/>
                <w:color w:val="auto"/>
              </w:rPr>
            </w:pPr>
            <w:r>
              <w:rPr>
                <w:rFonts w:ascii="Courier New" w:cs="Courier New" w:eastAsia="Courier New" w:hAnsi="Courier New"/>
                <w:sz w:val="18"/>
                <w:szCs w:val="18"/>
                <w:color w:val="auto"/>
              </w:rPr>
              <w:t>Vice President, Treasurer of Viacom</w:t>
            </w:r>
          </w:p>
        </w:tc>
      </w:tr>
      <w:tr>
        <w:trPr>
          <w:trHeight w:val="203"/>
        </w:trPr>
        <w:tc>
          <w:tcPr>
            <w:tcW w:w="2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9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Inc. and the Company</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Philippe P. Dauman</w:t>
            </w:r>
          </w:p>
        </w:tc>
        <w:tc>
          <w:tcPr>
            <w:tcW w:w="11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40</w:t>
            </w:r>
          </w:p>
        </w:tc>
        <w:tc>
          <w:tcPr>
            <w:tcW w:w="4900" w:type="dxa"/>
            <w:vAlign w:val="bottom"/>
          </w:tcPr>
          <w:p>
            <w:pPr>
              <w:ind w:left="580"/>
              <w:spacing w:after="0"/>
              <w:rPr>
                <w:sz w:val="20"/>
                <w:szCs w:val="20"/>
                <w:color w:val="auto"/>
              </w:rPr>
            </w:pPr>
            <w:r>
              <w:rPr>
                <w:rFonts w:ascii="Courier New" w:cs="Courier New" w:eastAsia="Courier New" w:hAnsi="Courier New"/>
                <w:sz w:val="18"/>
                <w:szCs w:val="18"/>
                <w:color w:val="auto"/>
              </w:rPr>
              <w:t>Executive Vice President, General</w:t>
            </w:r>
          </w:p>
        </w:tc>
      </w:tr>
      <w:tr>
        <w:trPr>
          <w:trHeight w:val="203"/>
        </w:trPr>
        <w:tc>
          <w:tcPr>
            <w:tcW w:w="2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9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Counsel, Chief Administrative Officer</w:t>
            </w:r>
          </w:p>
        </w:tc>
      </w:tr>
      <w:tr>
        <w:trPr>
          <w:trHeight w:val="203"/>
        </w:trPr>
        <w:tc>
          <w:tcPr>
            <w:tcW w:w="2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9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and Secretary and Director of Viacom</w:t>
            </w:r>
          </w:p>
        </w:tc>
      </w:tr>
      <w:tr>
        <w:trPr>
          <w:trHeight w:val="203"/>
        </w:trPr>
        <w:tc>
          <w:tcPr>
            <w:tcW w:w="2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9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Inc. and the Company</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Earl H. Doppelt</w:t>
            </w:r>
          </w:p>
        </w:tc>
        <w:tc>
          <w:tcPr>
            <w:tcW w:w="11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40</w:t>
            </w:r>
          </w:p>
        </w:tc>
        <w:tc>
          <w:tcPr>
            <w:tcW w:w="4900" w:type="dxa"/>
            <w:vAlign w:val="bottom"/>
          </w:tcPr>
          <w:p>
            <w:pPr>
              <w:ind w:left="580"/>
              <w:spacing w:after="0"/>
              <w:rPr>
                <w:sz w:val="20"/>
                <w:szCs w:val="20"/>
                <w:color w:val="auto"/>
              </w:rPr>
            </w:pPr>
            <w:r>
              <w:rPr>
                <w:rFonts w:ascii="Courier New" w:cs="Courier New" w:eastAsia="Courier New" w:hAnsi="Courier New"/>
                <w:sz w:val="18"/>
                <w:szCs w:val="18"/>
                <w:color w:val="auto"/>
              </w:rPr>
              <w:t>Senior Vice President, Deputy General</w:t>
            </w:r>
          </w:p>
        </w:tc>
      </w:tr>
      <w:tr>
        <w:trPr>
          <w:trHeight w:val="203"/>
        </w:trPr>
        <w:tc>
          <w:tcPr>
            <w:tcW w:w="2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9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Counsel of Viacom Inc. and the</w:t>
            </w:r>
          </w:p>
        </w:tc>
      </w:tr>
      <w:tr>
        <w:trPr>
          <w:trHeight w:val="203"/>
        </w:trPr>
        <w:tc>
          <w:tcPr>
            <w:tcW w:w="2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9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Company</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Thomas E. Dooley</w:t>
            </w:r>
          </w:p>
        </w:tc>
        <w:tc>
          <w:tcPr>
            <w:tcW w:w="11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37</w:t>
            </w:r>
          </w:p>
        </w:tc>
        <w:tc>
          <w:tcPr>
            <w:tcW w:w="4900" w:type="dxa"/>
            <w:vAlign w:val="bottom"/>
          </w:tcPr>
          <w:p>
            <w:pPr>
              <w:ind w:left="580"/>
              <w:spacing w:after="0"/>
              <w:rPr>
                <w:sz w:val="20"/>
                <w:szCs w:val="20"/>
                <w:color w:val="auto"/>
              </w:rPr>
            </w:pPr>
            <w:r>
              <w:rPr>
                <w:rFonts w:ascii="Courier New" w:cs="Courier New" w:eastAsia="Courier New" w:hAnsi="Courier New"/>
                <w:sz w:val="18"/>
                <w:szCs w:val="18"/>
                <w:color w:val="auto"/>
              </w:rPr>
              <w:t>Executive Vice President, Finance,</w:t>
            </w:r>
          </w:p>
        </w:tc>
      </w:tr>
      <w:tr>
        <w:trPr>
          <w:trHeight w:val="203"/>
        </w:trPr>
        <w:tc>
          <w:tcPr>
            <w:tcW w:w="2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9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7"/>
              </w:rPr>
              <w:t>Corporate Development and Communications</w:t>
            </w:r>
          </w:p>
        </w:tc>
      </w:tr>
      <w:tr>
        <w:trPr>
          <w:trHeight w:val="203"/>
        </w:trPr>
        <w:tc>
          <w:tcPr>
            <w:tcW w:w="2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9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of Viacom Inc. and the Company</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Michael D. Fricklas</w:t>
            </w:r>
          </w:p>
        </w:tc>
        <w:tc>
          <w:tcPr>
            <w:tcW w:w="11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34</w:t>
            </w:r>
          </w:p>
        </w:tc>
        <w:tc>
          <w:tcPr>
            <w:tcW w:w="4900" w:type="dxa"/>
            <w:vAlign w:val="bottom"/>
          </w:tcPr>
          <w:p>
            <w:pPr>
              <w:ind w:left="580"/>
              <w:spacing w:after="0"/>
              <w:rPr>
                <w:sz w:val="20"/>
                <w:szCs w:val="20"/>
                <w:color w:val="auto"/>
              </w:rPr>
            </w:pPr>
            <w:r>
              <w:rPr>
                <w:rFonts w:ascii="Courier New" w:cs="Courier New" w:eastAsia="Courier New" w:hAnsi="Courier New"/>
                <w:sz w:val="18"/>
                <w:szCs w:val="18"/>
                <w:color w:val="auto"/>
              </w:rPr>
              <w:t>Senior Vice President, Deputy</w:t>
            </w:r>
          </w:p>
        </w:tc>
      </w:tr>
      <w:tr>
        <w:trPr>
          <w:trHeight w:val="203"/>
        </w:trPr>
        <w:tc>
          <w:tcPr>
            <w:tcW w:w="2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9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General Counsel of Viacom Inc. and</w:t>
            </w:r>
          </w:p>
        </w:tc>
      </w:tr>
      <w:tr>
        <w:trPr>
          <w:trHeight w:val="203"/>
        </w:trPr>
        <w:tc>
          <w:tcPr>
            <w:tcW w:w="2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9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the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 - 43</w:t>
      </w:r>
    </w:p>
    <w:p>
      <w:pPr>
        <w:sectPr>
          <w:pgSz w:w="11900" w:h="16838" w:orient="portrait"/>
          <w:cols w:equalWidth="0" w:num="1">
            <w:col w:w="10219"/>
          </w:cols>
          <w:pgMar w:left="240" w:top="723"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20"/>
                <w:szCs w:val="20"/>
                <w:color w:val="auto"/>
              </w:rPr>
            </w:pPr>
            <w:r>
              <w:rPr>
                <w:rFonts w:ascii="Courier New" w:cs="Courier New" w:eastAsia="Courier New" w:hAnsi="Courier New"/>
                <w:sz w:val="18"/>
                <w:szCs w:val="18"/>
                <w:color w:val="auto"/>
              </w:rPr>
              <w:t>John W. Goddard</w:t>
            </w:r>
          </w:p>
        </w:tc>
        <w:tc>
          <w:tcPr>
            <w:tcW w:w="10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52</w:t>
            </w:r>
          </w:p>
        </w:tc>
        <w:tc>
          <w:tcPr>
            <w:tcW w:w="4780" w:type="dxa"/>
            <w:vAlign w:val="bottom"/>
          </w:tcPr>
          <w:p>
            <w:pPr>
              <w:ind w:left="580"/>
              <w:spacing w:after="0"/>
              <w:rPr>
                <w:sz w:val="20"/>
                <w:szCs w:val="20"/>
                <w:color w:val="auto"/>
              </w:rPr>
            </w:pPr>
            <w:r>
              <w:rPr>
                <w:rFonts w:ascii="Courier New" w:cs="Courier New" w:eastAsia="Courier New" w:hAnsi="Courier New"/>
                <w:sz w:val="18"/>
                <w:szCs w:val="18"/>
                <w:color w:val="auto"/>
              </w:rPr>
              <w:t>Senior Vice President of Viacom</w:t>
            </w:r>
          </w:p>
        </w:tc>
      </w:tr>
      <w:tr>
        <w:trPr>
          <w:trHeight w:val="203"/>
        </w:trPr>
        <w:tc>
          <w:tcPr>
            <w:tcW w:w="2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Inc. and the Company; President,</w:t>
            </w:r>
          </w:p>
        </w:tc>
      </w:tr>
      <w:tr>
        <w:trPr>
          <w:trHeight w:val="203"/>
        </w:trPr>
        <w:tc>
          <w:tcPr>
            <w:tcW w:w="2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Chief Executive Officer of Viacom</w:t>
            </w:r>
          </w:p>
        </w:tc>
      </w:tr>
      <w:tr>
        <w:trPr>
          <w:trHeight w:val="203"/>
        </w:trPr>
        <w:tc>
          <w:tcPr>
            <w:tcW w:w="2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Cable</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Edward D. Horowitz</w:t>
            </w:r>
          </w:p>
        </w:tc>
        <w:tc>
          <w:tcPr>
            <w:tcW w:w="10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46</w:t>
            </w:r>
          </w:p>
        </w:tc>
        <w:tc>
          <w:tcPr>
            <w:tcW w:w="4780" w:type="dxa"/>
            <w:vAlign w:val="bottom"/>
          </w:tcPr>
          <w:p>
            <w:pPr>
              <w:ind w:left="580"/>
              <w:spacing w:after="0"/>
              <w:rPr>
                <w:sz w:val="20"/>
                <w:szCs w:val="20"/>
                <w:color w:val="auto"/>
              </w:rPr>
            </w:pPr>
            <w:r>
              <w:rPr>
                <w:rFonts w:ascii="Courier New" w:cs="Courier New" w:eastAsia="Courier New" w:hAnsi="Courier New"/>
                <w:sz w:val="18"/>
                <w:szCs w:val="18"/>
                <w:color w:val="auto"/>
              </w:rPr>
              <w:t>Senior Vice President, Technology of</w:t>
            </w:r>
          </w:p>
        </w:tc>
      </w:tr>
      <w:tr>
        <w:trPr>
          <w:trHeight w:val="203"/>
        </w:trPr>
        <w:tc>
          <w:tcPr>
            <w:tcW w:w="2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Viacom Inc. and the Company;</w:t>
            </w:r>
          </w:p>
        </w:tc>
      </w:tr>
      <w:tr>
        <w:trPr>
          <w:trHeight w:val="203"/>
        </w:trPr>
        <w:tc>
          <w:tcPr>
            <w:tcW w:w="2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Chairman, Chief Executive Officer</w:t>
            </w:r>
          </w:p>
        </w:tc>
      </w:tr>
      <w:tr>
        <w:trPr>
          <w:trHeight w:val="203"/>
        </w:trPr>
        <w:tc>
          <w:tcPr>
            <w:tcW w:w="2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of New Media and Interactive</w:t>
            </w:r>
          </w:p>
        </w:tc>
      </w:tr>
      <w:tr>
        <w:trPr>
          <w:trHeight w:val="203"/>
        </w:trPr>
        <w:tc>
          <w:tcPr>
            <w:tcW w:w="2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Television</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Kevin C. Lavan</w:t>
            </w:r>
          </w:p>
        </w:tc>
        <w:tc>
          <w:tcPr>
            <w:tcW w:w="10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41</w:t>
            </w:r>
          </w:p>
        </w:tc>
        <w:tc>
          <w:tcPr>
            <w:tcW w:w="4780" w:type="dxa"/>
            <w:vAlign w:val="bottom"/>
          </w:tcPr>
          <w:p>
            <w:pPr>
              <w:ind w:left="580"/>
              <w:spacing w:after="0"/>
              <w:rPr>
                <w:sz w:val="20"/>
                <w:szCs w:val="20"/>
                <w:color w:val="auto"/>
              </w:rPr>
            </w:pPr>
            <w:r>
              <w:rPr>
                <w:rFonts w:ascii="Courier New" w:cs="Courier New" w:eastAsia="Courier New" w:hAnsi="Courier New"/>
                <w:sz w:val="18"/>
                <w:szCs w:val="18"/>
                <w:color w:val="auto"/>
              </w:rPr>
              <w:t>Vice President, Controller and Chief</w:t>
            </w:r>
          </w:p>
        </w:tc>
      </w:tr>
      <w:tr>
        <w:trPr>
          <w:trHeight w:val="203"/>
        </w:trPr>
        <w:tc>
          <w:tcPr>
            <w:tcW w:w="2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Accounting Officer of Viacom Inc.</w:t>
            </w:r>
          </w:p>
        </w:tc>
      </w:tr>
      <w:tr>
        <w:trPr>
          <w:trHeight w:val="203"/>
        </w:trPr>
        <w:tc>
          <w:tcPr>
            <w:tcW w:w="2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and the Company</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Henry J. Leingang</w:t>
            </w:r>
          </w:p>
        </w:tc>
        <w:tc>
          <w:tcPr>
            <w:tcW w:w="10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44</w:t>
            </w:r>
          </w:p>
        </w:tc>
        <w:tc>
          <w:tcPr>
            <w:tcW w:w="4780" w:type="dxa"/>
            <w:vAlign w:val="bottom"/>
          </w:tcPr>
          <w:p>
            <w:pPr>
              <w:ind w:left="580"/>
              <w:spacing w:after="0"/>
              <w:rPr>
                <w:sz w:val="20"/>
                <w:szCs w:val="20"/>
                <w:color w:val="auto"/>
              </w:rPr>
            </w:pPr>
            <w:r>
              <w:rPr>
                <w:rFonts w:ascii="Courier New" w:cs="Courier New" w:eastAsia="Courier New" w:hAnsi="Courier New"/>
                <w:sz w:val="18"/>
                <w:szCs w:val="18"/>
                <w:color w:val="auto"/>
                <w:w w:val="96"/>
              </w:rPr>
              <w:t>Senior Vice President, Chief Information</w:t>
            </w:r>
          </w:p>
        </w:tc>
      </w:tr>
      <w:tr>
        <w:trPr>
          <w:trHeight w:val="203"/>
        </w:trPr>
        <w:tc>
          <w:tcPr>
            <w:tcW w:w="2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Officer of Viacom Inc. and the</w:t>
            </w:r>
          </w:p>
        </w:tc>
      </w:tr>
      <w:tr>
        <w:trPr>
          <w:trHeight w:val="203"/>
        </w:trPr>
        <w:tc>
          <w:tcPr>
            <w:tcW w:w="2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Company</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William A. Roskin</w:t>
            </w:r>
          </w:p>
        </w:tc>
        <w:tc>
          <w:tcPr>
            <w:tcW w:w="10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51</w:t>
            </w:r>
          </w:p>
        </w:tc>
        <w:tc>
          <w:tcPr>
            <w:tcW w:w="4780" w:type="dxa"/>
            <w:vAlign w:val="bottom"/>
          </w:tcPr>
          <w:p>
            <w:pPr>
              <w:ind w:left="580"/>
              <w:spacing w:after="0"/>
              <w:rPr>
                <w:sz w:val="20"/>
                <w:szCs w:val="20"/>
                <w:color w:val="auto"/>
              </w:rPr>
            </w:pPr>
            <w:r>
              <w:rPr>
                <w:rFonts w:ascii="Courier New" w:cs="Courier New" w:eastAsia="Courier New" w:hAnsi="Courier New"/>
                <w:sz w:val="18"/>
                <w:szCs w:val="18"/>
                <w:color w:val="auto"/>
              </w:rPr>
              <w:t>Senior Vice President, Human Resources</w:t>
            </w:r>
          </w:p>
        </w:tc>
      </w:tr>
      <w:tr>
        <w:trPr>
          <w:trHeight w:val="203"/>
        </w:trPr>
        <w:tc>
          <w:tcPr>
            <w:tcW w:w="2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and Administration of Viacom Inc.</w:t>
            </w:r>
          </w:p>
        </w:tc>
      </w:tr>
      <w:tr>
        <w:trPr>
          <w:trHeight w:val="203"/>
        </w:trPr>
        <w:tc>
          <w:tcPr>
            <w:tcW w:w="2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and the Company</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George S. Smith, Jr.</w:t>
            </w:r>
          </w:p>
        </w:tc>
        <w:tc>
          <w:tcPr>
            <w:tcW w:w="10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45</w:t>
            </w:r>
          </w:p>
        </w:tc>
        <w:tc>
          <w:tcPr>
            <w:tcW w:w="4780" w:type="dxa"/>
            <w:vAlign w:val="bottom"/>
          </w:tcPr>
          <w:p>
            <w:pPr>
              <w:ind w:left="580"/>
              <w:spacing w:after="0"/>
              <w:rPr>
                <w:sz w:val="20"/>
                <w:szCs w:val="20"/>
                <w:color w:val="auto"/>
              </w:rPr>
            </w:pPr>
            <w:r>
              <w:rPr>
                <w:rFonts w:ascii="Courier New" w:cs="Courier New" w:eastAsia="Courier New" w:hAnsi="Courier New"/>
                <w:sz w:val="18"/>
                <w:szCs w:val="18"/>
                <w:color w:val="auto"/>
              </w:rPr>
              <w:t>Senior Vice President, Chief</w:t>
            </w:r>
          </w:p>
        </w:tc>
      </w:tr>
      <w:tr>
        <w:trPr>
          <w:trHeight w:val="203"/>
        </w:trPr>
        <w:tc>
          <w:tcPr>
            <w:tcW w:w="2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Financial Officer of Viacom Inc.</w:t>
            </w:r>
          </w:p>
        </w:tc>
      </w:tr>
      <w:tr>
        <w:trPr>
          <w:trHeight w:val="203"/>
        </w:trPr>
        <w:tc>
          <w:tcPr>
            <w:tcW w:w="2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and the Company</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Mark M. Weinstein</w:t>
            </w:r>
          </w:p>
        </w:tc>
        <w:tc>
          <w:tcPr>
            <w:tcW w:w="10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51</w:t>
            </w:r>
          </w:p>
        </w:tc>
        <w:tc>
          <w:tcPr>
            <w:tcW w:w="4780" w:type="dxa"/>
            <w:vAlign w:val="bottom"/>
          </w:tcPr>
          <w:p>
            <w:pPr>
              <w:ind w:left="580"/>
              <w:spacing w:after="0"/>
              <w:rPr>
                <w:sz w:val="20"/>
                <w:szCs w:val="20"/>
                <w:color w:val="auto"/>
              </w:rPr>
            </w:pPr>
            <w:r>
              <w:rPr>
                <w:rFonts w:ascii="Courier New" w:cs="Courier New" w:eastAsia="Courier New" w:hAnsi="Courier New"/>
                <w:sz w:val="18"/>
                <w:szCs w:val="18"/>
                <w:color w:val="auto"/>
              </w:rPr>
              <w:t>Senior Vice President, Government</w:t>
            </w:r>
          </w:p>
        </w:tc>
      </w:tr>
      <w:tr>
        <w:trPr>
          <w:trHeight w:val="203"/>
        </w:trPr>
        <w:tc>
          <w:tcPr>
            <w:tcW w:w="2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Affairs of Viacom Inc. and the</w:t>
            </w:r>
          </w:p>
        </w:tc>
      </w:tr>
      <w:tr>
        <w:trPr>
          <w:trHeight w:val="203"/>
        </w:trPr>
        <w:tc>
          <w:tcPr>
            <w:tcW w:w="2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Company</w:t>
            </w:r>
          </w:p>
        </w:tc>
      </w:tr>
    </w:tbl>
    <w:p>
      <w:pPr>
        <w:spacing w:after="0" w:line="207" w:lineRule="exact"/>
        <w:rPr>
          <w:sz w:val="20"/>
          <w:szCs w:val="20"/>
          <w:color w:val="auto"/>
        </w:rPr>
      </w:pPr>
    </w:p>
    <w:p>
      <w:pPr>
        <w:ind w:right="2939" w:firstLine="421"/>
        <w:spacing w:after="0" w:line="237" w:lineRule="auto"/>
        <w:rPr>
          <w:sz w:val="20"/>
          <w:szCs w:val="20"/>
          <w:color w:val="auto"/>
        </w:rPr>
      </w:pPr>
      <w:r>
        <w:rPr>
          <w:rFonts w:ascii="Courier New" w:cs="Courier New" w:eastAsia="Courier New" w:hAnsi="Courier New"/>
          <w:sz w:val="18"/>
          <w:szCs w:val="18"/>
          <w:color w:val="auto"/>
        </w:rPr>
        <w:t>None of the executive officers of Viacom Inc. or the Company is related to any other executive officer or director by blood, marriage or adoption except that Brent D. Redstone, a Director of Viacom Inc. and the Company, is the son of Sumner M. Redstone.</w:t>
      </w:r>
    </w:p>
    <w:p>
      <w:pPr>
        <w:spacing w:after="0" w:line="200" w:lineRule="exact"/>
        <w:rPr>
          <w:sz w:val="20"/>
          <w:szCs w:val="20"/>
          <w:color w:val="auto"/>
        </w:rPr>
      </w:pPr>
    </w:p>
    <w:p>
      <w:pPr>
        <w:spacing w:after="0" w:line="210" w:lineRule="exact"/>
        <w:rPr>
          <w:sz w:val="20"/>
          <w:szCs w:val="20"/>
          <w:color w:val="auto"/>
        </w:rPr>
      </w:pPr>
    </w:p>
    <w:p>
      <w:pPr>
        <w:ind w:right="2739" w:firstLine="421"/>
        <w:spacing w:after="0" w:line="270" w:lineRule="auto"/>
        <w:rPr>
          <w:sz w:val="20"/>
          <w:szCs w:val="20"/>
          <w:color w:val="auto"/>
        </w:rPr>
      </w:pPr>
      <w:r>
        <w:rPr>
          <w:rFonts w:ascii="Courier New" w:cs="Courier New" w:eastAsia="Courier New" w:hAnsi="Courier New"/>
          <w:sz w:val="16"/>
          <w:szCs w:val="16"/>
          <w:color w:val="auto"/>
        </w:rPr>
        <w:t>Mr. Redstone has been Chairman of the Board and a Director of the Company since the Merger. Mr. Redstone is also Chairman of the Board and a Director of Viacom Inc. Mr. Redstone has served as President, Chief Executive Officer of NAI since July 1967, and continues to serve in such capacity; he has also served as the Chairman of the Board of NAI since 1986. Mr. Redstone became a director of Paramount in March 1994. He served as the first Chairman of the Board of the National Association of Theater Owners, and is currently a member of the Executive Committee of that organization. During the Carter Administration, Mr. Redstone was appointed a member of the Presidential Advisory Committee on the Arts for the John F. Kennedy Center for the Performing Arts and, in 1984, he was appointed a Director of the Kennedy Presidential Library Foundation. Since 1982, Mr. Redstone has been a member of the faculty of Boston University Law School, where he has lectured in entertainment law. In 1944, Mr. Redstone graduated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 - 44</w:t>
      </w:r>
    </w:p>
    <w:p>
      <w:pPr>
        <w:sectPr>
          <w:pgSz w:w="11900" w:h="16838" w:orient="portrait"/>
          <w:cols w:equalWidth="0" w:num="1">
            <w:col w:w="10219"/>
          </w:cols>
          <w:pgMar w:left="240" w:top="717" w:right="1440" w:bottom="1440" w:gutter="0" w:footer="0" w:header="0"/>
        </w:sectPr>
      </w:pPr>
    </w:p>
    <w:bookmarkStart w:id="46" w:name="page47"/>
    <w:bookmarkEnd w:id="46"/>
    <w:p>
      <w:pPr>
        <w:ind w:right="2839"/>
        <w:spacing w:after="0" w:line="237" w:lineRule="auto"/>
        <w:rPr>
          <w:sz w:val="20"/>
          <w:szCs w:val="20"/>
          <w:color w:val="auto"/>
        </w:rPr>
      </w:pPr>
      <w:r>
        <w:rPr>
          <w:rFonts w:ascii="Courier New" w:cs="Courier New" w:eastAsia="Courier New" w:hAnsi="Courier New"/>
          <w:sz w:val="18"/>
          <w:szCs w:val="18"/>
          <w:color w:val="auto"/>
        </w:rPr>
        <w:t>from Harvard University and, in 1947, received an L.L.B. from Harvard University School of Law. Upon graduation, he served as Law Secretary with the United States Court of Appeals, and then as a Special Assistant to the United States Attorney General.</w:t>
      </w:r>
    </w:p>
    <w:p>
      <w:pPr>
        <w:spacing w:after="0" w:line="207" w:lineRule="exact"/>
        <w:rPr>
          <w:sz w:val="20"/>
          <w:szCs w:val="20"/>
          <w:color w:val="auto"/>
        </w:rPr>
      </w:pPr>
    </w:p>
    <w:p>
      <w:pPr>
        <w:ind w:right="2739" w:firstLine="421"/>
        <w:spacing w:after="0" w:line="237" w:lineRule="auto"/>
        <w:rPr>
          <w:sz w:val="20"/>
          <w:szCs w:val="20"/>
          <w:color w:val="auto"/>
        </w:rPr>
      </w:pPr>
      <w:r>
        <w:rPr>
          <w:rFonts w:ascii="Courier New" w:cs="Courier New" w:eastAsia="Courier New" w:hAnsi="Courier New"/>
          <w:sz w:val="18"/>
          <w:szCs w:val="18"/>
          <w:color w:val="auto"/>
        </w:rPr>
        <w:t>Mr. Biondi has been President, Chief Executive Officer and a Director of Viacom Inc. and the Company since July 1987. He became a director of Paramount in March 1994. From November 1986 to July 1987, Mr. Biondi was Chairman, Chief Executive Officer of Coca-Cola Television and, from 1985, Executive Vice President of the Entertainment Business Sector of The Coca-Cola Company. Mr. Biondi joined HBO in 1978 and held various positions there until his appointment as President, Chief Executive Officer in 1983. In 1984, he was elected to the additional position of Chairman and continued to serve in such capacities until October 1984.</w:t>
      </w:r>
    </w:p>
    <w:p>
      <w:pPr>
        <w:spacing w:after="0" w:line="215" w:lineRule="exact"/>
        <w:rPr>
          <w:sz w:val="20"/>
          <w:szCs w:val="20"/>
          <w:color w:val="auto"/>
        </w:rPr>
      </w:pPr>
    </w:p>
    <w:p>
      <w:pPr>
        <w:ind w:right="2739" w:firstLine="421"/>
        <w:spacing w:after="0" w:line="237" w:lineRule="auto"/>
        <w:rPr>
          <w:sz w:val="20"/>
          <w:szCs w:val="20"/>
          <w:color w:val="auto"/>
        </w:rPr>
      </w:pPr>
      <w:r>
        <w:rPr>
          <w:rFonts w:ascii="Courier New" w:cs="Courier New" w:eastAsia="Courier New" w:hAnsi="Courier New"/>
          <w:sz w:val="18"/>
          <w:szCs w:val="18"/>
          <w:color w:val="auto"/>
        </w:rPr>
        <w:t>Mr. Boyce has been an executive officer of Viacom Inc. and the Company since January 1988 when he was elected Senior Vice President, Corporate Relations of the Company. In April 1988, he was elected Senior Vice President, Corporate Relations of Viacom Inc. Mr. Boyce served as Vice President, Public Relations of the Entertainment Business Sector of The Coca-Cola Company from 1982 to 1987. In 1979, Mr. Boyce joined Columbia Pictures Industries, Inc. and served first as Director, Corporate Communications and later as Vice President, Corporate Communications until The Coca-Cola Company's acquisition of Columbia Pictures Industries, Inc. in 1982.</w:t>
      </w:r>
    </w:p>
    <w:p>
      <w:pPr>
        <w:spacing w:after="0" w:line="215" w:lineRule="exact"/>
        <w:rPr>
          <w:sz w:val="20"/>
          <w:szCs w:val="20"/>
          <w:color w:val="auto"/>
        </w:rPr>
      </w:pPr>
    </w:p>
    <w:p>
      <w:pPr>
        <w:ind w:right="2739" w:firstLine="421"/>
        <w:spacing w:after="0" w:line="238" w:lineRule="auto"/>
        <w:rPr>
          <w:sz w:val="20"/>
          <w:szCs w:val="20"/>
          <w:color w:val="auto"/>
        </w:rPr>
      </w:pPr>
      <w:r>
        <w:rPr>
          <w:rFonts w:ascii="Courier New" w:cs="Courier New" w:eastAsia="Courier New" w:hAnsi="Courier New"/>
          <w:sz w:val="18"/>
          <w:szCs w:val="18"/>
          <w:color w:val="auto"/>
        </w:rPr>
        <w:t>Mr. Braun has been an executive officer of Viacom Inc. and the Company since November 1987 when he was elected Senior Vice President of each. He served as Chairman, Chief Executive Officer of Viacom Entertainment from July 1992 to March 1994. Prior to that, Mr. Braun served as Senior Vice President, Corporate Development and Administration of Viacom Inc. and the Company from November 1987 to July 1992 and from October 1989 to July 1992, he also served as Chairman of Viacom Pictures. Mr. Braun served as President, Chief Operating Officer of Imagine Films Entertainment from May 1986 until he joined the Company. From 1982 until 1986, Mr. Braun held various positions at HBO including Senior Vice President, Film Programming of HBO and Executive Vice President of HBO Video, Inc.</w:t>
      </w:r>
    </w:p>
    <w:p>
      <w:pPr>
        <w:spacing w:after="0" w:line="207" w:lineRule="exact"/>
        <w:rPr>
          <w:sz w:val="20"/>
          <w:szCs w:val="20"/>
          <w:color w:val="auto"/>
        </w:rPr>
      </w:pPr>
    </w:p>
    <w:p>
      <w:pPr>
        <w:ind w:right="2739" w:firstLine="421"/>
        <w:spacing w:after="0" w:line="237" w:lineRule="auto"/>
        <w:rPr>
          <w:sz w:val="20"/>
          <w:szCs w:val="20"/>
          <w:color w:val="auto"/>
        </w:rPr>
      </w:pPr>
      <w:r>
        <w:rPr>
          <w:rFonts w:ascii="Courier New" w:cs="Courier New" w:eastAsia="Courier New" w:hAnsi="Courier New"/>
          <w:sz w:val="18"/>
          <w:szCs w:val="18"/>
          <w:color w:val="auto"/>
        </w:rPr>
        <w:t>Mr. Clarke was elected Vice President, Treasurer of Viacom and the Company in April 1993. Prior to that, he spent 12 years at Gannett Co., Inc., where he held various management positions, most recently as Assistant Treasurer.</w:t>
      </w:r>
    </w:p>
    <w:p>
      <w:pPr>
        <w:spacing w:after="0" w:line="207" w:lineRule="exact"/>
        <w:rPr>
          <w:sz w:val="20"/>
          <w:szCs w:val="20"/>
          <w:color w:val="auto"/>
        </w:rPr>
      </w:pPr>
    </w:p>
    <w:p>
      <w:pPr>
        <w:ind w:right="2739" w:firstLine="421"/>
        <w:spacing w:after="0" w:line="237" w:lineRule="auto"/>
        <w:rPr>
          <w:sz w:val="20"/>
          <w:szCs w:val="20"/>
          <w:color w:val="auto"/>
        </w:rPr>
      </w:pPr>
      <w:r>
        <w:rPr>
          <w:rFonts w:ascii="Courier New" w:cs="Courier New" w:eastAsia="Courier New" w:hAnsi="Courier New"/>
          <w:sz w:val="18"/>
          <w:szCs w:val="18"/>
          <w:color w:val="auto"/>
        </w:rPr>
        <w:t>Mr. Dauman has been a Director of Viacom Inc. and the Company since the Merger. In March 1994, he was elected Executive Vice President, General Counsel, Chief Administrative Officer and Secretary of Viacom Inc. and the Company. From February 1993 to March 1994, he served as Senior Vice President, General Counsel and Secretary of Viacom Inc. and the Company. Prior to that, Mr. Dauman was a partner in the law firm of Shearman &amp; Sterling in New York, which he joined in 1978. Mr. Dauman became a Director of National Amusements, Inc. in 1992 and Paramount in March 1994.</w:t>
      </w:r>
    </w:p>
    <w:p>
      <w:pPr>
        <w:spacing w:after="0" w:line="20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Mr. Dooley has been an executive officer of the Company since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 - 45</w:t>
      </w:r>
    </w:p>
    <w:p>
      <w:pPr>
        <w:sectPr>
          <w:pgSz w:w="11900" w:h="16838" w:orient="portrait"/>
          <w:cols w:equalWidth="0" w:num="1">
            <w:col w:w="10219"/>
          </w:cols>
          <w:pgMar w:left="240" w:top="723" w:right="1440" w:bottom="1440" w:gutter="0" w:footer="0" w:header="0"/>
        </w:sectPr>
      </w:pPr>
    </w:p>
    <w:bookmarkStart w:id="47" w:name="page48"/>
    <w:bookmarkEnd w:id="47"/>
    <w:p>
      <w:pPr>
        <w:ind w:right="2739"/>
        <w:spacing w:after="0" w:line="238" w:lineRule="auto"/>
        <w:rPr>
          <w:sz w:val="20"/>
          <w:szCs w:val="20"/>
          <w:color w:val="auto"/>
        </w:rPr>
      </w:pPr>
      <w:r>
        <w:rPr>
          <w:rFonts w:ascii="Courier New" w:cs="Courier New" w:eastAsia="Courier New" w:hAnsi="Courier New"/>
          <w:sz w:val="18"/>
          <w:szCs w:val="18"/>
          <w:color w:val="auto"/>
        </w:rPr>
        <w:t>January 1987. In March 1994, he was elected Executive Vice President, Finance, Corporate Development and Communications of Viacom Inc. and the Company. From July 1992 to March 1994, Mr. Dooley served as Senior Vice President, Corporate Development of Viacom Inc. and the Company. From August 1993 to March 1994, he also served as President, Interactive Television. Prior to that, he served as Vice President, Treasurer of the Company and Viacom Inc. since 1987. In December 1990, he was named Vice President, Finance of Viacom Inc. and the Company. Mr. Dooley joined the Company in 1980 in the corporate finance area and has held various positions in the corporate and divisional finance areas, the most recent of which was Director of Business Analysis from 1985 to 1986.</w:t>
      </w:r>
    </w:p>
    <w:p>
      <w:pPr>
        <w:spacing w:after="0" w:line="207" w:lineRule="exact"/>
        <w:rPr>
          <w:sz w:val="20"/>
          <w:szCs w:val="20"/>
          <w:color w:val="auto"/>
        </w:rPr>
      </w:pPr>
    </w:p>
    <w:p>
      <w:pPr>
        <w:ind w:right="2739" w:firstLine="421"/>
        <w:spacing w:after="0" w:line="237" w:lineRule="auto"/>
        <w:rPr>
          <w:sz w:val="20"/>
          <w:szCs w:val="20"/>
          <w:color w:val="auto"/>
        </w:rPr>
      </w:pPr>
      <w:r>
        <w:rPr>
          <w:rFonts w:ascii="Courier New" w:cs="Courier New" w:eastAsia="Courier New" w:hAnsi="Courier New"/>
          <w:sz w:val="18"/>
          <w:szCs w:val="18"/>
          <w:color w:val="auto"/>
        </w:rPr>
        <w:t>Mr. Doppelt was elected Senior Vice President, Deputy General Counsel of Viacom Inc. and the Company in March 1994. Prior to that, he served as Senior Vice President of Paramount since 1992 and as Deputy General Counsel of Paramount since 1985. He joined Paramount in 1983 as Associate Litigation Counsel, and in 1985 was appointed Assistant Vice President and Deputy General Counsel. In 1986, he became a Vice President of Paramount. From 1977 to 1983, Mr. Doppelt was an attorney in private practice at the law firm of Paul, Weiss, Rifkind, Wharton &amp; Garrison.</w:t>
      </w:r>
    </w:p>
    <w:p>
      <w:pPr>
        <w:spacing w:after="0" w:line="214"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Mr. Fricklas was elected Senior Vice President, Deputy General Counsel of Viacom Inc. and the Company in March 1994. From June 1993 to March 1994, he served as Vice President, Deputy General Counsel of Viacom Inc. and the Company. He served as Vice President, General Counsel and Secretary of Minorco (U.S.A.) Inc. from 1990 to 1993. Prior to that, Mr. Fricklas was an attorney in private practice at the law firm of Shearman &amp; Sterling.</w:t>
      </w:r>
    </w:p>
    <w:p>
      <w:pPr>
        <w:spacing w:after="0" w:line="211" w:lineRule="exact"/>
        <w:rPr>
          <w:sz w:val="20"/>
          <w:szCs w:val="20"/>
          <w:color w:val="auto"/>
        </w:rPr>
      </w:pPr>
    </w:p>
    <w:p>
      <w:pPr>
        <w:ind w:right="2739" w:firstLine="421"/>
        <w:spacing w:after="0" w:line="237" w:lineRule="auto"/>
        <w:rPr>
          <w:sz w:val="20"/>
          <w:szCs w:val="20"/>
          <w:color w:val="auto"/>
        </w:rPr>
      </w:pPr>
      <w:r>
        <w:rPr>
          <w:rFonts w:ascii="Courier New" w:cs="Courier New" w:eastAsia="Courier New" w:hAnsi="Courier New"/>
          <w:sz w:val="18"/>
          <w:szCs w:val="18"/>
          <w:color w:val="auto"/>
        </w:rPr>
        <w:t>Mr. Goddard has been an executive officer of the Company since August 1980. In November 1987, Mr. Goddard was elected Senior Vice President of Viacom Inc. and in September 1983, Mr. Goddard was elected Senior Vice President of the Company and President, Chief Executive Officer of Viacom Cable and continues to serve in those capacities. In August 1980, Mr. Goddard was appointed President of Viacom Cable and, in September 1980, he was elected Vice President of the Company. From September 1978 through July 1980, Mr. Goddard was Executive Vice President, Viacom Communications. From June 1971 until September 1978, Mr. Goddard was President and General Manager of Tele-Vue Systems, a subsidiary of the Company.</w:t>
      </w:r>
    </w:p>
    <w:p>
      <w:pPr>
        <w:spacing w:after="0" w:line="216" w:lineRule="exact"/>
        <w:rPr>
          <w:sz w:val="20"/>
          <w:szCs w:val="20"/>
          <w:color w:val="auto"/>
        </w:rPr>
      </w:pPr>
    </w:p>
    <w:p>
      <w:pPr>
        <w:ind w:right="2739" w:firstLine="421"/>
        <w:spacing w:after="0" w:line="238" w:lineRule="auto"/>
        <w:rPr>
          <w:sz w:val="20"/>
          <w:szCs w:val="20"/>
          <w:color w:val="auto"/>
        </w:rPr>
      </w:pPr>
      <w:r>
        <w:rPr>
          <w:rFonts w:ascii="Courier New" w:cs="Courier New" w:eastAsia="Courier New" w:hAnsi="Courier New"/>
          <w:sz w:val="18"/>
          <w:szCs w:val="18"/>
          <w:color w:val="auto"/>
        </w:rPr>
        <w:t>Mr. Horowitz has been an executive officer of Viacom Inc. and the Company since April 1989. In March 1994, he was elected Senior Vice President, Technology of Viacom Inc. and the Company and Chairman, Chief Executive Officer of New Media and Interactive Television. Prior to that, he served as Senior Vice President of Viacom Inc. and the Company from April 1989 and as Chairman, Chief Executive Officer of Viacom Broadcasting from July 1992 to March 1994. From 1974 to April 1989, Mr. Horowitz held various positions with HBO, most recently as Senior Vice President, Technology and Operations. Mr. Horowitz held several other management positions with HBO, including Senior Vice President, Network Operations and New Business Development and Vice President, Affiliate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 - 46</w:t>
      </w:r>
    </w:p>
    <w:p>
      <w:pPr>
        <w:sectPr>
          <w:pgSz w:w="11900" w:h="16838" w:orient="portrait"/>
          <w:cols w:equalWidth="0" w:num="1">
            <w:col w:w="10219"/>
          </w:cols>
          <w:pgMar w:left="240" w:top="723" w:right="1440" w:bottom="1440" w:gutter="0" w:footer="0" w:header="0"/>
        </w:sectPr>
      </w:pPr>
    </w:p>
    <w:bookmarkStart w:id="48" w:name="page49"/>
    <w:bookmarkEnd w:id="48"/>
    <w:p>
      <w:pPr>
        <w:ind w:right="3039" w:firstLine="421"/>
        <w:spacing w:after="0" w:line="237" w:lineRule="auto"/>
        <w:rPr>
          <w:sz w:val="20"/>
          <w:szCs w:val="20"/>
          <w:color w:val="auto"/>
        </w:rPr>
      </w:pPr>
      <w:r>
        <w:rPr>
          <w:rFonts w:ascii="Courier New" w:cs="Courier New" w:eastAsia="Courier New" w:hAnsi="Courier New"/>
          <w:sz w:val="18"/>
          <w:szCs w:val="18"/>
          <w:color w:val="auto"/>
        </w:rPr>
        <w:t>Mr. Lavan has been an executive officer of the Company since December 1987. In May 1989, he was elected Vice President of Viacom Inc. and the Company. In December 1990, he assumed the added responsibilities of oversight of Company tax matters. From 1991 to 1992, he also served as Senior Vice President and Chief Financial Officer of Viacom Pictures. Mr. Lavan joined Viacom in 1984 as Assistant Controller and, in December 1987, was elected Controller, Chief Accounting Officer of Viacom Inc. and the Company and he continues to serve in such capacities.</w:t>
      </w:r>
    </w:p>
    <w:p>
      <w:pPr>
        <w:spacing w:after="0" w:line="214" w:lineRule="exact"/>
        <w:rPr>
          <w:sz w:val="20"/>
          <w:szCs w:val="20"/>
          <w:color w:val="auto"/>
        </w:rPr>
      </w:pPr>
    </w:p>
    <w:p>
      <w:pPr>
        <w:ind w:right="2739" w:firstLine="421"/>
        <w:spacing w:after="0" w:line="237" w:lineRule="auto"/>
        <w:rPr>
          <w:sz w:val="20"/>
          <w:szCs w:val="20"/>
          <w:color w:val="auto"/>
        </w:rPr>
      </w:pPr>
      <w:r>
        <w:rPr>
          <w:rFonts w:ascii="Courier New" w:cs="Courier New" w:eastAsia="Courier New" w:hAnsi="Courier New"/>
          <w:sz w:val="18"/>
          <w:szCs w:val="18"/>
          <w:color w:val="auto"/>
        </w:rPr>
        <w:t>Mr. Leingang was elected Senior Vice President, Chief Information Officer in May 1993. Prior to that, he served as Vice President, Chief Information Officer upon joining Viacom in 1990. Mr. Leingang was Vice President, Information Services of the Train Group (formerly Triangle Industries) from 1984 to 1990. From 1982 to 1984, he served as Corporate Director, MIS, and Manager, MIS Planning and Control for Interpace Corporation. Prior to that he held positions with Touche Ross &amp; Company, McGraw-Hill Book Company and General Electric Credit Corp.</w:t>
      </w:r>
    </w:p>
    <w:p>
      <w:pPr>
        <w:spacing w:after="0" w:line="214" w:lineRule="exact"/>
        <w:rPr>
          <w:sz w:val="20"/>
          <w:szCs w:val="20"/>
          <w:color w:val="auto"/>
        </w:rPr>
      </w:pPr>
    </w:p>
    <w:p>
      <w:pPr>
        <w:ind w:right="2739" w:firstLine="421"/>
        <w:spacing w:after="0" w:line="237" w:lineRule="auto"/>
        <w:rPr>
          <w:sz w:val="20"/>
          <w:szCs w:val="20"/>
          <w:color w:val="auto"/>
        </w:rPr>
      </w:pPr>
      <w:r>
        <w:rPr>
          <w:rFonts w:ascii="Courier New" w:cs="Courier New" w:eastAsia="Courier New" w:hAnsi="Courier New"/>
          <w:sz w:val="18"/>
          <w:szCs w:val="18"/>
          <w:color w:val="auto"/>
        </w:rPr>
        <w:t>Mr. Roskin has been an executive officer of Viacom Inc. and the Company since April 1988 when he became Vice President, Human Resources and Administration of each. In July 1992, Mr. Roskin was elected Senior Vice President, Human Resources and Administration of Viacom Inc. and the Company. From May 1986 to April 1988, he was Senior Vice President, Human Resources at Coleco Industries, Inc. From 1976 to 1986, he held various executive positions at Warner Communications, Inc., serving most recently as Vice President, Industrial and Labor Relations.</w:t>
      </w:r>
    </w:p>
    <w:p>
      <w:pPr>
        <w:spacing w:after="0" w:line="214"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Mr. Smith has been an executive officer of the Company since May 1985. In November 1987, he was elected Senior Vice President, Chief Financial Officer of Viacom Inc. and the Company and he continues to serve in such capacities. In May 1985, Mr. Smith was elected Vice President, Controller of the Company and, in October 1987, he was elected Vice President, Chief Financial Officer of the Company. From 1983 until May 1985, he served as Vice President, Finance and Administration of the Viacom Broadcasting Division and from 1981 until 1983, he served as Controller of Viacom Radio. Mr. Smith joined the Company in 1977 in the Corporate Treasurer's office and until 1981 served in various financial planning capacities.</w:t>
      </w:r>
    </w:p>
    <w:p>
      <w:pPr>
        <w:spacing w:after="0" w:line="216" w:lineRule="exact"/>
        <w:rPr>
          <w:sz w:val="20"/>
          <w:szCs w:val="20"/>
          <w:color w:val="auto"/>
        </w:rPr>
      </w:pPr>
    </w:p>
    <w:p>
      <w:pPr>
        <w:ind w:right="2739" w:firstLine="421"/>
        <w:spacing w:after="0" w:line="237" w:lineRule="auto"/>
        <w:rPr>
          <w:sz w:val="20"/>
          <w:szCs w:val="20"/>
          <w:color w:val="auto"/>
        </w:rPr>
      </w:pPr>
      <w:r>
        <w:rPr>
          <w:rFonts w:ascii="Courier New" w:cs="Courier New" w:eastAsia="Courier New" w:hAnsi="Courier New"/>
          <w:sz w:val="18"/>
          <w:szCs w:val="18"/>
          <w:color w:val="auto"/>
        </w:rPr>
        <w:t>Mr. Weinstein has been an executive officer of the Company since January 1986. In February 1993, he was elected Senior Vice President, Government Affairs of Viacom Inc. and the Company. Prior to that, Mr. Weinstein served as Senior Vice President, General Counsel and Secretary of the Company and of Viacom Inc. since the fall of 1987. In January 1986, Mr. Weinstein was appointed Vice President, General Counsel of the Company. From 1976 through 1985, he was Deputy General Counsel of Warner Communications Inc. and in 1980 became Vice President. Previously, Mr. Weinstein was an attorney in private practice at the law firm of Paul, Weiss, Rifkind, Wharton &amp; Garrison.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 - 47</w:t>
      </w:r>
    </w:p>
    <w:p>
      <w:pPr>
        <w:sectPr>
          <w:pgSz w:w="11900" w:h="16838" w:orient="portrait"/>
          <w:cols w:equalWidth="0" w:num="1">
            <w:col w:w="10219"/>
          </w:cols>
          <w:pgMar w:left="240" w:top="723"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8"/>
          <w:szCs w:val="18"/>
          <w:color w:val="auto"/>
        </w:rPr>
        <w:t>PART II</w:t>
      </w:r>
    </w:p>
    <w:p>
      <w:pPr>
        <w:spacing w:after="0" w:line="207" w:lineRule="exact"/>
        <w:rPr>
          <w:sz w:val="20"/>
          <w:szCs w:val="20"/>
          <w:color w:val="auto"/>
        </w:rPr>
      </w:pPr>
    </w:p>
    <w:p>
      <w:pPr>
        <w:ind w:left="520" w:right="1879" w:hanging="526"/>
        <w:spacing w:after="0" w:line="235" w:lineRule="auto"/>
        <w:rPr>
          <w:sz w:val="20"/>
          <w:szCs w:val="20"/>
          <w:color w:val="auto"/>
        </w:rPr>
      </w:pPr>
      <w:r>
        <w:rPr>
          <w:rFonts w:ascii="Courier New" w:cs="Courier New" w:eastAsia="Courier New" w:hAnsi="Courier New"/>
          <w:sz w:val="18"/>
          <w:szCs w:val="18"/>
          <w:color w:val="auto"/>
        </w:rPr>
        <w:t>Item 5. Market for Viacom Inc.'s Common Equity and Related Security Holder Matters.</w:t>
      </w:r>
    </w:p>
    <w:p>
      <w:pPr>
        <w:spacing w:after="0" w:line="200" w:lineRule="exact"/>
        <w:rPr>
          <w:sz w:val="20"/>
          <w:szCs w:val="20"/>
          <w:color w:val="auto"/>
        </w:rPr>
      </w:pP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Viacom Inc. voting Class A Common Stock and Viacom Inc. non-voting Class B Common Stock are listed and traded on the American Stock Exchange ("ASE") under the symbols "VIA" and "VIAB," respectively. The following table sets forth, for the calendar period indicated, the per share range of high and low sales prices for Viacom Inc.'s Class A Common Stock and Class B Common Stock, as reported on the ASE Composite Tape by the National Quotation Bureau Incorporated. As of March 30, 1994 there were approximately 6,912 holders of Viacom Inc. Class A Common Stock, and 6,861 holders of Viacom Inc. Class B Common Stock.</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236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rPr>
              <w:t>Viacom Class</w:t>
            </w:r>
          </w:p>
        </w:tc>
        <w:tc>
          <w:tcPr>
            <w:tcW w:w="54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17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Viacom Class B</w:t>
            </w:r>
          </w:p>
        </w:tc>
        <w:tc>
          <w:tcPr>
            <w:tcW w:w="38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Common Stock</w:t>
            </w:r>
          </w:p>
        </w:tc>
        <w:tc>
          <w:tcPr>
            <w:tcW w:w="540" w:type="dxa"/>
            <w:vAlign w:val="bottom"/>
          </w:tcPr>
          <w:p>
            <w:pPr>
              <w:spacing w:after="0"/>
              <w:rPr>
                <w:sz w:val="17"/>
                <w:szCs w:val="17"/>
                <w:color w:val="auto"/>
              </w:rPr>
            </w:pPr>
          </w:p>
        </w:tc>
        <w:tc>
          <w:tcPr>
            <w:tcW w:w="1720" w:type="dxa"/>
            <w:vAlign w:val="bottom"/>
            <w:gridSpan w:val="3"/>
          </w:tcPr>
          <w:p>
            <w:pPr>
              <w:ind w:left="300"/>
              <w:spacing w:after="0" w:line="203" w:lineRule="exact"/>
              <w:rPr>
                <w:sz w:val="20"/>
                <w:szCs w:val="20"/>
                <w:color w:val="auto"/>
              </w:rPr>
            </w:pPr>
            <w:r>
              <w:rPr>
                <w:rFonts w:ascii="Courier New" w:cs="Courier New" w:eastAsia="Courier New" w:hAnsi="Courier New"/>
                <w:sz w:val="18"/>
                <w:szCs w:val="18"/>
                <w:color w:val="auto"/>
              </w:rPr>
              <w:t>Common Stock</w:t>
            </w:r>
          </w:p>
        </w:tc>
        <w:tc>
          <w:tcPr>
            <w:tcW w:w="38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2900" w:type="dxa"/>
            <w:vAlign w:val="bottom"/>
            <w:gridSpan w:val="4"/>
          </w:tcPr>
          <w:p>
            <w:pPr>
              <w:ind w:left="880"/>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rPr>
                <w:sz w:val="17"/>
                <w:szCs w:val="17"/>
                <w:color w:val="auto"/>
              </w:rPr>
            </w:pPr>
          </w:p>
        </w:tc>
        <w:tc>
          <w:tcPr>
            <w:tcW w:w="174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High</w:t>
            </w:r>
          </w:p>
        </w:tc>
        <w:tc>
          <w:tcPr>
            <w:tcW w:w="1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Low</w:t>
            </w:r>
          </w:p>
        </w:tc>
        <w:tc>
          <w:tcPr>
            <w:tcW w:w="114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High</w:t>
            </w:r>
          </w:p>
        </w:tc>
        <w:tc>
          <w:tcPr>
            <w:tcW w:w="9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Low</w:t>
            </w:r>
          </w:p>
        </w:tc>
      </w:tr>
      <w:tr>
        <w:trPr>
          <w:trHeight w:val="203"/>
        </w:trPr>
        <w:tc>
          <w:tcPr>
            <w:tcW w:w="2160" w:type="dxa"/>
            <w:vAlign w:val="bottom"/>
          </w:tcPr>
          <w:p>
            <w:pPr>
              <w:spacing w:after="0"/>
              <w:rPr>
                <w:sz w:val="17"/>
                <w:szCs w:val="17"/>
                <w:color w:val="auto"/>
              </w:rPr>
            </w:pPr>
          </w:p>
        </w:tc>
        <w:tc>
          <w:tcPr>
            <w:tcW w:w="174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1992</w:t>
            </w: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05"/>
        </w:trPr>
        <w:tc>
          <w:tcPr>
            <w:tcW w:w="2160" w:type="dxa"/>
            <w:vAlign w:val="bottom"/>
          </w:tcPr>
          <w:p>
            <w:pPr>
              <w:ind w:left="200"/>
              <w:spacing w:after="0"/>
              <w:rPr>
                <w:sz w:val="20"/>
                <w:szCs w:val="20"/>
                <w:color w:val="auto"/>
              </w:rPr>
            </w:pPr>
            <w:r>
              <w:rPr>
                <w:rFonts w:ascii="Courier New" w:cs="Courier New" w:eastAsia="Courier New" w:hAnsi="Courier New"/>
                <w:sz w:val="18"/>
                <w:szCs w:val="18"/>
                <w:color w:val="auto"/>
              </w:rPr>
              <w:t>1st quarter</w:t>
            </w:r>
          </w:p>
        </w:tc>
        <w:tc>
          <w:tcPr>
            <w:tcW w:w="17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$37 1/4</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$32</w:t>
            </w:r>
          </w:p>
        </w:tc>
        <w:tc>
          <w:tcPr>
            <w:tcW w:w="540" w:type="dxa"/>
            <w:vAlign w:val="bottom"/>
          </w:tcPr>
          <w:p>
            <w:pPr>
              <w:spacing w:after="0"/>
              <w:rPr>
                <w:sz w:val="20"/>
                <w:szCs w:val="20"/>
                <w:color w:val="auto"/>
              </w:rPr>
            </w:pPr>
            <w:r>
              <w:rPr>
                <w:rFonts w:ascii="Courier New" w:cs="Courier New" w:eastAsia="Courier New" w:hAnsi="Courier New"/>
                <w:sz w:val="18"/>
                <w:szCs w:val="18"/>
                <w:color w:val="auto"/>
              </w:rPr>
              <w:t>1/8</w:t>
            </w:r>
          </w:p>
        </w:tc>
        <w:tc>
          <w:tcPr>
            <w:tcW w:w="114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$36 1/2</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$31 1/4</w:t>
            </w:r>
          </w:p>
        </w:tc>
      </w:tr>
      <w:tr>
        <w:trPr>
          <w:trHeight w:val="203"/>
        </w:trPr>
        <w:tc>
          <w:tcPr>
            <w:tcW w:w="2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2nd quarter</w:t>
            </w:r>
          </w:p>
        </w:tc>
        <w:tc>
          <w:tcPr>
            <w:tcW w:w="110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w w:val="92"/>
              </w:rPr>
              <w:t>38</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3/8</w:t>
            </w:r>
          </w:p>
        </w:tc>
        <w:tc>
          <w:tcPr>
            <w:tcW w:w="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36</w:t>
            </w:r>
          </w:p>
        </w:tc>
        <w:tc>
          <w:tcPr>
            <w:tcW w:w="5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7/8</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2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3rd quarter</w:t>
            </w:r>
          </w:p>
        </w:tc>
        <w:tc>
          <w:tcPr>
            <w:tcW w:w="110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w w:val="92"/>
              </w:rPr>
              <w:t>34</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7/8</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7/8</w:t>
            </w:r>
          </w:p>
        </w:tc>
        <w:tc>
          <w:tcPr>
            <w:tcW w:w="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32</w:t>
            </w:r>
          </w:p>
        </w:tc>
        <w:tc>
          <w:tcPr>
            <w:tcW w:w="5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7/8</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c>
          <w:tcPr>
            <w:tcW w:w="380" w:type="dxa"/>
            <w:vAlign w:val="bottom"/>
          </w:tcPr>
          <w:p>
            <w:pPr>
              <w:spacing w:after="0"/>
              <w:rPr>
                <w:sz w:val="17"/>
                <w:szCs w:val="17"/>
                <w:color w:val="auto"/>
              </w:rPr>
            </w:pPr>
          </w:p>
        </w:tc>
      </w:tr>
      <w:tr>
        <w:trPr>
          <w:trHeight w:val="203"/>
        </w:trPr>
        <w:tc>
          <w:tcPr>
            <w:tcW w:w="2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4th quarter</w:t>
            </w:r>
          </w:p>
        </w:tc>
        <w:tc>
          <w:tcPr>
            <w:tcW w:w="110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w w:val="92"/>
              </w:rPr>
              <w:t>44</w:t>
            </w:r>
          </w:p>
        </w:tc>
        <w:tc>
          <w:tcPr>
            <w:tcW w:w="64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1/8</w:t>
            </w:r>
          </w:p>
        </w:tc>
        <w:tc>
          <w:tcPr>
            <w:tcW w:w="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41</w:t>
            </w:r>
          </w:p>
        </w:tc>
        <w:tc>
          <w:tcPr>
            <w:tcW w:w="5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7/8</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c>
          <w:tcPr>
            <w:tcW w:w="380" w:type="dxa"/>
            <w:vAlign w:val="bottom"/>
          </w:tcPr>
          <w:p>
            <w:pPr>
              <w:spacing w:after="0"/>
              <w:rPr>
                <w:sz w:val="17"/>
                <w:szCs w:val="17"/>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1993</w:t>
            </w: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3"/>
        </w:trPr>
        <w:tc>
          <w:tcPr>
            <w:tcW w:w="2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1st quarter</w:t>
            </w: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$46 1/2</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1/2</w:t>
            </w:r>
          </w:p>
        </w:tc>
        <w:tc>
          <w:tcPr>
            <w:tcW w:w="11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$44 1/8</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 1/4</w:t>
            </w:r>
          </w:p>
        </w:tc>
      </w:tr>
      <w:tr>
        <w:trPr>
          <w:trHeight w:val="203"/>
        </w:trPr>
        <w:tc>
          <w:tcPr>
            <w:tcW w:w="2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2nd quarter</w:t>
            </w:r>
          </w:p>
        </w:tc>
        <w:tc>
          <w:tcPr>
            <w:tcW w:w="110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w w:val="92"/>
              </w:rPr>
              <w:t>52</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1/8</w:t>
            </w:r>
          </w:p>
        </w:tc>
        <w:tc>
          <w:tcPr>
            <w:tcW w:w="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49</w:t>
            </w:r>
          </w:p>
        </w:tc>
        <w:tc>
          <w:tcPr>
            <w:tcW w:w="5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c>
          <w:tcPr>
            <w:tcW w:w="380" w:type="dxa"/>
            <w:vAlign w:val="bottom"/>
          </w:tcPr>
          <w:p>
            <w:pPr>
              <w:spacing w:after="0"/>
              <w:rPr>
                <w:sz w:val="17"/>
                <w:szCs w:val="17"/>
                <w:color w:val="auto"/>
              </w:rPr>
            </w:pPr>
          </w:p>
        </w:tc>
      </w:tr>
      <w:tr>
        <w:trPr>
          <w:trHeight w:val="203"/>
        </w:trPr>
        <w:tc>
          <w:tcPr>
            <w:tcW w:w="2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3rd quarter</w:t>
            </w:r>
          </w:p>
        </w:tc>
        <w:tc>
          <w:tcPr>
            <w:tcW w:w="110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w w:val="92"/>
              </w:rPr>
              <w:t>67</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1/2</w:t>
            </w:r>
          </w:p>
        </w:tc>
        <w:tc>
          <w:tcPr>
            <w:tcW w:w="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61</w:t>
            </w:r>
          </w:p>
        </w:tc>
        <w:tc>
          <w:tcPr>
            <w:tcW w:w="5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2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4th quarter</w:t>
            </w:r>
          </w:p>
        </w:tc>
        <w:tc>
          <w:tcPr>
            <w:tcW w:w="110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w w:val="92"/>
              </w:rPr>
              <w:t>66</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w:t>
            </w:r>
          </w:p>
        </w:tc>
        <w:tc>
          <w:tcPr>
            <w:tcW w:w="540" w:type="dxa"/>
            <w:vAlign w:val="bottom"/>
          </w:tcPr>
          <w:p>
            <w:pPr>
              <w:spacing w:after="0"/>
              <w:rPr>
                <w:sz w:val="17"/>
                <w:szCs w:val="17"/>
                <w:color w:val="auto"/>
              </w:rPr>
            </w:pPr>
          </w:p>
        </w:tc>
        <w:tc>
          <w:tcPr>
            <w:tcW w:w="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60</w:t>
            </w:r>
          </w:p>
        </w:tc>
        <w:tc>
          <w:tcPr>
            <w:tcW w:w="5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parent, Viacom Inc., has substantially no source of funds other than dividends paid by the Company on its stock. Under the restrictions contained in the Credit Agreement, the Company is prohibited from (i) paying any dividends on its stock to Viacom Inc. for the purpose of enabling Viacom Inc. to pay any dividend on its common stock, or (ii) making any other dividend payments to Viacom Inc. (other than for certain limited specified purposes), unless its total leverage ratio is less than a specified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78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9679"/>
          </w:cols>
          <w:pgMar w:left="780" w:top="717" w:right="1440"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4"/>
        </w:trPr>
        <w:tc>
          <w:tcPr>
            <w:tcW w:w="4220" w:type="dxa"/>
            <w:vAlign w:val="bottom"/>
            <w:gridSpan w:val="3"/>
          </w:tcPr>
          <w:p>
            <w:pPr>
              <w:spacing w:after="0"/>
              <w:rPr>
                <w:sz w:val="20"/>
                <w:szCs w:val="20"/>
                <w:color w:val="auto"/>
              </w:rPr>
            </w:pPr>
            <w:r>
              <w:rPr>
                <w:rFonts w:ascii="Courier New" w:cs="Courier New" w:eastAsia="Courier New" w:hAnsi="Courier New"/>
                <w:sz w:val="18"/>
                <w:szCs w:val="18"/>
                <w:color w:val="auto"/>
              </w:rPr>
              <w:t>Item 6. Selected Financial Data.</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608"/>
        </w:trPr>
        <w:tc>
          <w:tcPr>
            <w:tcW w:w="2960" w:type="dxa"/>
            <w:vAlign w:val="bottom"/>
          </w:tcPr>
          <w:p>
            <w:pPr>
              <w:spacing w:after="0"/>
              <w:rPr>
                <w:sz w:val="20"/>
                <w:szCs w:val="20"/>
                <w:color w:val="auto"/>
              </w:rPr>
            </w:pPr>
            <w:r>
              <w:rPr>
                <w:rFonts w:ascii="Courier New" w:cs="Courier New" w:eastAsia="Courier New" w:hAnsi="Courier New"/>
                <w:sz w:val="18"/>
                <w:szCs w:val="18"/>
                <w:color w:val="auto"/>
              </w:rPr>
              <w:t>VIACOM INC. AND</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VIACOM INTERNATIONAL INC. AND SUBSIDIARIES</w:t>
            </w: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3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(Thousands of dollars, except per share amounts)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608"/>
        </w:trPr>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80" w:type="dxa"/>
            <w:vAlign w:val="bottom"/>
            <w:gridSpan w:val="4"/>
          </w:tcPr>
          <w:p>
            <w:pPr>
              <w:jc w:val="right"/>
              <w:ind w:right="172"/>
              <w:spacing w:after="0"/>
              <w:rPr>
                <w:sz w:val="20"/>
                <w:szCs w:val="20"/>
                <w:color w:val="auto"/>
              </w:rPr>
            </w:pPr>
            <w:r>
              <w:rPr>
                <w:rFonts w:ascii="Courier New" w:cs="Courier New" w:eastAsia="Courier New" w:hAnsi="Courier New"/>
                <w:sz w:val="18"/>
                <w:szCs w:val="18"/>
                <w:color w:val="auto"/>
                <w:w w:val="96"/>
              </w:rPr>
              <w:t>Year Ended December 31,</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2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20" w:type="dxa"/>
            <w:vAlign w:val="bottom"/>
            <w:gridSpan w:val="9"/>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1993</w:t>
            </w:r>
          </w:p>
        </w:tc>
        <w:tc>
          <w:tcPr>
            <w:tcW w:w="22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1992</w:t>
            </w:r>
          </w:p>
        </w:tc>
        <w:tc>
          <w:tcPr>
            <w:tcW w:w="320" w:type="dxa"/>
            <w:vAlign w:val="bottom"/>
          </w:tcPr>
          <w:p>
            <w:pPr>
              <w:spacing w:after="0"/>
              <w:rPr>
                <w:sz w:val="24"/>
                <w:szCs w:val="24"/>
                <w:color w:val="auto"/>
              </w:rPr>
            </w:pPr>
          </w:p>
        </w:tc>
        <w:tc>
          <w:tcPr>
            <w:tcW w:w="11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1991</w:t>
            </w:r>
          </w:p>
        </w:tc>
        <w:tc>
          <w:tcPr>
            <w:tcW w:w="160" w:type="dxa"/>
            <w:vAlign w:val="bottom"/>
          </w:tcPr>
          <w:p>
            <w:pPr>
              <w:spacing w:after="0"/>
              <w:rPr>
                <w:sz w:val="24"/>
                <w:szCs w:val="24"/>
                <w:color w:val="auto"/>
              </w:rPr>
            </w:pPr>
          </w:p>
        </w:tc>
        <w:tc>
          <w:tcPr>
            <w:tcW w:w="11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1990</w:t>
            </w:r>
          </w:p>
        </w:tc>
        <w:tc>
          <w:tcPr>
            <w:tcW w:w="160" w:type="dxa"/>
            <w:vAlign w:val="bottom"/>
          </w:tcPr>
          <w:p>
            <w:pPr>
              <w:spacing w:after="0"/>
              <w:rPr>
                <w:sz w:val="24"/>
                <w:szCs w:val="24"/>
                <w:color w:val="auto"/>
              </w:rPr>
            </w:pP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1989</w:t>
            </w:r>
          </w:p>
        </w:tc>
      </w:tr>
      <w:tr>
        <w:trPr>
          <w:trHeight w:val="203"/>
        </w:trPr>
        <w:tc>
          <w:tcPr>
            <w:tcW w:w="2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96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2,004,949</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4"/>
              </w:rPr>
              <w:t>1,864,683</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4"/>
              </w:rPr>
              <w:t>1,711,562</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4"/>
              </w:rPr>
              <w:t>1,599,625</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w w:val="96"/>
              </w:rPr>
              <w:t>1,436,220</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from operations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384,995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347,927</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312,234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223,831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144,716</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(loss) before</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extraordinary items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cumulative effect of</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 in accounting</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principle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169,481</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66,085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(46,556)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(89,781)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131,080</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 (loss)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170,952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48,965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(49,657)</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(89,781)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131,080</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 (loss)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attributable</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common stock</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158,202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48,965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(49,657)</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(89,781)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113,589</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 (loss) per</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share:</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Earnings (loss) before</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extraordinary items and</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cumulative effect of</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change in accounting</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principle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w:t>
            </w: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earnings (loss)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At year end:</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assets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6,416,868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4,317,094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4,188,378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4,027,927</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3,752,962</w:t>
            </w: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Long-term debt</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2,378,286</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2,397,014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2,320,919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2,537,263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2,283,118</w:t>
            </w: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2,718,114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756,511</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699,493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366,163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455,944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See Notes to Consolidated Financial Statements for information on transactions and accounting classifications which have affected the comparability of the periods presented above. Viacom Inc. has not declared cash dividends for any of the periods presented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717" w:right="1440" w:bottom="1440" w:gutter="0" w:footer="0" w:header="0"/>
        </w:sectPr>
      </w:pPr>
    </w:p>
    <w:bookmarkStart w:id="51" w:name="page52"/>
    <w:bookmarkEnd w:id="51"/>
    <w:p>
      <w:pPr>
        <w:ind w:right="1879"/>
        <w:spacing w:after="0" w:line="235" w:lineRule="auto"/>
        <w:rPr>
          <w:sz w:val="20"/>
          <w:szCs w:val="20"/>
          <w:color w:val="auto"/>
        </w:rPr>
      </w:pPr>
      <w:r>
        <w:rPr>
          <w:rFonts w:ascii="Courier New" w:cs="Courier New" w:eastAsia="Courier New" w:hAnsi="Courier New"/>
          <w:sz w:val="18"/>
          <w:szCs w:val="18"/>
          <w:color w:val="auto"/>
        </w:rPr>
        <w:t>Item 7. Management's Discussion and Analysis of Results of Operations and Financial</w:t>
      </w:r>
    </w:p>
    <w:p>
      <w:pPr>
        <w:ind w:left="1040"/>
        <w:spacing w:after="0"/>
        <w:rPr>
          <w:sz w:val="20"/>
          <w:szCs w:val="20"/>
          <w:color w:val="auto"/>
        </w:rPr>
      </w:pPr>
      <w:r>
        <w:rPr>
          <w:rFonts w:ascii="Courier New" w:cs="Courier New" w:eastAsia="Courier New" w:hAnsi="Courier New"/>
          <w:sz w:val="18"/>
          <w:szCs w:val="18"/>
          <w:color w:val="auto"/>
        </w:rPr>
        <w:t>Condition.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Management's discussion and analysis of the combined results of</w:t>
      </w:r>
    </w:p>
    <w:p>
      <w:pPr>
        <w:spacing w:after="0" w:line="238" w:lineRule="auto"/>
        <w:rPr>
          <w:sz w:val="20"/>
          <w:szCs w:val="20"/>
          <w:color w:val="auto"/>
        </w:rPr>
      </w:pPr>
      <w:r>
        <w:rPr>
          <w:rFonts w:ascii="Courier New" w:cs="Courier New" w:eastAsia="Courier New" w:hAnsi="Courier New"/>
          <w:sz w:val="18"/>
          <w:szCs w:val="18"/>
          <w:color w:val="auto"/>
        </w:rPr>
        <w:t>operations and financial condition of Viacom Inc. and the Company</w:t>
      </w:r>
    </w:p>
    <w:p>
      <w:pPr>
        <w:spacing w:after="0"/>
        <w:rPr>
          <w:sz w:val="20"/>
          <w:szCs w:val="20"/>
          <w:color w:val="auto"/>
        </w:rPr>
      </w:pPr>
      <w:r>
        <w:rPr>
          <w:rFonts w:ascii="Courier New" w:cs="Courier New" w:eastAsia="Courier New" w:hAnsi="Courier New"/>
          <w:sz w:val="18"/>
          <w:szCs w:val="18"/>
          <w:color w:val="auto"/>
        </w:rPr>
        <w:t>should be read in conjunction with the Consolidated Financial</w:t>
      </w:r>
    </w:p>
    <w:p>
      <w:pPr>
        <w:spacing w:after="0"/>
        <w:tabs>
          <w:tab w:leader="none" w:pos="3240" w:val="left"/>
        </w:tabs>
        <w:rPr>
          <w:sz w:val="20"/>
          <w:szCs w:val="20"/>
          <w:color w:val="auto"/>
        </w:rPr>
      </w:pPr>
      <w:r>
        <w:rPr>
          <w:rFonts w:ascii="Courier New" w:cs="Courier New" w:eastAsia="Courier New" w:hAnsi="Courier New"/>
          <w:sz w:val="18"/>
          <w:szCs w:val="18"/>
          <w:color w:val="auto"/>
        </w:rPr>
        <w:t>Statements and related Notes.</w:t>
      </w:r>
      <w:r>
        <w:rPr>
          <w:sz w:val="20"/>
          <w:szCs w:val="20"/>
          <w:color w:val="auto"/>
        </w:rPr>
        <w:tab/>
      </w:r>
      <w:r>
        <w:rPr>
          <w:rFonts w:ascii="Courier New" w:cs="Courier New" w:eastAsia="Courier New" w:hAnsi="Courier New"/>
          <w:sz w:val="16"/>
          <w:szCs w:val="16"/>
          <w:color w:val="auto"/>
        </w:rPr>
        <w:t>Information presented below does not</w:t>
      </w:r>
    </w:p>
    <w:p>
      <w:pPr>
        <w:spacing w:after="0" w:line="238" w:lineRule="auto"/>
        <w:rPr>
          <w:sz w:val="20"/>
          <w:szCs w:val="20"/>
          <w:color w:val="auto"/>
        </w:rPr>
      </w:pPr>
      <w:r>
        <w:rPr>
          <w:rFonts w:ascii="Courier New" w:cs="Courier New" w:eastAsia="Courier New" w:hAnsi="Courier New"/>
          <w:sz w:val="18"/>
          <w:szCs w:val="18"/>
          <w:color w:val="auto"/>
        </w:rPr>
        <w:t>include information with respect to Paramount, which became a</w:t>
      </w:r>
    </w:p>
    <w:p>
      <w:pPr>
        <w:spacing w:after="0"/>
        <w:tabs>
          <w:tab w:leader="none" w:pos="4820" w:val="left"/>
        </w:tabs>
        <w:rPr>
          <w:sz w:val="20"/>
          <w:szCs w:val="20"/>
          <w:color w:val="auto"/>
        </w:rPr>
      </w:pPr>
      <w:r>
        <w:rPr>
          <w:rFonts w:ascii="Courier New" w:cs="Courier New" w:eastAsia="Courier New" w:hAnsi="Courier New"/>
          <w:sz w:val="18"/>
          <w:szCs w:val="18"/>
          <w:color w:val="auto"/>
        </w:rPr>
        <w:t>subsidiary of Viacom Inc. on March 11, 1994.</w:t>
      </w:r>
      <w:r>
        <w:rPr>
          <w:sz w:val="20"/>
          <w:szCs w:val="20"/>
          <w:color w:val="auto"/>
        </w:rPr>
        <w:tab/>
      </w:r>
      <w:r>
        <w:rPr>
          <w:rFonts w:ascii="Courier New" w:cs="Courier New" w:eastAsia="Courier New" w:hAnsi="Courier New"/>
          <w:sz w:val="16"/>
          <w:szCs w:val="16"/>
          <w:color w:val="auto"/>
        </w:rPr>
        <w:t>Information with</w:t>
      </w:r>
    </w:p>
    <w:p>
      <w:pPr>
        <w:spacing w:after="0" w:line="237" w:lineRule="auto"/>
        <w:rPr>
          <w:sz w:val="20"/>
          <w:szCs w:val="20"/>
          <w:color w:val="auto"/>
        </w:rPr>
      </w:pPr>
      <w:r>
        <w:rPr>
          <w:rFonts w:ascii="Courier New" w:cs="Courier New" w:eastAsia="Courier New" w:hAnsi="Courier New"/>
          <w:sz w:val="18"/>
          <w:szCs w:val="18"/>
          <w:color w:val="auto"/>
        </w:rPr>
        <w:t>respect to Paramount's results of operations and financial condition</w:t>
      </w:r>
    </w:p>
    <w:p>
      <w:pPr>
        <w:spacing w:after="0"/>
        <w:rPr>
          <w:sz w:val="20"/>
          <w:szCs w:val="20"/>
          <w:color w:val="auto"/>
        </w:rPr>
      </w:pPr>
      <w:r>
        <w:rPr>
          <w:rFonts w:ascii="Courier New" w:cs="Courier New" w:eastAsia="Courier New" w:hAnsi="Courier New"/>
          <w:sz w:val="18"/>
          <w:szCs w:val="18"/>
          <w:color w:val="auto"/>
        </w:rPr>
        <w:t>and Paramount's audited and unaudited financial statements, in</w:t>
      </w:r>
    </w:p>
    <w:p>
      <w:pPr>
        <w:spacing w:after="0" w:line="237" w:lineRule="auto"/>
        <w:rPr>
          <w:sz w:val="20"/>
          <w:szCs w:val="20"/>
          <w:color w:val="auto"/>
        </w:rPr>
      </w:pPr>
      <w:r>
        <w:rPr>
          <w:rFonts w:ascii="Courier New" w:cs="Courier New" w:eastAsia="Courier New" w:hAnsi="Courier New"/>
          <w:sz w:val="18"/>
          <w:szCs w:val="18"/>
          <w:color w:val="auto"/>
        </w:rPr>
        <w:t>each case including the notes thereto, are incorporated by reference</w:t>
      </w:r>
    </w:p>
    <w:p>
      <w:pPr>
        <w:spacing w:after="0"/>
        <w:tabs>
          <w:tab w:leader="none" w:pos="6180" w:val="left"/>
        </w:tabs>
        <w:rPr>
          <w:sz w:val="20"/>
          <w:szCs w:val="20"/>
          <w:color w:val="auto"/>
        </w:rPr>
      </w:pPr>
      <w:r>
        <w:rPr>
          <w:rFonts w:ascii="Courier New" w:cs="Courier New" w:eastAsia="Courier New" w:hAnsi="Courier New"/>
          <w:sz w:val="18"/>
          <w:szCs w:val="18"/>
          <w:color w:val="auto"/>
        </w:rPr>
        <w:t>herein from the Paramount Reports (as defined in Item 1).</w:t>
      </w:r>
      <w:r>
        <w:rPr>
          <w:sz w:val="20"/>
          <w:szCs w:val="20"/>
          <w:color w:val="auto"/>
        </w:rPr>
        <w:tab/>
      </w:r>
      <w:r>
        <w:rPr>
          <w:rFonts w:ascii="Courier New" w:cs="Courier New" w:eastAsia="Courier New" w:hAnsi="Courier New"/>
          <w:sz w:val="16"/>
          <w:szCs w:val="16"/>
          <w:color w:val="auto"/>
        </w:rPr>
        <w:t>Information</w:t>
      </w:r>
    </w:p>
    <w:p>
      <w:pPr>
        <w:spacing w:after="0" w:line="237" w:lineRule="auto"/>
        <w:rPr>
          <w:sz w:val="20"/>
          <w:szCs w:val="20"/>
          <w:color w:val="auto"/>
        </w:rPr>
      </w:pPr>
      <w:r>
        <w:rPr>
          <w:rFonts w:ascii="Courier New" w:cs="Courier New" w:eastAsia="Courier New" w:hAnsi="Courier New"/>
          <w:sz w:val="18"/>
          <w:szCs w:val="18"/>
          <w:color w:val="auto"/>
        </w:rPr>
        <w:t>in the Paramount Reports is given as of the date of each such report</w:t>
      </w:r>
    </w:p>
    <w:p>
      <w:pPr>
        <w:spacing w:after="0"/>
        <w:tabs>
          <w:tab w:leader="none" w:pos="2920" w:val="left"/>
        </w:tabs>
        <w:rPr>
          <w:sz w:val="20"/>
          <w:szCs w:val="20"/>
          <w:color w:val="auto"/>
        </w:rPr>
      </w:pPr>
      <w:r>
        <w:rPr>
          <w:rFonts w:ascii="Courier New" w:cs="Courier New" w:eastAsia="Courier New" w:hAnsi="Courier New"/>
          <w:sz w:val="18"/>
          <w:szCs w:val="18"/>
          <w:color w:val="auto"/>
        </w:rPr>
        <w:t>and is not updated herein.</w:t>
      </w:r>
      <w:r>
        <w:rPr>
          <w:sz w:val="20"/>
          <w:szCs w:val="20"/>
          <w:color w:val="auto"/>
        </w:rPr>
        <w:tab/>
      </w:r>
      <w:r>
        <w:rPr>
          <w:rFonts w:ascii="Courier New" w:cs="Courier New" w:eastAsia="Courier New" w:hAnsi="Courier New"/>
          <w:sz w:val="16"/>
          <w:szCs w:val="16"/>
          <w:color w:val="auto"/>
        </w:rPr>
        <w:t>A copy of each of the Paramount Reports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included as an exhibit hereto. Descriptions of all documents incorporated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reference herein or included as exhibits hereto are qualified in</w:t>
      </w:r>
    </w:p>
    <w:p>
      <w:pPr>
        <w:spacing w:after="0" w:line="238" w:lineRule="auto"/>
        <w:rPr>
          <w:sz w:val="20"/>
          <w:szCs w:val="20"/>
          <w:color w:val="auto"/>
        </w:rPr>
      </w:pPr>
      <w:r>
        <w:rPr>
          <w:rFonts w:ascii="Courier New" w:cs="Courier New" w:eastAsia="Courier New" w:hAnsi="Courier New"/>
          <w:sz w:val="18"/>
          <w:szCs w:val="18"/>
          <w:color w:val="auto"/>
        </w:rPr>
        <w:t>their entirety by reference to the full text of such documents so</w:t>
      </w:r>
    </w:p>
    <w:p>
      <w:pPr>
        <w:spacing w:after="0"/>
        <w:rPr>
          <w:sz w:val="20"/>
          <w:szCs w:val="20"/>
          <w:color w:val="auto"/>
        </w:rPr>
      </w:pPr>
      <w:r>
        <w:rPr>
          <w:rFonts w:ascii="Courier New" w:cs="Courier New" w:eastAsia="Courier New" w:hAnsi="Courier New"/>
          <w:sz w:val="18"/>
          <w:szCs w:val="18"/>
          <w:color w:val="auto"/>
        </w:rPr>
        <w:t>incorporated or included.</w:t>
      </w:r>
    </w:p>
    <w:p>
      <w:pPr>
        <w:spacing w:after="0" w:line="206" w:lineRule="exact"/>
        <w:rPr>
          <w:sz w:val="20"/>
          <w:szCs w:val="20"/>
          <w:color w:val="auto"/>
        </w:rPr>
      </w:pPr>
    </w:p>
    <w:p>
      <w:pPr>
        <w:jc w:val="both"/>
        <w:ind w:right="2419"/>
        <w:spacing w:after="0" w:line="268" w:lineRule="auto"/>
        <w:rPr>
          <w:sz w:val="20"/>
          <w:szCs w:val="20"/>
          <w:color w:val="auto"/>
        </w:rPr>
      </w:pPr>
      <w:r>
        <w:rPr>
          <w:rFonts w:ascii="Courier New" w:cs="Courier New" w:eastAsia="Courier New" w:hAnsi="Courier New"/>
          <w:sz w:val="16"/>
          <w:szCs w:val="16"/>
          <w:color w:val="auto"/>
        </w:rPr>
        <w:t>Viacom Inc. (together with its consolidated subsidiaries, unless the context otherwise requires, "Viacom Inc.") is a holding company whose principal asset is the common stock of Viacom International Inc.</w:t>
      </w:r>
    </w:p>
    <w:p>
      <w:pPr>
        <w:spacing w:after="0" w:line="1"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(together with its consolidated subsidiaries, unless the context otherwise requires, the "Company"). The Company is a diversified entertainment and communications company with operations in four principal segments: Networks, Entertainment, Cable Television and Broadcasting. Viacom Inc. is an approximately 76.3% owned subsidiary of National Amusements, Inc. ("NAI"), a closely held corporation that owns and operates approximately 850 movie screens in the United States and the United Kingdom.</w:t>
      </w:r>
    </w:p>
    <w:p>
      <w:pPr>
        <w:spacing w:after="0" w:line="212"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In early March 1994, Viacom Inc. acquired a majority interest in Paramount Communications Inc. ("Paramount") pursuant to the terms of its tender offer. Paramount will become a wholly owned subsidiary of Viacom Inc. upon the closing of the merger pursuant to the Paramount merger agreement. Viacom Inc. has also entered into a merger agreement with Blockbuster Entertainment Corporation ("Blockbuster") pursuant to which Blockbuster will merge into Viacom Inc. (See "Paramount Merger, Blockbuster Merger and Related Transactions" for additional information regarding the mergers).</w:t>
      </w:r>
    </w:p>
    <w:p>
      <w:pPr>
        <w:spacing w:after="0" w:line="214" w:lineRule="exact"/>
        <w:rPr>
          <w:sz w:val="20"/>
          <w:szCs w:val="20"/>
          <w:color w:val="auto"/>
        </w:rPr>
      </w:pPr>
    </w:p>
    <w:p>
      <w:pPr>
        <w:ind w:right="2419"/>
        <w:spacing w:after="0" w:line="238" w:lineRule="auto"/>
        <w:rPr>
          <w:sz w:val="20"/>
          <w:szCs w:val="20"/>
          <w:color w:val="auto"/>
        </w:rPr>
      </w:pPr>
      <w:r>
        <w:rPr>
          <w:rFonts w:ascii="Courier New" w:cs="Courier New" w:eastAsia="Courier New" w:hAnsi="Courier New"/>
          <w:sz w:val="18"/>
          <w:szCs w:val="18"/>
          <w:color w:val="auto"/>
        </w:rPr>
        <w:t>The primary differences between Viacom Inc.'s and the Company's financial statements are as follows: a) the capitalization of the two companies -- the Company's shareholders' equity reflects the contribution to capital of Viacom Inc.'s exchangeable preferred stock, which was exchanged for 15.5% Junior Subordinated Exchange Debentures due 2006 (the "Exchange Debentures") on March 31, 1989 which in turn were fully redeemed during 1991; b) during 1993, Viacom Inc. issued $1.8 billion of 5% cumulative convertible preferred stock and declared related preferred stock dividends of $12.8 million, c) certain general and administrative expenses recorded by Viacom Inc. of $5.0 million (1993), $9.0 million (1992) and $12.9 million (1991), which include transactions associated with the long-term deferred incentive compensation plans; and d) Viacom Inc. recorded net interest income of $3.1 million (1993) and net interest expense of $45.2 million (1991).</w:t>
      </w:r>
    </w:p>
    <w:p>
      <w:pPr>
        <w:sectPr>
          <w:pgSz w:w="11900" w:h="16838" w:orient="portrait"/>
          <w:cols w:equalWidth="0" w:num="1">
            <w:col w:w="9679"/>
          </w:cols>
          <w:pgMar w:left="780" w:top="723" w:right="1440" w:bottom="1440" w:gutter="0" w:footer="0" w:header="0"/>
        </w:sectPr>
      </w:pPr>
    </w:p>
    <w:bookmarkStart w:id="52" w:name="page53"/>
    <w:bookmarkEnd w:id="52"/>
    <w:p>
      <w:pPr>
        <w:ind w:left="324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9019"/>
          </w:cols>
          <w:pgMar w:left="1440" w:top="547" w:right="1440" w:bottom="1440" w:gutter="0" w:footer="0" w:header="0"/>
        </w:sectPr>
      </w:pPr>
    </w:p>
    <w:bookmarkStart w:id="53" w:name="page54"/>
    <w:bookmarkEnd w:id="53"/>
    <w:p>
      <w:pPr>
        <w:ind w:left="120"/>
        <w:spacing w:after="0"/>
        <w:rPr>
          <w:sz w:val="20"/>
          <w:szCs w:val="20"/>
          <w:color w:val="auto"/>
        </w:rPr>
      </w:pPr>
      <w:r>
        <w:rPr>
          <w:rFonts w:ascii="Courier New" w:cs="Courier New" w:eastAsia="Courier New" w:hAnsi="Courier New"/>
          <w:sz w:val="18"/>
          <w:szCs w:val="18"/>
          <w:color w:val="auto"/>
        </w:rPr>
        <w:t>Business Segment Information</w:t>
      </w:r>
    </w:p>
    <w:p>
      <w:pPr>
        <w:ind w:left="1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20" w:right="2519"/>
        <w:spacing w:after="0" w:line="237" w:lineRule="auto"/>
        <w:rPr>
          <w:sz w:val="20"/>
          <w:szCs w:val="20"/>
          <w:color w:val="auto"/>
        </w:rPr>
      </w:pPr>
      <w:r>
        <w:rPr>
          <w:rFonts w:ascii="Courier New" w:cs="Courier New" w:eastAsia="Courier New" w:hAnsi="Courier New"/>
          <w:sz w:val="18"/>
          <w:szCs w:val="18"/>
          <w:color w:val="auto"/>
        </w:rPr>
        <w:t>The following tables set forth revenues, earnings from operations, depreciation and amortization by business segment and a reconciliation of total earnings from operations to net earnings (loss) attributable to common stock for the periods indicated:</w:t>
      </w:r>
    </w:p>
    <w:p>
      <w:pPr>
        <w:spacing w:after="0" w:line="202" w:lineRule="exact"/>
        <w:rPr>
          <w:sz w:val="20"/>
          <w:szCs w:val="20"/>
          <w:color w:val="auto"/>
        </w:rPr>
      </w:pPr>
    </w:p>
    <w:tbl>
      <w:tblPr>
        <w:tblLayout w:type="fixed"/>
        <w:tblInd w:w="3380" w:type="dxa"/>
        <w:tblCellMar>
          <w:top w:w="0" w:type="dxa"/>
          <w:left w:w="0" w:type="dxa"/>
          <w:bottom w:w="0" w:type="dxa"/>
          <w:right w:w="0" w:type="dxa"/>
        </w:tblCellMar>
      </w:tblPr>
      <w:tr>
        <w:trPr>
          <w:trHeight w:val="204"/>
        </w:trPr>
        <w:tc>
          <w:tcPr>
            <w:tcW w:w="420" w:type="dxa"/>
            <w:vAlign w:val="bottom"/>
          </w:tcPr>
          <w:p>
            <w:pPr>
              <w:spacing w:after="0"/>
              <w:rPr>
                <w:sz w:val="17"/>
                <w:szCs w:val="17"/>
                <w:color w:val="auto"/>
              </w:rPr>
            </w:pPr>
          </w:p>
        </w:tc>
        <w:tc>
          <w:tcPr>
            <w:tcW w:w="274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w w:val="96"/>
              </w:rPr>
              <w:t>Year Ended December 31,</w:t>
            </w:r>
          </w:p>
        </w:tc>
        <w:tc>
          <w:tcPr>
            <w:tcW w:w="190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6"/>
              </w:rPr>
              <w:t>Percentage Change</w:t>
            </w:r>
          </w:p>
        </w:tc>
      </w:tr>
      <w:tr>
        <w:trPr>
          <w:trHeight w:val="203"/>
        </w:trPr>
        <w:tc>
          <w:tcPr>
            <w:tcW w:w="31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19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From</w:t>
            </w: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From</w:t>
            </w:r>
          </w:p>
        </w:tc>
      </w:tr>
      <w:tr>
        <w:trPr>
          <w:trHeight w:val="203"/>
        </w:trPr>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1993</w:t>
            </w:r>
          </w:p>
        </w:tc>
        <w:tc>
          <w:tcPr>
            <w:tcW w:w="18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1992</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1991</w:t>
            </w:r>
          </w:p>
        </w:tc>
        <w:tc>
          <w:tcPr>
            <w:tcW w:w="10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1992</w:t>
            </w: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1991</w:t>
            </w:r>
          </w:p>
        </w:tc>
      </w:tr>
      <w:tr>
        <w:trPr>
          <w:trHeight w:val="203"/>
        </w:trPr>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8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rPr>
              <w:t>To</w:t>
            </w: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To</w:t>
            </w:r>
          </w:p>
        </w:tc>
      </w:tr>
      <w:tr>
        <w:trPr>
          <w:trHeight w:val="203"/>
        </w:trPr>
        <w:tc>
          <w:tcPr>
            <w:tcW w:w="4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1993</w:t>
            </w: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1992</w:t>
            </w:r>
          </w:p>
        </w:tc>
      </w:tr>
      <w:tr>
        <w:trPr>
          <w:trHeight w:val="203"/>
        </w:trPr>
        <w:tc>
          <w:tcPr>
            <w:tcW w:w="4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w:t>
            </w: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80" w:type="dxa"/>
            <w:vAlign w:val="bottom"/>
            <w:gridSpan w:val="5"/>
          </w:tcPr>
          <w:p>
            <w:pPr>
              <w:jc w:val="right"/>
              <w:ind w:right="332"/>
              <w:spacing w:after="0"/>
              <w:rPr>
                <w:sz w:val="20"/>
                <w:szCs w:val="20"/>
                <w:color w:val="auto"/>
              </w:rPr>
            </w:pPr>
            <w:r>
              <w:rPr>
                <w:rFonts w:ascii="Courier New" w:cs="Courier New" w:eastAsia="Courier New" w:hAnsi="Courier New"/>
                <w:sz w:val="18"/>
                <w:szCs w:val="18"/>
                <w:color w:val="auto"/>
              </w:rPr>
              <w:t>(Thousands of Dollars)</w:t>
            </w: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Networks</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$1,221,200</w:t>
            </w: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$1,058,831</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922,157</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Entertainment</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209,110</w:t>
            </w:r>
          </w:p>
        </w:tc>
        <w:tc>
          <w:tcPr>
            <w:tcW w:w="1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248,335</w:t>
            </w:r>
          </w:p>
        </w:tc>
        <w:tc>
          <w:tcPr>
            <w:tcW w:w="2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273,488</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Cable Television</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415,953</w:t>
            </w:r>
          </w:p>
        </w:tc>
        <w:tc>
          <w:tcPr>
            <w:tcW w:w="1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411,087</w:t>
            </w:r>
          </w:p>
        </w:tc>
        <w:tc>
          <w:tcPr>
            <w:tcW w:w="2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378,026</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Broadcasting</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181,778</w:t>
            </w:r>
          </w:p>
        </w:tc>
        <w:tc>
          <w:tcPr>
            <w:tcW w:w="1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168,847</w:t>
            </w:r>
          </w:p>
        </w:tc>
        <w:tc>
          <w:tcPr>
            <w:tcW w:w="2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159,182</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Intercompany elimination</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(23,092)</w:t>
            </w:r>
          </w:p>
        </w:tc>
        <w:tc>
          <w:tcPr>
            <w:tcW w:w="1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(22,417)</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(21,291)</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3220" w:type="dxa"/>
            <w:vAlign w:val="bottom"/>
          </w:tcPr>
          <w:p>
            <w:pPr>
              <w:spacing w:after="0"/>
              <w:rPr>
                <w:sz w:val="17"/>
                <w:szCs w:val="17"/>
                <w:color w:val="auto"/>
              </w:rPr>
            </w:pP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1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revenues</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$2,004,949</w:t>
            </w: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$1,864,683</w:t>
            </w:r>
          </w:p>
        </w:tc>
        <w:tc>
          <w:tcPr>
            <w:tcW w:w="1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$1,711,562</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3220" w:type="dxa"/>
            <w:vAlign w:val="bottom"/>
          </w:tcPr>
          <w:p>
            <w:pPr>
              <w:spacing w:after="0"/>
              <w:rPr>
                <w:sz w:val="17"/>
                <w:szCs w:val="17"/>
                <w:color w:val="auto"/>
              </w:rPr>
            </w:pP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Earnings from operations: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Networks</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272,087</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205,576</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172,296</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Entertainment</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32,480</w:t>
            </w:r>
          </w:p>
        </w:tc>
        <w:tc>
          <w:tcPr>
            <w:tcW w:w="1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59,662</w:t>
            </w:r>
          </w:p>
        </w:tc>
        <w:tc>
          <w:tcPr>
            <w:tcW w:w="2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73,214</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Cable Television</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110,176</w:t>
            </w:r>
          </w:p>
        </w:tc>
        <w:tc>
          <w:tcPr>
            <w:tcW w:w="1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122,037</w:t>
            </w:r>
          </w:p>
        </w:tc>
        <w:tc>
          <w:tcPr>
            <w:tcW w:w="2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103,954</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Broadcasting</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42,293</w:t>
            </w:r>
          </w:p>
        </w:tc>
        <w:tc>
          <w:tcPr>
            <w:tcW w:w="1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31,956</w:t>
            </w:r>
          </w:p>
        </w:tc>
        <w:tc>
          <w:tcPr>
            <w:tcW w:w="2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27,734</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Corporate</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(72,041)</w:t>
            </w:r>
          </w:p>
        </w:tc>
        <w:tc>
          <w:tcPr>
            <w:tcW w:w="1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(71,304)</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(64,964)</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3220" w:type="dxa"/>
            <w:vAlign w:val="bottom"/>
          </w:tcPr>
          <w:p>
            <w:pPr>
              <w:spacing w:after="0"/>
              <w:rPr>
                <w:sz w:val="17"/>
                <w:szCs w:val="17"/>
                <w:color w:val="auto"/>
              </w:rPr>
            </w:pP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1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3220" w:type="dxa"/>
            <w:vAlign w:val="bottom"/>
          </w:tcPr>
          <w:p>
            <w:pPr>
              <w:ind w:left="120"/>
              <w:spacing w:after="0"/>
              <w:rPr>
                <w:sz w:val="20"/>
                <w:szCs w:val="20"/>
                <w:color w:val="auto"/>
              </w:rPr>
            </w:pPr>
            <w:r>
              <w:rPr>
                <w:rFonts w:ascii="Courier New" w:cs="Courier New" w:eastAsia="Courier New" w:hAnsi="Courier New"/>
                <w:sz w:val="18"/>
                <w:szCs w:val="18"/>
                <w:color w:val="auto"/>
              </w:rPr>
              <w:t>Total earnings from</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3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operations</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384,995</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347,927</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312,234</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3220" w:type="dxa"/>
            <w:vAlign w:val="bottom"/>
          </w:tcPr>
          <w:p>
            <w:pPr>
              <w:spacing w:after="0"/>
              <w:rPr>
                <w:sz w:val="17"/>
                <w:szCs w:val="17"/>
                <w:color w:val="auto"/>
              </w:rPr>
            </w:pP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w w:val="98"/>
              </w:rPr>
              <w:t>Depreciation and amortization:</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Networks</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44,747</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41,754</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30,123</w:t>
            </w: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Entertainment</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9,549</w:t>
            </w:r>
          </w:p>
        </w:tc>
        <w:tc>
          <w:tcPr>
            <w:tcW w:w="1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6,792</w:t>
            </w:r>
          </w:p>
        </w:tc>
        <w:tc>
          <w:tcPr>
            <w:tcW w:w="2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7,160</w:t>
            </w: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Cable Television</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71,520</w:t>
            </w:r>
          </w:p>
        </w:tc>
        <w:tc>
          <w:tcPr>
            <w:tcW w:w="1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68,505</w:t>
            </w:r>
          </w:p>
        </w:tc>
        <w:tc>
          <w:tcPr>
            <w:tcW w:w="2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66,604</w:t>
            </w: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Broadcasting</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23,475</w:t>
            </w:r>
          </w:p>
        </w:tc>
        <w:tc>
          <w:tcPr>
            <w:tcW w:w="1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24,509</w:t>
            </w:r>
          </w:p>
        </w:tc>
        <w:tc>
          <w:tcPr>
            <w:tcW w:w="2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27,062</w:t>
            </w: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Corporate</w:t>
            </w:r>
          </w:p>
        </w:tc>
        <w:tc>
          <w:tcPr>
            <w:tcW w:w="26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3,766</w:t>
            </w:r>
          </w:p>
        </w:tc>
        <w:tc>
          <w:tcPr>
            <w:tcW w:w="1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3,242</w:t>
            </w:r>
          </w:p>
        </w:tc>
        <w:tc>
          <w:tcPr>
            <w:tcW w:w="2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1,915</w:t>
            </w: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1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depreciation and</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3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153,057</w:t>
            </w:r>
          </w:p>
        </w:tc>
        <w:tc>
          <w:tcPr>
            <w:tcW w:w="1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$ 144,802</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132,864</w:t>
            </w: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717"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8"/>
          <w:szCs w:val="18"/>
          <w:color w:val="auto"/>
        </w:rPr>
        <w:t>Reconciliation to net earnings</w:t>
      </w:r>
    </w:p>
    <w:p>
      <w:pPr>
        <w:spacing w:after="0" w:line="238" w:lineRule="auto"/>
        <w:rPr>
          <w:sz w:val="20"/>
          <w:szCs w:val="20"/>
          <w:color w:val="auto"/>
        </w:rPr>
      </w:pPr>
      <w:r>
        <w:rPr>
          <w:rFonts w:ascii="Courier New" w:cs="Courier New" w:eastAsia="Courier New" w:hAnsi="Courier New"/>
          <w:sz w:val="18"/>
          <w:szCs w:val="18"/>
          <w:color w:val="auto"/>
        </w:rPr>
        <w:t>(loss) attributable</w:t>
      </w:r>
    </w:p>
    <w:tbl>
      <w:tblPr>
        <w:tblLayout w:type="fixed"/>
        <w:tblInd w:w="120" w:type="dxa"/>
        <w:tblCellMar>
          <w:top w:w="0" w:type="dxa"/>
          <w:left w:w="0" w:type="dxa"/>
          <w:bottom w:w="0" w:type="dxa"/>
          <w:right w:w="0" w:type="dxa"/>
        </w:tblCellMar>
      </w:tblPr>
      <w:tr>
        <w:trPr>
          <w:trHeight w:val="203"/>
        </w:trPr>
        <w:tc>
          <w:tcPr>
            <w:tcW w:w="3100" w:type="dxa"/>
            <w:vAlign w:val="bottom"/>
          </w:tcPr>
          <w:p>
            <w:pPr>
              <w:ind w:left="100"/>
              <w:spacing w:after="0"/>
              <w:rPr>
                <w:sz w:val="20"/>
                <w:szCs w:val="20"/>
                <w:color w:val="auto"/>
              </w:rPr>
            </w:pPr>
            <w:r>
              <w:rPr>
                <w:rFonts w:ascii="Courier New" w:cs="Courier New" w:eastAsia="Courier New" w:hAnsi="Courier New"/>
                <w:sz w:val="18"/>
                <w:szCs w:val="18"/>
                <w:color w:val="auto"/>
              </w:rPr>
              <w:t>to common stock:</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3100" w:type="dxa"/>
            <w:vAlign w:val="bottom"/>
          </w:tcPr>
          <w:p>
            <w:pPr>
              <w:spacing w:after="0"/>
              <w:rPr>
                <w:sz w:val="20"/>
                <w:szCs w:val="20"/>
                <w:color w:val="auto"/>
              </w:rPr>
            </w:pPr>
            <w:r>
              <w:rPr>
                <w:rFonts w:ascii="Courier New" w:cs="Courier New" w:eastAsia="Courier New" w:hAnsi="Courier New"/>
                <w:sz w:val="18"/>
                <w:szCs w:val="18"/>
                <w:color w:val="auto"/>
              </w:rPr>
              <w:t>Total earnings from</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operations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384,995</w:t>
            </w:r>
          </w:p>
        </w:tc>
        <w:tc>
          <w:tcPr>
            <w:tcW w:w="1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$ 347,927</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312,234</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 net</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(144,953)</w:t>
            </w:r>
          </w:p>
        </w:tc>
        <w:tc>
          <w:tcPr>
            <w:tcW w:w="1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(194,104)</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(297,451)</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items, net</w:t>
            </w:r>
          </w:p>
        </w:tc>
        <w:tc>
          <w:tcPr>
            <w:tcW w:w="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61,774</w:t>
            </w:r>
          </w:p>
        </w:tc>
        <w:tc>
          <w:tcPr>
            <w:tcW w:w="1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1,756</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(6,536)</w:t>
            </w:r>
          </w:p>
        </w:tc>
      </w:tr>
      <w:tr>
        <w:trPr>
          <w:trHeight w:val="203"/>
        </w:trPr>
        <w:tc>
          <w:tcPr>
            <w:tcW w:w="3100" w:type="dxa"/>
            <w:vAlign w:val="bottom"/>
          </w:tcPr>
          <w:p>
            <w:pPr>
              <w:spacing w:after="0"/>
              <w:rPr>
                <w:sz w:val="17"/>
                <w:szCs w:val="17"/>
                <w:color w:val="auto"/>
              </w:rPr>
            </w:pP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1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before income taxes</w:t>
            </w:r>
          </w:p>
        </w:tc>
        <w:tc>
          <w:tcPr>
            <w:tcW w:w="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301,816</w:t>
            </w:r>
          </w:p>
        </w:tc>
        <w:tc>
          <w:tcPr>
            <w:tcW w:w="1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155,579</w:t>
            </w:r>
          </w:p>
        </w:tc>
        <w:tc>
          <w:tcPr>
            <w:tcW w:w="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8,247</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129,815</w:t>
            </w:r>
          </w:p>
        </w:tc>
        <w:tc>
          <w:tcPr>
            <w:tcW w:w="1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84,848</w:t>
            </w:r>
          </w:p>
        </w:tc>
        <w:tc>
          <w:tcPr>
            <w:tcW w:w="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42,060</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 in loss of affiliated</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companies, net of tax</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(2,520)</w:t>
            </w:r>
          </w:p>
        </w:tc>
        <w:tc>
          <w:tcPr>
            <w:tcW w:w="1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(4,646)</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(12,743)</w:t>
            </w:r>
          </w:p>
        </w:tc>
      </w:tr>
      <w:tr>
        <w:trPr>
          <w:trHeight w:val="203"/>
        </w:trPr>
        <w:tc>
          <w:tcPr>
            <w:tcW w:w="3100" w:type="dxa"/>
            <w:vAlign w:val="bottom"/>
          </w:tcPr>
          <w:p>
            <w:pPr>
              <w:spacing w:after="0"/>
              <w:rPr>
                <w:sz w:val="17"/>
                <w:szCs w:val="17"/>
                <w:color w:val="auto"/>
              </w:rPr>
            </w:pP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1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(loss) before</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extraordinary losses and</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8"/>
              </w:rPr>
              <w:t>cumulative effect of change</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 accounting principle</w:t>
            </w:r>
          </w:p>
        </w:tc>
        <w:tc>
          <w:tcPr>
            <w:tcW w:w="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169,481</w:t>
            </w:r>
          </w:p>
        </w:tc>
        <w:tc>
          <w:tcPr>
            <w:tcW w:w="1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66,085</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(46,556)</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Extraordinary losses, net of</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tax</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(8,867)</w:t>
            </w:r>
          </w:p>
        </w:tc>
        <w:tc>
          <w:tcPr>
            <w:tcW w:w="1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(17,120)</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(3,101)</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of change</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 accounting principle</w:t>
            </w:r>
          </w:p>
        </w:tc>
        <w:tc>
          <w:tcPr>
            <w:tcW w:w="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10,338</w:t>
            </w:r>
          </w:p>
        </w:tc>
        <w:tc>
          <w:tcPr>
            <w:tcW w:w="1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00" w:type="dxa"/>
            <w:vAlign w:val="bottom"/>
          </w:tcPr>
          <w:p>
            <w:pPr>
              <w:spacing w:after="0"/>
              <w:rPr>
                <w:sz w:val="17"/>
                <w:szCs w:val="17"/>
                <w:color w:val="auto"/>
              </w:rPr>
            </w:pP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1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 (loss)</w:t>
            </w:r>
          </w:p>
        </w:tc>
        <w:tc>
          <w:tcPr>
            <w:tcW w:w="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170,952</w:t>
            </w:r>
          </w:p>
        </w:tc>
        <w:tc>
          <w:tcPr>
            <w:tcW w:w="1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48,965</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(49,657)</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convertible</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preferred stock dividend</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requirement of Viacom Inc.</w:t>
            </w:r>
          </w:p>
        </w:tc>
        <w:tc>
          <w:tcPr>
            <w:tcW w:w="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12,750</w:t>
            </w:r>
          </w:p>
        </w:tc>
        <w:tc>
          <w:tcPr>
            <w:tcW w:w="1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00" w:type="dxa"/>
            <w:vAlign w:val="bottom"/>
          </w:tcPr>
          <w:p>
            <w:pPr>
              <w:spacing w:after="0"/>
              <w:rPr>
                <w:sz w:val="17"/>
                <w:szCs w:val="17"/>
                <w:color w:val="auto"/>
              </w:rPr>
            </w:pP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10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 (loss)</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attributable to common</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stock</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158,202</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48,965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(49,657)</w:t>
            </w:r>
          </w:p>
        </w:tc>
      </w:tr>
      <w:tr>
        <w:trPr>
          <w:trHeight w:val="203"/>
        </w:trPr>
        <w:tc>
          <w:tcPr>
            <w:tcW w:w="3100" w:type="dxa"/>
            <w:vAlign w:val="bottom"/>
          </w:tcPr>
          <w:p>
            <w:pPr>
              <w:spacing w:after="0"/>
              <w:rPr>
                <w:sz w:val="17"/>
                <w:szCs w:val="17"/>
                <w:color w:val="auto"/>
              </w:rPr>
            </w:pP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717" w:right="1440" w:bottom="970" w:gutter="0" w:footer="0" w:header="0"/>
        </w:sectPr>
      </w:pPr>
    </w:p>
    <w:bookmarkStart w:id="55" w:name="page56"/>
    <w:bookmarkEnd w:id="55"/>
    <w:p>
      <w:pPr>
        <w:spacing w:after="0"/>
        <w:rPr>
          <w:sz w:val="20"/>
          <w:szCs w:val="20"/>
          <w:color w:val="auto"/>
        </w:rPr>
      </w:pPr>
      <w:r>
        <w:rPr>
          <w:rFonts w:ascii="Courier New" w:cs="Courier New" w:eastAsia="Courier New" w:hAnsi="Courier New"/>
          <w:sz w:val="18"/>
          <w:szCs w:val="18"/>
          <w:color w:val="auto"/>
        </w:rPr>
        <w:t>Results of Operations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1993 vs. 1992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Revenues increased 8% to $2.0 billion in 1993 from $1.9 billion in 1992. Earnings from operations increased 11% to $385.0 million in 1993 from $347.9 million in 1992. Explanations of variances in revenues and earnings from operations for each operating segment follow.</w:t>
      </w:r>
    </w:p>
    <w:p>
      <w:pPr>
        <w:spacing w:after="0" w:line="209"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Net earnings attributable to common stock of $158.2 million, or $1.31 per share, for the year ended December 31, 1993, reflect net interest expense of $145.0 million, a pre-tax gain aggregating $72.4 million from the sale of the Wisconsin cable television system and sales of a portion of an investment held at cost, and a provision for income taxes of $129.8 million. Net earnings of $49.0 million, or $.41 per share, for the year ended December 31, 1992, reflect net interest expense of $194.1 million and a provision for income taxes of $84.8 million.</w:t>
      </w:r>
    </w:p>
    <w:p>
      <w:pPr>
        <w:spacing w:after="0" w:line="214"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comparability of results of operations for 1993 and 1992 has been affected by (1) the sale of the Wisconsin cable television system, effective January 1, 1993 and (2) the change in estimate of copyright royalty revenues during 1992 in the Entertainment segment. (See "Cable Television" and "Entertainment" for additional information concerning the changes noted above.)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Networks (Basic cable and premium television networks)</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The constituents of Networks are MTV Networks ("MTVN") and Showtime Networks Inc. ("SNI"). Networks revenues increased 15% to $1.221 billion in 1993 from $1.059 billion in 1992. Networks earnings from operations increased 32% to $272.1 million in 1993 from $205.6 million in 1992.</w:t>
      </w:r>
    </w:p>
    <w:p>
      <w:pPr>
        <w:spacing w:after="0" w:line="209" w:lineRule="exact"/>
        <w:rPr>
          <w:sz w:val="20"/>
          <w:szCs w:val="20"/>
          <w:color w:val="auto"/>
        </w:rPr>
      </w:pPr>
    </w:p>
    <w:p>
      <w:pPr>
        <w:ind w:right="2419"/>
        <w:spacing w:after="0" w:line="238" w:lineRule="auto"/>
        <w:rPr>
          <w:sz w:val="20"/>
          <w:szCs w:val="20"/>
          <w:color w:val="auto"/>
        </w:rPr>
      </w:pPr>
      <w:r>
        <w:rPr>
          <w:rFonts w:ascii="Courier New" w:cs="Courier New" w:eastAsia="Courier New" w:hAnsi="Courier New"/>
          <w:sz w:val="18"/>
          <w:szCs w:val="18"/>
          <w:color w:val="auto"/>
        </w:rPr>
        <w:t>MTVN revenues increased 27% to $677.9 million in 1993 from $533.4 million in 1992: 70% of the increase was attributable to increased advertising sales; 21% was due to increased affiliate fees; and 9% was due to other sources. The increases in advertising sales and affiliate fees were principally due to rate increases. The increase in other sources was principally due to revenues from new business ventures including licensing and merchandising. Earnings from operations of MTVN increased 39% to $239.7 million in 1993 from $172.9 million in 1992, reflecting the increased revenues, partially offset by increased programming and marketing expenses at each of the networks and other costs of operating the networks, including start up losses of MTV Latino and Nickelodeon Magazine aggregating $6.5 million. The increased programming and marketing expenses at each of the networks (including animated programming on Nickelodeon and MTV) was to a large extent responsible for the Company's ability to increase advertising rates.</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II-6</w:t>
      </w:r>
    </w:p>
    <w:p>
      <w:pPr>
        <w:sectPr>
          <w:pgSz w:w="11900" w:h="16838" w:orient="portrait"/>
          <w:cols w:equalWidth="0" w:num="1">
            <w:col w:w="9799"/>
          </w:cols>
          <w:pgMar w:left="660" w:top="919" w:right="1440" w:bottom="1440" w:gutter="0" w:footer="0" w:header="0"/>
        </w:sectPr>
      </w:pPr>
    </w:p>
    <w:bookmarkStart w:id="56" w:name="page57"/>
    <w:bookmarkEnd w:id="56"/>
    <w:p>
      <w:pPr>
        <w:ind w:right="2319"/>
        <w:spacing w:after="0" w:line="268" w:lineRule="auto"/>
        <w:rPr>
          <w:sz w:val="20"/>
          <w:szCs w:val="20"/>
          <w:color w:val="auto"/>
        </w:rPr>
      </w:pPr>
      <w:r>
        <w:rPr>
          <w:rFonts w:ascii="Courier New" w:cs="Courier New" w:eastAsia="Courier New" w:hAnsi="Courier New"/>
          <w:sz w:val="16"/>
          <w:szCs w:val="16"/>
          <w:color w:val="auto"/>
        </w:rPr>
        <w:t>SNI revenues increased 3% to $543.3 million in 1993 from $525.7 million in 1992, including Viacom Pictures in each period presented, due to (i) an increase of $13.6 million in revenues of Showtime Satellite Networks ("SSN"), primarily due to a 40% increase in SSN's subscriber base, principally attributable to the use of upgraded scrambling technology, partially offset by a decrease of 8% in average rates, (ii) an increase of $4.4 million in revenues of Showtime and The Movie Channel (excluding revenues generated by SSN), reflecting a 3% increase in the combined subscriber base with a decrease in average rates of 2% and</w:t>
      </w:r>
    </w:p>
    <w:p>
      <w:pPr>
        <w:spacing w:after="0" w:line="2" w:lineRule="exact"/>
        <w:rPr>
          <w:sz w:val="20"/>
          <w:szCs w:val="20"/>
          <w:color w:val="auto"/>
        </w:rPr>
      </w:pPr>
    </w:p>
    <w:p>
      <w:pPr>
        <w:ind w:right="2319" w:firstLine="9"/>
        <w:spacing w:after="0" w:line="237" w:lineRule="auto"/>
        <w:tabs>
          <w:tab w:leader="none" w:pos="63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$.4 million decrease in other revenue sources. SNI's premium movie services, Showtime, The Movie Channel and FLIX, served approximately 11.9 million subscribers as of December 31, 1993 and 10.7 million subscribers as of December 31, 1992. SNI's overall earnings from operations decreased 1% to $32.3 million in 1993 from $32.7 million in 1992, reflecting increased programming and marketing expenses, partially offset by the increased revenues.</w:t>
      </w:r>
    </w:p>
    <w:p>
      <w:pPr>
        <w:spacing w:after="0" w:line="200" w:lineRule="exact"/>
        <w:rPr>
          <w:sz w:val="20"/>
          <w:szCs w:val="20"/>
          <w:color w:val="auto"/>
        </w:rPr>
      </w:pPr>
    </w:p>
    <w:p>
      <w:pPr>
        <w:spacing w:after="0" w:line="21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Entertainment (Television programming, syndication, production and new media)</w:t>
      </w:r>
    </w:p>
    <w:p>
      <w:pPr>
        <w:spacing w:after="0" w:line="208"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Entertainment segment distributes television series, feature films, made-for-television movies and mini-series for television exhibition around the world, produces television series and made-for-television movies, and also distributes television and radio commercials. The Entertainment segment also includes Viacom New Media, which develops, produces, distributes and markets interactive software.</w:t>
      </w:r>
    </w:p>
    <w:p>
      <w:pPr>
        <w:spacing w:after="0" w:line="211" w:lineRule="exact"/>
        <w:rPr>
          <w:sz w:val="20"/>
          <w:szCs w:val="20"/>
          <w:color w:val="auto"/>
        </w:rPr>
      </w:pPr>
    </w:p>
    <w:p>
      <w:pPr>
        <w:ind w:right="2319"/>
        <w:spacing w:after="0" w:line="269" w:lineRule="auto"/>
        <w:rPr>
          <w:sz w:val="20"/>
          <w:szCs w:val="20"/>
          <w:color w:val="auto"/>
        </w:rPr>
      </w:pPr>
      <w:r>
        <w:rPr>
          <w:rFonts w:ascii="Courier New" w:cs="Courier New" w:eastAsia="Courier New" w:hAnsi="Courier New"/>
          <w:sz w:val="16"/>
          <w:szCs w:val="16"/>
          <w:color w:val="auto"/>
        </w:rPr>
        <w:t>Entertainment revenues decreased 16% to $209.1 million in 1993 from $248.3 million in 1992. The revenue variance was principally due to lower syndication revenues, lower copyright revenues resulting from a change in estimate which increased revenue by approximately $10 million in 1992, and decreased network production revenues. Lower sales to the broadcast, cable and other markets reflect lower syndication revenues for The Cosby Show and softness in the syndication marketplace due to a decrease in the number of independent broadcast television stations because of new network affiliations. Revenues from the domestic broadcast syndication of The Cosby Show were approximately 12% and 18% of Entertainment revenues during 1993 and 1992, respectively. The decrease was due to the ending of the first domestic syndication cycle of The Cosby Show during the third quarter of 1993. The second domestic broadcast syndication cycle of The Cosby Show, which began in the third quarter of 1993, will generate significantly lower revenues. Network license fees were lower because fewer shows were produced for network television; however the decrease does not have a significant impact on Entertainment earnings from operations.</w:t>
      </w:r>
    </w:p>
    <w:p>
      <w:pPr>
        <w:spacing w:after="0" w:line="395" w:lineRule="exact"/>
        <w:rPr>
          <w:sz w:val="20"/>
          <w:szCs w:val="20"/>
          <w:color w:val="auto"/>
        </w:rPr>
      </w:pPr>
    </w:p>
    <w:p>
      <w:pPr>
        <w:ind w:right="2419"/>
        <w:spacing w:after="0" w:line="275" w:lineRule="auto"/>
        <w:rPr>
          <w:sz w:val="20"/>
          <w:szCs w:val="20"/>
          <w:color w:val="auto"/>
        </w:rPr>
      </w:pPr>
      <w:r>
        <w:rPr>
          <w:rFonts w:ascii="Courier New" w:cs="Courier New" w:eastAsia="Courier New" w:hAnsi="Courier New"/>
          <w:sz w:val="16"/>
          <w:szCs w:val="16"/>
          <w:color w:val="auto"/>
        </w:rPr>
        <w:t>Earnings from operations decreased 46% to $32.5 million in 1993 from $59.7 million in 1992, reflecting the decreased revenues and $6.1 million of start-up losses associated with Viacom New Media, which anticipates releasing approximately nine interactive video games based</w:t>
      </w:r>
    </w:p>
    <w:p>
      <w:pPr>
        <w:spacing w:after="0" w:line="3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II-7</w:t>
      </w:r>
    </w:p>
    <w:p>
      <w:pPr>
        <w:sectPr>
          <w:pgSz w:w="11900" w:h="16838" w:orient="portrait"/>
          <w:cols w:equalWidth="0" w:num="1">
            <w:col w:w="9799"/>
          </w:cols>
          <w:pgMar w:left="660" w:top="925"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8"/>
          <w:szCs w:val="18"/>
          <w:color w:val="auto"/>
        </w:rPr>
        <w:t>on MTV Networks' programming by the end of 1994.</w:t>
      </w:r>
    </w:p>
    <w:p>
      <w:pPr>
        <w:spacing w:after="0" w:line="207" w:lineRule="exact"/>
        <w:rPr>
          <w:sz w:val="20"/>
          <w:szCs w:val="20"/>
          <w:color w:val="auto"/>
        </w:rPr>
      </w:pPr>
    </w:p>
    <w:p>
      <w:pPr>
        <w:ind w:right="2419"/>
        <w:spacing w:after="0" w:line="271" w:lineRule="auto"/>
        <w:rPr>
          <w:sz w:val="20"/>
          <w:szCs w:val="20"/>
          <w:color w:val="auto"/>
        </w:rPr>
      </w:pPr>
      <w:r>
        <w:rPr>
          <w:rFonts w:ascii="Courier New" w:cs="Courier New" w:eastAsia="Courier New" w:hAnsi="Courier New"/>
          <w:sz w:val="16"/>
          <w:szCs w:val="16"/>
          <w:color w:val="auto"/>
        </w:rPr>
        <w:t>The Company had accumulated a backlog of unbilled syndication license agreements of approximately $399.0 million at December 31, 1993. As the license fees are billed over the term of the various licensing contracts, the Company will recognize as revenues that portion of such license fees representing its distribution fees. Approximately 58% of the Company's backlog was attributable to license fees for Roseanne and The Cosby Show. As The Cosby Show becomes a smaller portion of the total backlog, the percentage of the total license fee recognized as revenue by the Company will be reduced.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Cable Television (Cable television systems)</w:t>
      </w:r>
    </w:p>
    <w:p>
      <w:pPr>
        <w:spacing w:after="0" w:line="207"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Cable Television revenues increased 1% to $416.0 million in 1993 from $411.1 million in 1992. Earnings from operations decreased 10% to $110.2 million in 1993 from $122.0 million in 1992.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a comparable basis with the 1992 results (excluding the Wisconsin</w:t>
      </w:r>
    </w:p>
    <w:p>
      <w:pPr>
        <w:spacing w:after="0" w:line="238" w:lineRule="auto"/>
        <w:rPr>
          <w:sz w:val="20"/>
          <w:szCs w:val="20"/>
          <w:color w:val="auto"/>
        </w:rPr>
      </w:pPr>
      <w:r>
        <w:rPr>
          <w:rFonts w:ascii="Courier New" w:cs="Courier New" w:eastAsia="Courier New" w:hAnsi="Courier New"/>
          <w:sz w:val="18"/>
          <w:szCs w:val="18"/>
          <w:color w:val="auto"/>
        </w:rPr>
        <w:t>cable system, which was sold effective January 1, 1993), Cable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Television revenues increased 6% to $416.0 million in 1993 from $393.6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in 1992: 52% of this increase resulted from increases in rates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basic services; 32% from increased basic customers; 8% from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increased pay-per-view revenues; and 8% from increases in other revenue</w:t>
      </w:r>
    </w:p>
    <w:p>
      <w:pPr>
        <w:spacing w:after="0" w:line="1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sources.</w:t>
      </w:r>
      <w:r>
        <w:rPr>
          <w:sz w:val="20"/>
          <w:szCs w:val="20"/>
          <w:color w:val="auto"/>
        </w:rPr>
        <w:tab/>
      </w:r>
      <w:r>
        <w:rPr>
          <w:rFonts w:ascii="Courier New" w:cs="Courier New" w:eastAsia="Courier New" w:hAnsi="Courier New"/>
          <w:sz w:val="16"/>
          <w:szCs w:val="16"/>
          <w:color w:val="auto"/>
        </w:rPr>
        <w:t>Total revenue per basic customer per month increased 3% to</w:t>
      </w:r>
    </w:p>
    <w:p>
      <w:pPr>
        <w:spacing w:after="0"/>
        <w:tabs>
          <w:tab w:leader="none" w:pos="3880" w:val="left"/>
        </w:tabs>
        <w:rPr>
          <w:sz w:val="20"/>
          <w:szCs w:val="20"/>
          <w:color w:val="auto"/>
        </w:rPr>
      </w:pPr>
      <w:r>
        <w:rPr>
          <w:rFonts w:ascii="Courier New" w:cs="Courier New" w:eastAsia="Courier New" w:hAnsi="Courier New"/>
          <w:sz w:val="18"/>
          <w:szCs w:val="18"/>
          <w:color w:val="auto"/>
        </w:rPr>
        <w:t>$32.03 in 1993 from $31.04 in 1992.</w:t>
      </w:r>
      <w:r>
        <w:rPr>
          <w:sz w:val="20"/>
          <w:szCs w:val="20"/>
          <w:color w:val="auto"/>
        </w:rPr>
        <w:tab/>
      </w:r>
      <w:r>
        <w:rPr>
          <w:rFonts w:ascii="Courier New" w:cs="Courier New" w:eastAsia="Courier New" w:hAnsi="Courier New"/>
          <w:sz w:val="16"/>
          <w:szCs w:val="16"/>
          <w:color w:val="auto"/>
        </w:rPr>
        <w:t>Earnings from operations decreased</w:t>
      </w:r>
    </w:p>
    <w:p>
      <w:pPr>
        <w:spacing w:after="0"/>
        <w:rPr>
          <w:sz w:val="20"/>
          <w:szCs w:val="20"/>
          <w:color w:val="auto"/>
        </w:rPr>
      </w:pPr>
      <w:r>
        <w:rPr>
          <w:rFonts w:ascii="Courier New" w:cs="Courier New" w:eastAsia="Courier New" w:hAnsi="Courier New"/>
          <w:sz w:val="18"/>
          <w:szCs w:val="18"/>
          <w:color w:val="auto"/>
        </w:rPr>
        <w:t>6% to $110.2 million in 1993 from $117.6 million in 1992, reflecting</w:t>
      </w:r>
    </w:p>
    <w:p>
      <w:pPr>
        <w:spacing w:after="0" w:line="237" w:lineRule="auto"/>
        <w:rPr>
          <w:sz w:val="20"/>
          <w:szCs w:val="20"/>
          <w:color w:val="auto"/>
        </w:rPr>
      </w:pPr>
      <w:r>
        <w:rPr>
          <w:rFonts w:ascii="Courier New" w:cs="Courier New" w:eastAsia="Courier New" w:hAnsi="Courier New"/>
          <w:sz w:val="18"/>
          <w:szCs w:val="18"/>
          <w:color w:val="auto"/>
        </w:rPr>
        <w:t>increased operating expenses (which included non-recurring costs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associated with the implementation of Federal Communication Commission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("FCC") rate regulations discussed below), partially offset by</w:t>
      </w:r>
    </w:p>
    <w:p>
      <w:pPr>
        <w:spacing w:after="0" w:line="238" w:lineRule="auto"/>
        <w:rPr>
          <w:sz w:val="20"/>
          <w:szCs w:val="20"/>
          <w:color w:val="auto"/>
        </w:rPr>
      </w:pPr>
      <w:r>
        <w:rPr>
          <w:rFonts w:ascii="Courier New" w:cs="Courier New" w:eastAsia="Courier New" w:hAnsi="Courier New"/>
          <w:sz w:val="18"/>
          <w:szCs w:val="18"/>
          <w:color w:val="auto"/>
        </w:rPr>
        <w:t>increased revenues.</w:t>
      </w:r>
    </w:p>
    <w:p>
      <w:pPr>
        <w:spacing w:after="0" w:line="207"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The 1992 Cable Act amended the Communications Act of 1934, as amended (the "Communications Act"). Rate regulations adopted in April 1993 by the FCC govern rates charged to subscribers for regulated tiers of cable service and became effective on September 1, 1993. On February 22, 1994, the FCC adopted additional rules (the "February 22nd Regulations") which have not yet been published in their final form. The "benchmark" formula adopted as part of the regulations in April</w:t>
      </w:r>
    </w:p>
    <w:p>
      <w:pPr>
        <w:spacing w:after="0" w:line="1" w:lineRule="exact"/>
        <w:rPr>
          <w:sz w:val="20"/>
          <w:szCs w:val="20"/>
          <w:color w:val="auto"/>
        </w:rPr>
      </w:pPr>
    </w:p>
    <w:p>
      <w:pPr>
        <w:ind w:right="2319"/>
        <w:spacing w:after="0" w:line="270" w:lineRule="auto"/>
        <w:rPr>
          <w:sz w:val="20"/>
          <w:szCs w:val="20"/>
          <w:color w:val="auto"/>
        </w:rPr>
      </w:pPr>
      <w:r>
        <w:rPr>
          <w:rFonts w:ascii="Courier New" w:cs="Courier New" w:eastAsia="Courier New" w:hAnsi="Courier New"/>
          <w:sz w:val="16"/>
          <w:szCs w:val="16"/>
          <w:color w:val="auto"/>
        </w:rPr>
        <w:t>1993 establishes an "initial permitted rate" which may be charged by cable operators for tiers of cable service. The regulations also establish the prices which may be charged for equipment used to receive these services. Because the text of the February 22nd Regulations has not been released, it is not possible to know the extent or nature of revisions to the April 1993 regulations. However, from public statements made during the FCC meeting and news releases issued thereafter, it appears that the February 22nd Regulations will contain a new formula for determining permitted rates. The new formula will require up to a 17% reduction of rates from those charged on September 30, 1992, rather than the 10% reduction required by the April 1993 regulations. The February 22nd Regulations also adopted interim standards governing "cost-of-service" proceedings pursuant to which a</w:t>
      </w:r>
    </w:p>
    <w:p>
      <w:pPr>
        <w:spacing w:after="0" w:line="200" w:lineRule="exact"/>
        <w:rPr>
          <w:sz w:val="20"/>
          <w:szCs w:val="20"/>
          <w:color w:val="auto"/>
        </w:rPr>
      </w:pPr>
    </w:p>
    <w:p>
      <w:pPr>
        <w:spacing w:after="0" w:line="38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II-8</w:t>
      </w:r>
    </w:p>
    <w:p>
      <w:pPr>
        <w:sectPr>
          <w:pgSz w:w="11900" w:h="16838" w:orient="portrait"/>
          <w:cols w:equalWidth="0" w:num="1">
            <w:col w:w="9799"/>
          </w:cols>
          <w:pgMar w:left="660" w:top="920" w:right="1440" w:bottom="1440" w:gutter="0" w:footer="0" w:header="0"/>
        </w:sectPr>
      </w:pPr>
    </w:p>
    <w:bookmarkStart w:id="58" w:name="page59"/>
    <w:bookmarkEnd w:id="58"/>
    <w:p>
      <w:pPr>
        <w:ind w:right="2419"/>
        <w:spacing w:after="0" w:line="237" w:lineRule="auto"/>
        <w:rPr>
          <w:sz w:val="20"/>
          <w:szCs w:val="20"/>
          <w:color w:val="auto"/>
        </w:rPr>
      </w:pPr>
      <w:r>
        <w:rPr>
          <w:rFonts w:ascii="Courier New" w:cs="Courier New" w:eastAsia="Courier New" w:hAnsi="Courier New"/>
          <w:sz w:val="18"/>
          <w:szCs w:val="18"/>
          <w:color w:val="auto"/>
        </w:rPr>
        <w:t>cable operator would be permitted to charge rates in excess of rates which it would otherwise be permitted to charge under the regulations, provided that the operator substantiates that its costs in providing services justify such rates.</w:t>
      </w:r>
    </w:p>
    <w:p>
      <w:pPr>
        <w:spacing w:after="0" w:line="207" w:lineRule="exact"/>
        <w:rPr>
          <w:sz w:val="20"/>
          <w:szCs w:val="20"/>
          <w:color w:val="auto"/>
        </w:rPr>
      </w:pPr>
    </w:p>
    <w:p>
      <w:pPr>
        <w:ind w:right="2319"/>
        <w:spacing w:after="0" w:line="269" w:lineRule="auto"/>
        <w:rPr>
          <w:sz w:val="20"/>
          <w:szCs w:val="20"/>
          <w:color w:val="auto"/>
        </w:rPr>
      </w:pPr>
      <w:r>
        <w:rPr>
          <w:rFonts w:ascii="Courier New" w:cs="Courier New" w:eastAsia="Courier New" w:hAnsi="Courier New"/>
          <w:sz w:val="16"/>
          <w:szCs w:val="16"/>
          <w:color w:val="auto"/>
        </w:rPr>
        <w:t>Based on its implementation of the April 1993 rate regulations, the Company estimates that it will recognize a reduction to revenues ranging from $27 million to $32 million on an annualized basis substantially all of which will be reflected as a reduction in earnings from operations of its cable division. The Company's estimated reduction does not reflect further reductions to revenue which would result from the lowering of the initial permitted rates pursuant to the February 22nd Regulations. These new and reduced initial permitted rates will apply prospectively from a date to be announced by the FCC when it publishes precise regulations which implement the February 22nd Regulations. Until the February 22nd Regulations are released, it is not possible to predict the effects of the interim standards governing cost-of-service proceedings; however, based on the public statements, Viacom believes it is unlikely that it will be able to utilize such proceedings so as to charge rates in excess of rates which it would otherwise be permitted to charge under the regulations. The Company's ability to mitigate the effects of these new rate regulations by employing techniques such as the pricing and repricing of new or currently offered unregulated program services and ancillary services may be restricted by the new regulations adopted as part of the February 22nd Regulations. No such mitigating factors are reflected in the estimated reductions to revenues. The stated reduction to revenues may be mitigated by higher customer growth due to lower basic rates.</w:t>
      </w:r>
    </w:p>
    <w:p>
      <w:pPr>
        <w:spacing w:after="0" w:line="393"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"must carry" provisions of the 1992 Cable Act are not material to the Company's results of operations.</w:t>
      </w:r>
    </w:p>
    <w:p>
      <w:pPr>
        <w:spacing w:after="0" w:line="208"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As of December 31, 1993, the Company operated systems in California, Oregon, Washington, Ohio and Tennessee, serving approximately 1,094,000 basic customers subscribing to approximately 718,000 premium units. Basic customers and premium units decreased 2% and 9%, respectively, since December 31, 1992; and, excluding the Wisconsin cable system customers in 1992, basic customers and premium units increased 2% and decreased 5%, respectively.</w:t>
      </w:r>
    </w:p>
    <w:p>
      <w:pPr>
        <w:spacing w:after="0" w:line="211"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As part of the settlement of the Time Warner antitrust lawsuit, the Company entered into an agreement to sell all the stock of Viacom Cablevision of Wisconsin, Inc. to Warner Communications Inc. ("Warner"), effective January 1, 1993. As consideration for the stock, Warner paid the sum of $46 million, $20 million of which was received during 1992, plus repayment of debt in the amount of $49 million, resulting in a pre-tax gain of approximately $55 million reflected in "Other items, net." As of December 31, 1992, the Wisconsin cable system served approximately 47,000 basic customers subscribing to approximately 34,000 premium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II-9</w:t>
      </w:r>
    </w:p>
    <w:p>
      <w:pPr>
        <w:sectPr>
          <w:pgSz w:w="11900" w:h="16838" w:orient="portrait"/>
          <w:cols w:equalWidth="0" w:num="1">
            <w:col w:w="9799"/>
          </w:cols>
          <w:pgMar w:left="660" w:top="925"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8"/>
          <w:szCs w:val="18"/>
          <w:color w:val="auto"/>
        </w:rPr>
        <w:t>Broadcasting (Television and radio stations)</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As of December 31, 1993, the Broadcasting segment operated five network-affiliated television stations and 14 radio stations. Broadcasting revenues increased 8% to $181.8 million in 1993 from $168.8 million in 1992. Earnings from operations increased 32% to $42.3 million in 1993 from $32.0 million in 1992.</w:t>
      </w:r>
    </w:p>
    <w:p>
      <w:pPr>
        <w:spacing w:after="0" w:line="209"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Television revenues increased 4% to $90.3 million in 1993 from $87.1 million in 1992, reflecting an increase in national and local advertising revenues. Earnings from operations increased 20% to $20.3 million in 1993 from $16.9 million in 1992, primarily reflecting the increased 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Television Stations:</w:t>
            </w:r>
          </w:p>
        </w:tc>
        <w:tc>
          <w:tcPr>
            <w:tcW w:w="2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2540" w:type="dxa"/>
            <w:vAlign w:val="bottom"/>
          </w:tcPr>
          <w:p>
            <w:pPr>
              <w:ind w:left="960"/>
              <w:spacing w:after="0"/>
              <w:rPr>
                <w:sz w:val="20"/>
                <w:szCs w:val="20"/>
                <w:color w:val="auto"/>
              </w:rPr>
            </w:pPr>
            <w:r>
              <w:rPr>
                <w:rFonts w:ascii="Courier New" w:cs="Courier New" w:eastAsia="Courier New" w:hAnsi="Courier New"/>
                <w:sz w:val="18"/>
                <w:szCs w:val="18"/>
                <w:color w:val="auto"/>
              </w:rPr>
              <w:t>STATION</w:t>
            </w:r>
          </w:p>
        </w:tc>
        <w:tc>
          <w:tcPr>
            <w:tcW w:w="2260" w:type="dxa"/>
            <w:vAlign w:val="bottom"/>
          </w:tcPr>
          <w:p>
            <w:pPr>
              <w:ind w:left="520"/>
              <w:spacing w:after="0"/>
              <w:rPr>
                <w:sz w:val="20"/>
                <w:szCs w:val="20"/>
                <w:color w:val="auto"/>
              </w:rPr>
            </w:pPr>
            <w:r>
              <w:rPr>
                <w:rFonts w:ascii="Courier New" w:cs="Courier New" w:eastAsia="Courier New" w:hAnsi="Courier New"/>
                <w:sz w:val="18"/>
                <w:szCs w:val="18"/>
                <w:color w:val="auto"/>
              </w:rPr>
              <w:t>LOCATION</w:t>
            </w:r>
          </w:p>
        </w:tc>
        <w:tc>
          <w:tcPr>
            <w:tcW w:w="1320" w:type="dxa"/>
            <w:vAlign w:val="bottom"/>
          </w:tcPr>
          <w:p>
            <w:pPr>
              <w:jc w:val="center"/>
              <w:spacing w:after="0"/>
              <w:rPr>
                <w:sz w:val="20"/>
                <w:szCs w:val="20"/>
                <w:color w:val="auto"/>
              </w:rPr>
            </w:pPr>
            <w:r>
              <w:rPr>
                <w:rFonts w:ascii="Courier New" w:cs="Courier New" w:eastAsia="Courier New" w:hAnsi="Courier New"/>
                <w:sz w:val="18"/>
                <w:szCs w:val="18"/>
                <w:color w:val="auto"/>
                <w:w w:val="97"/>
              </w:rPr>
              <w:t>AFFILIATION</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rPr>
              <w:t>MARKET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RANK (a)</w:t>
            </w:r>
          </w:p>
        </w:tc>
      </w:tr>
      <w:tr>
        <w:trPr>
          <w:trHeight w:val="203"/>
        </w:trPr>
        <w:tc>
          <w:tcPr>
            <w:tcW w:w="25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KMOV-TV</w:t>
            </w: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 Louis, MO</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CBS</w:t>
            </w: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18</w:t>
            </w:r>
          </w:p>
        </w:tc>
        <w:tc>
          <w:tcPr>
            <w:tcW w:w="9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w:t>
            </w:r>
          </w:p>
        </w:tc>
      </w:tr>
      <w:tr>
        <w:trPr>
          <w:trHeight w:val="405"/>
        </w:trPr>
        <w:tc>
          <w:tcPr>
            <w:tcW w:w="2540" w:type="dxa"/>
            <w:vAlign w:val="bottom"/>
          </w:tcPr>
          <w:p>
            <w:pPr>
              <w:ind w:left="960"/>
              <w:spacing w:after="0"/>
              <w:rPr>
                <w:sz w:val="20"/>
                <w:szCs w:val="20"/>
                <w:color w:val="auto"/>
              </w:rPr>
            </w:pPr>
            <w:r>
              <w:rPr>
                <w:rFonts w:ascii="Courier New" w:cs="Courier New" w:eastAsia="Courier New" w:hAnsi="Courier New"/>
                <w:sz w:val="18"/>
                <w:szCs w:val="18"/>
                <w:color w:val="auto"/>
              </w:rPr>
              <w:t>WVIT-TV</w:t>
            </w:r>
          </w:p>
        </w:tc>
        <w:tc>
          <w:tcPr>
            <w:tcW w:w="2260" w:type="dxa"/>
            <w:vAlign w:val="bottom"/>
          </w:tcPr>
          <w:p>
            <w:pPr>
              <w:ind w:left="420"/>
              <w:spacing w:after="0"/>
              <w:rPr>
                <w:sz w:val="20"/>
                <w:szCs w:val="20"/>
                <w:color w:val="auto"/>
              </w:rPr>
            </w:pPr>
            <w:r>
              <w:rPr>
                <w:rFonts w:ascii="Courier New" w:cs="Courier New" w:eastAsia="Courier New" w:hAnsi="Courier New"/>
                <w:sz w:val="18"/>
                <w:szCs w:val="18"/>
                <w:color w:val="auto"/>
              </w:rPr>
              <w:t>Hartford/New</w:t>
            </w:r>
          </w:p>
        </w:tc>
        <w:tc>
          <w:tcPr>
            <w:tcW w:w="1320" w:type="dxa"/>
            <w:vAlign w:val="bottom"/>
          </w:tcPr>
          <w:p>
            <w:pPr>
              <w:jc w:val="center"/>
              <w:spacing w:after="0"/>
              <w:rPr>
                <w:sz w:val="20"/>
                <w:szCs w:val="20"/>
                <w:color w:val="auto"/>
              </w:rPr>
            </w:pPr>
            <w:r>
              <w:rPr>
                <w:rFonts w:ascii="Courier New" w:cs="Courier New" w:eastAsia="Courier New" w:hAnsi="Courier New"/>
                <w:sz w:val="18"/>
                <w:szCs w:val="18"/>
                <w:color w:val="auto"/>
                <w:w w:val="98"/>
              </w:rPr>
              <w:t>NBC</w:t>
            </w:r>
          </w:p>
        </w:tc>
        <w:tc>
          <w:tcPr>
            <w:tcW w:w="840" w:type="dxa"/>
            <w:vAlign w:val="bottom"/>
          </w:tcPr>
          <w:p>
            <w:pPr>
              <w:jc w:val="center"/>
              <w:spacing w:after="0"/>
              <w:rPr>
                <w:sz w:val="20"/>
                <w:szCs w:val="20"/>
                <w:color w:val="auto"/>
              </w:rPr>
            </w:pPr>
            <w:r>
              <w:rPr>
                <w:rFonts w:ascii="Courier New" w:cs="Courier New" w:eastAsia="Courier New" w:hAnsi="Courier New"/>
                <w:sz w:val="18"/>
                <w:szCs w:val="18"/>
                <w:color w:val="auto"/>
                <w:w w:val="92"/>
              </w:rPr>
              <w:t>25</w:t>
            </w:r>
          </w:p>
        </w:tc>
        <w:tc>
          <w:tcPr>
            <w:tcW w:w="96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3</w:t>
            </w:r>
          </w:p>
        </w:tc>
      </w:tr>
      <w:tr>
        <w:trPr>
          <w:trHeight w:val="203"/>
        </w:trPr>
        <w:tc>
          <w:tcPr>
            <w:tcW w:w="2540" w:type="dxa"/>
            <w:vAlign w:val="bottom"/>
          </w:tcPr>
          <w:p>
            <w:pPr>
              <w:spacing w:after="0"/>
              <w:rPr>
                <w:sz w:val="17"/>
                <w:szCs w:val="17"/>
                <w:color w:val="auto"/>
              </w:rPr>
            </w:pP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Haven, CT</w:t>
            </w: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5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WNYT-TV</w:t>
            </w: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Albany/Schenectad</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NBC</w:t>
            </w: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52</w:t>
            </w:r>
          </w:p>
        </w:tc>
        <w:tc>
          <w:tcPr>
            <w:tcW w:w="9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540" w:type="dxa"/>
            <w:vAlign w:val="bottom"/>
          </w:tcPr>
          <w:p>
            <w:pPr>
              <w:spacing w:after="0"/>
              <w:rPr>
                <w:sz w:val="17"/>
                <w:szCs w:val="17"/>
                <w:color w:val="auto"/>
              </w:rPr>
            </w:pP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y, NY</w:t>
            </w: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5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WHEC-TV</w:t>
            </w: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Rochester, NY</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NBC</w:t>
            </w: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71</w:t>
            </w:r>
          </w:p>
        </w:tc>
        <w:tc>
          <w:tcPr>
            <w:tcW w:w="9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w:t>
            </w:r>
          </w:p>
        </w:tc>
      </w:tr>
      <w:tr>
        <w:trPr>
          <w:trHeight w:val="405"/>
        </w:trPr>
        <w:tc>
          <w:tcPr>
            <w:tcW w:w="2540" w:type="dxa"/>
            <w:vAlign w:val="bottom"/>
          </w:tcPr>
          <w:p>
            <w:pPr>
              <w:ind w:left="960"/>
              <w:spacing w:after="0"/>
              <w:rPr>
                <w:sz w:val="20"/>
                <w:szCs w:val="20"/>
                <w:color w:val="auto"/>
              </w:rPr>
            </w:pPr>
            <w:r>
              <w:rPr>
                <w:rFonts w:ascii="Courier New" w:cs="Courier New" w:eastAsia="Courier New" w:hAnsi="Courier New"/>
                <w:sz w:val="18"/>
                <w:szCs w:val="18"/>
                <w:color w:val="auto"/>
              </w:rPr>
              <w:t>KSLA-TV</w:t>
            </w:r>
          </w:p>
        </w:tc>
        <w:tc>
          <w:tcPr>
            <w:tcW w:w="2260" w:type="dxa"/>
            <w:vAlign w:val="bottom"/>
          </w:tcPr>
          <w:p>
            <w:pPr>
              <w:ind w:left="420"/>
              <w:spacing w:after="0"/>
              <w:rPr>
                <w:sz w:val="20"/>
                <w:szCs w:val="20"/>
                <w:color w:val="auto"/>
              </w:rPr>
            </w:pPr>
            <w:r>
              <w:rPr>
                <w:rFonts w:ascii="Courier New" w:cs="Courier New" w:eastAsia="Courier New" w:hAnsi="Courier New"/>
                <w:sz w:val="18"/>
                <w:szCs w:val="18"/>
                <w:color w:val="auto"/>
              </w:rPr>
              <w:t>Shreveport, LA</w:t>
            </w:r>
          </w:p>
        </w:tc>
        <w:tc>
          <w:tcPr>
            <w:tcW w:w="1320" w:type="dxa"/>
            <w:vAlign w:val="bottom"/>
          </w:tcPr>
          <w:p>
            <w:pPr>
              <w:jc w:val="center"/>
              <w:spacing w:after="0"/>
              <w:rPr>
                <w:sz w:val="20"/>
                <w:szCs w:val="20"/>
                <w:color w:val="auto"/>
              </w:rPr>
            </w:pPr>
            <w:r>
              <w:rPr>
                <w:rFonts w:ascii="Courier New" w:cs="Courier New" w:eastAsia="Courier New" w:hAnsi="Courier New"/>
                <w:sz w:val="18"/>
                <w:szCs w:val="18"/>
                <w:color w:val="auto"/>
                <w:w w:val="98"/>
              </w:rPr>
              <w:t>CBS</w:t>
            </w:r>
          </w:p>
        </w:tc>
        <w:tc>
          <w:tcPr>
            <w:tcW w:w="840" w:type="dxa"/>
            <w:vAlign w:val="bottom"/>
          </w:tcPr>
          <w:p>
            <w:pPr>
              <w:jc w:val="center"/>
              <w:spacing w:after="0"/>
              <w:rPr>
                <w:sz w:val="20"/>
                <w:szCs w:val="20"/>
                <w:color w:val="auto"/>
              </w:rPr>
            </w:pPr>
            <w:r>
              <w:rPr>
                <w:rFonts w:ascii="Courier New" w:cs="Courier New" w:eastAsia="Courier New" w:hAnsi="Courier New"/>
                <w:sz w:val="18"/>
                <w:szCs w:val="18"/>
                <w:color w:val="auto"/>
                <w:w w:val="92"/>
              </w:rPr>
              <w:t>74</w:t>
            </w:r>
          </w:p>
        </w:tc>
        <w:tc>
          <w:tcPr>
            <w:tcW w:w="96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1</w:t>
            </w:r>
          </w:p>
        </w:tc>
      </w:tr>
    </w:tbl>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 Source: Nielsen, November 1993.</w:t>
      </w:r>
    </w:p>
    <w:p>
      <w:pPr>
        <w:spacing w:after="0" w:line="207" w:lineRule="exact"/>
        <w:rPr>
          <w:sz w:val="20"/>
          <w:szCs w:val="20"/>
          <w:color w:val="auto"/>
        </w:rPr>
      </w:pPr>
    </w:p>
    <w:p>
      <w:pPr>
        <w:ind w:left="640" w:right="2419"/>
        <w:spacing w:after="0" w:line="237" w:lineRule="auto"/>
        <w:rPr>
          <w:sz w:val="20"/>
          <w:szCs w:val="20"/>
          <w:color w:val="auto"/>
        </w:rPr>
      </w:pPr>
      <w:r>
        <w:rPr>
          <w:rFonts w:ascii="Courier New" w:cs="Courier New" w:eastAsia="Courier New" w:hAnsi="Courier New"/>
          <w:sz w:val="18"/>
          <w:szCs w:val="18"/>
          <w:color w:val="auto"/>
        </w:rPr>
        <w:t>Radio revenues increased 12% to $91.4 million in 1993 from $81.8 million in 1992, reflecting increased national and local advertising revenues. Earnings from operations increased 45% to $26.6 million in 1993 from $18.3 million in 1992, primarily reflecting the increased revenues, partially offset by increased selling costs.</w:t>
      </w:r>
    </w:p>
    <w:p>
      <w:pPr>
        <w:spacing w:after="0" w:line="204"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800" w:type="dxa"/>
            <w:vAlign w:val="bottom"/>
          </w:tcPr>
          <w:p>
            <w:pPr>
              <w:spacing w:after="0"/>
              <w:rPr>
                <w:sz w:val="20"/>
                <w:szCs w:val="20"/>
                <w:color w:val="auto"/>
              </w:rPr>
            </w:pPr>
            <w:r>
              <w:rPr>
                <w:rFonts w:ascii="Courier New" w:cs="Courier New" w:eastAsia="Courier New" w:hAnsi="Courier New"/>
                <w:sz w:val="18"/>
                <w:szCs w:val="18"/>
                <w:color w:val="auto"/>
              </w:rPr>
              <w:t>Radio Stations:</w:t>
            </w:r>
          </w:p>
        </w:tc>
        <w:tc>
          <w:tcPr>
            <w:tcW w:w="2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1800" w:type="dxa"/>
            <w:vAlign w:val="bottom"/>
          </w:tcPr>
          <w:p>
            <w:pPr>
              <w:ind w:left="320"/>
              <w:spacing w:after="0"/>
              <w:rPr>
                <w:sz w:val="20"/>
                <w:szCs w:val="20"/>
                <w:color w:val="auto"/>
              </w:rPr>
            </w:pPr>
            <w:r>
              <w:rPr>
                <w:rFonts w:ascii="Courier New" w:cs="Courier New" w:eastAsia="Courier New" w:hAnsi="Courier New"/>
                <w:sz w:val="18"/>
                <w:szCs w:val="18"/>
                <w:color w:val="auto"/>
              </w:rPr>
              <w:t>STATION</w:t>
            </w:r>
          </w:p>
        </w:tc>
        <w:tc>
          <w:tcPr>
            <w:tcW w:w="2000" w:type="dxa"/>
            <w:vAlign w:val="bottom"/>
          </w:tcPr>
          <w:p>
            <w:pPr>
              <w:ind w:left="420"/>
              <w:spacing w:after="0"/>
              <w:rPr>
                <w:sz w:val="20"/>
                <w:szCs w:val="20"/>
                <w:color w:val="auto"/>
              </w:rPr>
            </w:pPr>
            <w:r>
              <w:rPr>
                <w:rFonts w:ascii="Courier New" w:cs="Courier New" w:eastAsia="Courier New" w:hAnsi="Courier New"/>
                <w:sz w:val="18"/>
                <w:szCs w:val="18"/>
                <w:color w:val="auto"/>
              </w:rPr>
              <w:t>LOCATION</w:t>
            </w:r>
          </w:p>
        </w:tc>
        <w:tc>
          <w:tcPr>
            <w:tcW w:w="1200" w:type="dxa"/>
            <w:vAlign w:val="bottom"/>
          </w:tcPr>
          <w:p>
            <w:pPr>
              <w:ind w:left="300"/>
              <w:spacing w:after="0"/>
              <w:rPr>
                <w:sz w:val="20"/>
                <w:szCs w:val="20"/>
                <w:color w:val="auto"/>
              </w:rPr>
            </w:pPr>
            <w:r>
              <w:rPr>
                <w:rFonts w:ascii="Courier New" w:cs="Courier New" w:eastAsia="Courier New" w:hAnsi="Courier New"/>
                <w:sz w:val="18"/>
                <w:szCs w:val="18"/>
                <w:color w:val="auto"/>
              </w:rPr>
              <w:t>FORMAT</w:t>
            </w:r>
          </w:p>
        </w:tc>
        <w:tc>
          <w:tcPr>
            <w:tcW w:w="184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6"/>
              </w:rPr>
              <w:t>MARKET RANK (a)</w:t>
            </w:r>
          </w:p>
        </w:tc>
      </w:tr>
      <w:tr>
        <w:trPr>
          <w:trHeight w:val="203"/>
        </w:trPr>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WLTW-FM</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New York, NY</w:t>
            </w: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Adult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18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Contemp</w:t>
            </w: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KYSR-FM</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Los Angeles, CA</w:t>
            </w: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Adult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18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Contemp</w:t>
            </w: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KXEZ-FM (b)</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Los Angeles, CA</w:t>
            </w: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Adult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18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Contemp</w:t>
            </w: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WLIT-FM</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Chicago, IL</w:t>
            </w: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Adult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8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Contemp</w:t>
            </w: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KSRY-FM</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San Francisco,</w:t>
            </w: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Adult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1800" w:type="dxa"/>
            <w:vAlign w:val="bottom"/>
          </w:tcPr>
          <w:p>
            <w:pPr>
              <w:spacing w:after="0"/>
              <w:rPr>
                <w:sz w:val="17"/>
                <w:szCs w:val="17"/>
                <w:color w:val="auto"/>
              </w:rPr>
            </w:pP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CA</w:t>
            </w: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Contemp</w:t>
            </w:r>
          </w:p>
        </w:tc>
        <w:tc>
          <w:tcPr>
            <w:tcW w:w="9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(Tie)</w:t>
            </w:r>
          </w:p>
        </w:tc>
      </w:tr>
      <w:tr>
        <w:trPr>
          <w:trHeight w:val="810"/>
        </w:trPr>
        <w:tc>
          <w:tcPr>
            <w:tcW w:w="1800" w:type="dxa"/>
            <w:vAlign w:val="bottom"/>
          </w:tcPr>
          <w:p>
            <w:pPr>
              <w:spacing w:after="0"/>
              <w:rPr>
                <w:sz w:val="24"/>
                <w:szCs w:val="24"/>
                <w:color w:val="auto"/>
              </w:rPr>
            </w:pPr>
          </w:p>
        </w:tc>
        <w:tc>
          <w:tcPr>
            <w:tcW w:w="2000" w:type="dxa"/>
            <w:vAlign w:val="bottom"/>
          </w:tcPr>
          <w:p>
            <w:pPr>
              <w:ind w:left="1460"/>
              <w:spacing w:after="0"/>
              <w:rPr>
                <w:sz w:val="20"/>
                <w:szCs w:val="20"/>
                <w:color w:val="auto"/>
              </w:rPr>
            </w:pPr>
            <w:r>
              <w:rPr>
                <w:rFonts w:ascii="Courier New" w:cs="Courier New" w:eastAsia="Courier New" w:hAnsi="Courier New"/>
                <w:sz w:val="18"/>
                <w:szCs w:val="18"/>
                <w:color w:val="auto"/>
                <w:w w:val="96"/>
              </w:rPr>
              <w:t>II-10</w:t>
            </w: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9799"/>
          </w:cols>
          <w:pgMar w:left="660" w:top="919" w:right="1440" w:bottom="1440" w:gutter="0" w:footer="0" w:header="0"/>
        </w:sectPr>
      </w:pPr>
    </w:p>
    <w:bookmarkStart w:id="60" w:name="page61"/>
    <w:bookmarkEnd w:id="60"/>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60" w:type="dxa"/>
            <w:vAlign w:val="bottom"/>
          </w:tcPr>
          <w:p>
            <w:pPr>
              <w:spacing w:after="0"/>
              <w:rPr>
                <w:sz w:val="20"/>
                <w:szCs w:val="20"/>
                <w:color w:val="auto"/>
              </w:rPr>
            </w:pPr>
            <w:r>
              <w:rPr>
                <w:rFonts w:ascii="Courier New" w:cs="Courier New" w:eastAsia="Courier New" w:hAnsi="Courier New"/>
                <w:sz w:val="18"/>
                <w:szCs w:val="18"/>
                <w:color w:val="auto"/>
              </w:rPr>
              <w:t>KSRI-FM</w:t>
            </w:r>
          </w:p>
        </w:tc>
        <w:tc>
          <w:tcPr>
            <w:tcW w:w="2000" w:type="dxa"/>
            <w:vAlign w:val="bottom"/>
          </w:tcPr>
          <w:p>
            <w:pPr>
              <w:ind w:left="320"/>
              <w:spacing w:after="0"/>
              <w:rPr>
                <w:sz w:val="20"/>
                <w:szCs w:val="20"/>
                <w:color w:val="auto"/>
              </w:rPr>
            </w:pPr>
            <w:r>
              <w:rPr>
                <w:rFonts w:ascii="Courier New" w:cs="Courier New" w:eastAsia="Courier New" w:hAnsi="Courier New"/>
                <w:sz w:val="18"/>
                <w:szCs w:val="18"/>
                <w:color w:val="auto"/>
              </w:rPr>
              <w:t>Santa Cruz/San</w:t>
            </w:r>
          </w:p>
        </w:tc>
        <w:tc>
          <w:tcPr>
            <w:tcW w:w="1580" w:type="dxa"/>
            <w:vAlign w:val="bottom"/>
          </w:tcPr>
          <w:p>
            <w:pPr>
              <w:ind w:left="120"/>
              <w:spacing w:after="0"/>
              <w:rPr>
                <w:sz w:val="20"/>
                <w:szCs w:val="20"/>
                <w:color w:val="auto"/>
              </w:rPr>
            </w:pPr>
            <w:r>
              <w:rPr>
                <w:rFonts w:ascii="Courier New" w:cs="Courier New" w:eastAsia="Courier New" w:hAnsi="Courier New"/>
                <w:sz w:val="18"/>
                <w:szCs w:val="18"/>
                <w:color w:val="auto"/>
              </w:rPr>
              <w:t>Adult</w:t>
            </w:r>
          </w:p>
        </w:tc>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4</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24</w:t>
            </w:r>
          </w:p>
        </w:tc>
      </w:tr>
      <w:tr>
        <w:trPr>
          <w:trHeight w:val="203"/>
        </w:trPr>
        <w:tc>
          <w:tcPr>
            <w:tcW w:w="1460" w:type="dxa"/>
            <w:vAlign w:val="bottom"/>
          </w:tcPr>
          <w:p>
            <w:pPr>
              <w:spacing w:after="0"/>
              <w:rPr>
                <w:sz w:val="17"/>
                <w:szCs w:val="17"/>
                <w:color w:val="auto"/>
              </w:rPr>
            </w:pP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Jose, CA</w:t>
            </w:r>
          </w:p>
        </w:tc>
        <w:tc>
          <w:tcPr>
            <w:tcW w:w="1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Contemp</w:t>
            </w:r>
          </w:p>
        </w:tc>
        <w:tc>
          <w:tcPr>
            <w:tcW w:w="6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(Tie)</w:t>
            </w:r>
          </w:p>
        </w:tc>
      </w:tr>
      <w:tr>
        <w:trPr>
          <w:trHeight w:val="203"/>
        </w:trPr>
        <w:tc>
          <w:tcPr>
            <w:tcW w:w="1460" w:type="dxa"/>
            <w:vAlign w:val="bottom"/>
          </w:tcPr>
          <w:p>
            <w:pPr>
              <w:spacing w:after="0" w:line="203" w:lineRule="exact"/>
              <w:rPr>
                <w:sz w:val="20"/>
                <w:szCs w:val="20"/>
                <w:color w:val="auto"/>
              </w:rPr>
            </w:pPr>
            <w:r>
              <w:rPr>
                <w:rFonts w:ascii="Courier New" w:cs="Courier New" w:eastAsia="Courier New" w:hAnsi="Courier New"/>
                <w:sz w:val="18"/>
                <w:szCs w:val="18"/>
                <w:color w:val="auto"/>
              </w:rPr>
              <w:t>WLTI-FM</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Detroit, MI</w:t>
            </w:r>
          </w:p>
        </w:tc>
        <w:tc>
          <w:tcPr>
            <w:tcW w:w="1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Adult</w:t>
            </w:r>
          </w:p>
        </w:tc>
        <w:tc>
          <w:tcPr>
            <w:tcW w:w="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4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Contemp</w:t>
            </w: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460" w:type="dxa"/>
            <w:vAlign w:val="bottom"/>
          </w:tcPr>
          <w:p>
            <w:pPr>
              <w:spacing w:after="0" w:line="203" w:lineRule="exact"/>
              <w:rPr>
                <w:sz w:val="20"/>
                <w:szCs w:val="20"/>
                <w:color w:val="auto"/>
              </w:rPr>
            </w:pPr>
            <w:r>
              <w:rPr>
                <w:rFonts w:ascii="Courier New" w:cs="Courier New" w:eastAsia="Courier New" w:hAnsi="Courier New"/>
                <w:sz w:val="18"/>
                <w:szCs w:val="18"/>
                <w:color w:val="auto"/>
              </w:rPr>
              <w:t>WMZQ-AM/FM</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Washington, DC</w:t>
            </w:r>
          </w:p>
        </w:tc>
        <w:tc>
          <w:tcPr>
            <w:tcW w:w="1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Country</w:t>
            </w:r>
          </w:p>
        </w:tc>
        <w:tc>
          <w:tcPr>
            <w:tcW w:w="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14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(Tie)</w:t>
            </w:r>
          </w:p>
        </w:tc>
      </w:tr>
      <w:tr>
        <w:trPr>
          <w:trHeight w:val="203"/>
        </w:trPr>
        <w:tc>
          <w:tcPr>
            <w:tcW w:w="1460" w:type="dxa"/>
            <w:vAlign w:val="bottom"/>
          </w:tcPr>
          <w:p>
            <w:pPr>
              <w:spacing w:after="0" w:line="203" w:lineRule="exact"/>
              <w:rPr>
                <w:sz w:val="20"/>
                <w:szCs w:val="20"/>
                <w:color w:val="auto"/>
              </w:rPr>
            </w:pPr>
            <w:r>
              <w:rPr>
                <w:rFonts w:ascii="Courier New" w:cs="Courier New" w:eastAsia="Courier New" w:hAnsi="Courier New"/>
                <w:sz w:val="18"/>
                <w:szCs w:val="18"/>
                <w:color w:val="auto"/>
              </w:rPr>
              <w:t>WCXR-FM (c)</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Washington, DC</w:t>
            </w:r>
          </w:p>
        </w:tc>
        <w:tc>
          <w:tcPr>
            <w:tcW w:w="1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Classic Rock</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4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(Tie)</w:t>
            </w:r>
          </w:p>
        </w:tc>
      </w:tr>
      <w:tr>
        <w:trPr>
          <w:trHeight w:val="203"/>
        </w:trPr>
        <w:tc>
          <w:tcPr>
            <w:tcW w:w="1460" w:type="dxa"/>
            <w:vAlign w:val="bottom"/>
          </w:tcPr>
          <w:p>
            <w:pPr>
              <w:spacing w:after="0" w:line="203" w:lineRule="exact"/>
              <w:rPr>
                <w:sz w:val="20"/>
                <w:szCs w:val="20"/>
                <w:color w:val="auto"/>
              </w:rPr>
            </w:pPr>
            <w:r>
              <w:rPr>
                <w:rFonts w:ascii="Courier New" w:cs="Courier New" w:eastAsia="Courier New" w:hAnsi="Courier New"/>
                <w:sz w:val="18"/>
                <w:szCs w:val="18"/>
                <w:color w:val="auto"/>
              </w:rPr>
              <w:t>WCPT-AM (c)</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Washington, DC</w:t>
            </w:r>
          </w:p>
        </w:tc>
        <w:tc>
          <w:tcPr>
            <w:tcW w:w="1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Headline</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NA(d)</w:t>
            </w:r>
          </w:p>
        </w:tc>
      </w:tr>
      <w:tr>
        <w:trPr>
          <w:trHeight w:val="203"/>
        </w:trPr>
        <w:tc>
          <w:tcPr>
            <w:tcW w:w="14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News</w:t>
            </w: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460" w:type="dxa"/>
            <w:vAlign w:val="bottom"/>
          </w:tcPr>
          <w:p>
            <w:pPr>
              <w:spacing w:after="0" w:line="203" w:lineRule="exact"/>
              <w:rPr>
                <w:sz w:val="20"/>
                <w:szCs w:val="20"/>
                <w:color w:val="auto"/>
              </w:rPr>
            </w:pPr>
            <w:r>
              <w:rPr>
                <w:rFonts w:ascii="Courier New" w:cs="Courier New" w:eastAsia="Courier New" w:hAnsi="Courier New"/>
                <w:sz w:val="18"/>
                <w:szCs w:val="18"/>
                <w:color w:val="auto"/>
              </w:rPr>
              <w:t>KBSG-AM/FM</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Seattle/Tacoma,</w:t>
            </w:r>
          </w:p>
        </w:tc>
        <w:tc>
          <w:tcPr>
            <w:tcW w:w="1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Oldies</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13</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1460" w:type="dxa"/>
            <w:vAlign w:val="bottom"/>
          </w:tcPr>
          <w:p>
            <w:pPr>
              <w:spacing w:after="0"/>
              <w:rPr>
                <w:sz w:val="17"/>
                <w:szCs w:val="17"/>
                <w:color w:val="auto"/>
              </w:rPr>
            </w:pP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WA</w:t>
            </w: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460" w:type="dxa"/>
            <w:vAlign w:val="bottom"/>
          </w:tcPr>
          <w:p>
            <w:pPr>
              <w:spacing w:after="0" w:line="203" w:lineRule="exact"/>
              <w:rPr>
                <w:sz w:val="20"/>
                <w:szCs w:val="20"/>
                <w:color w:val="auto"/>
              </w:rPr>
            </w:pPr>
            <w:r>
              <w:rPr>
                <w:rFonts w:ascii="Courier New" w:cs="Courier New" w:eastAsia="Courier New" w:hAnsi="Courier New"/>
                <w:sz w:val="18"/>
                <w:szCs w:val="18"/>
                <w:color w:val="auto"/>
              </w:rPr>
              <w:t>KNDD-FM (e)</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Seattle, WA</w:t>
            </w:r>
          </w:p>
        </w:tc>
        <w:tc>
          <w:tcPr>
            <w:tcW w:w="1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Modern Rock</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13</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4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(AOR)</w:t>
            </w: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r>
    </w:tbl>
    <w:p>
      <w:pPr>
        <w:spacing w:after="0" w:line="201" w:lineRule="exact"/>
        <w:rPr>
          <w:sz w:val="20"/>
          <w:szCs w:val="20"/>
          <w:color w:val="auto"/>
        </w:rPr>
      </w:pPr>
    </w:p>
    <w:p>
      <w:pPr>
        <w:ind w:left="420" w:hanging="419"/>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Arbitron, Fall 1993, based on target demographics.</w:t>
      </w:r>
    </w:p>
    <w:p>
      <w:pPr>
        <w:ind w:left="420" w:hanging="419"/>
        <w:spacing w:after="0" w:line="238"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Acquired in June 1993.</w:t>
      </w:r>
    </w:p>
    <w:p>
      <w:pPr>
        <w:ind w:left="420" w:hanging="419"/>
        <w:spacing w:after="0" w:line="238"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Acquired in November 1993.</w:t>
      </w:r>
    </w:p>
    <w:p>
      <w:pPr>
        <w:ind w:left="420" w:hanging="419"/>
        <w:spacing w:after="0" w:line="238"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Rank not applicable.</w:t>
      </w:r>
    </w:p>
    <w:p>
      <w:pPr>
        <w:ind w:left="420" w:hanging="419"/>
        <w:spacing w:after="0" w:line="238"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Acquired in December 1992.</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See "Acquisition and Ventures" for disclosure of acquisitions and exchanges of radio stations that occurred in 1993 and 1992.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Income and Expense Information</w:t>
      </w:r>
    </w:p>
    <w:p>
      <w:pPr>
        <w:spacing w:after="0" w:line="207" w:lineRule="exact"/>
        <w:rPr>
          <w:sz w:val="20"/>
          <w:szCs w:val="20"/>
          <w:color w:val="auto"/>
        </w:rPr>
      </w:pPr>
    </w:p>
    <w:p>
      <w:pPr>
        <w:ind w:right="2419"/>
        <w:spacing w:after="0" w:line="269" w:lineRule="auto"/>
        <w:rPr>
          <w:sz w:val="20"/>
          <w:szCs w:val="20"/>
          <w:color w:val="auto"/>
        </w:rPr>
      </w:pPr>
      <w:r>
        <w:rPr>
          <w:rFonts w:ascii="Courier New" w:cs="Courier New" w:eastAsia="Courier New" w:hAnsi="Courier New"/>
          <w:sz w:val="16"/>
          <w:szCs w:val="16"/>
          <w:color w:val="auto"/>
        </w:rPr>
        <w:t>Corporate expenses increased 1% to $72.0 million in 1993 from $71.3 million in 1992, reflecting increased overall expenses offset by decreased compensation expense associated with the Long-Term Incentive Plans (the "Plans"), which consist of the Long-Term Incentive Plan ("LTIP") and the Long-Term Management Incentive Plan ("LTMIP"). The Plans provide for grants of phantom shares and stock options. The value of phantom shares issued under the Plans is determined by reference to the fair market value of Viacom Class A Common Stock and Viacom Class B Common Stock (collectively, "Common Stock"). The Plans also provide for subsequent cash payments with respect to such phantom shares based on appreciated value, subject to certain limits, and vesting requirements. As a result of the fluctuation in the market value of its Common Stock, Viacom Inc. recorded compensation expense associated with the Plans of $3.9 million in 1993 and $8.2 million in 1992. During December 1992, a significant portion of the liability associated with the LTIP was satisfied by the cash payment of $68.6 million and the issuance of 177,897 shares of Viacom Class B Common Stock valued at $6.9 million. The Plans' phantom shares currently have a maximum potential liability of $19.5 million, all of which was accrued as of December 31, 1993.</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II-11</w:t>
      </w:r>
    </w:p>
    <w:p>
      <w:pPr>
        <w:sectPr>
          <w:pgSz w:w="11900" w:h="16838" w:orient="portrait"/>
          <w:cols w:equalWidth="0" w:num="1">
            <w:col w:w="9159"/>
          </w:cols>
          <w:pgMar w:left="1300" w:top="919" w:right="1440" w:bottom="1440" w:gutter="0" w:footer="0" w:header="0"/>
        </w:sectPr>
      </w:pPr>
    </w:p>
    <w:bookmarkStart w:id="61" w:name="page62"/>
    <w:bookmarkEnd w:id="61"/>
    <w:p>
      <w:pPr>
        <w:ind w:right="2319"/>
        <w:spacing w:after="0" w:line="270" w:lineRule="auto"/>
        <w:rPr>
          <w:sz w:val="20"/>
          <w:szCs w:val="20"/>
          <w:color w:val="auto"/>
        </w:rPr>
      </w:pPr>
      <w:r>
        <w:rPr>
          <w:rFonts w:ascii="Courier New" w:cs="Courier New" w:eastAsia="Courier New" w:hAnsi="Courier New"/>
          <w:sz w:val="16"/>
          <w:szCs w:val="16"/>
          <w:color w:val="auto"/>
        </w:rPr>
        <w:t>Net interest expense decreased 25% to $145.0 million in 1993 from $194.1 million in 1992, reflecting improvements made to the capital structure (as described below) and reduced interest rates, including rates associated with the Credit Agreement (as defined in "Capital Structure"). The Company and Viacom Inc. had approximately $2.4 billion principal amount of debt outstanding as of December 31, 1993 and December 31, 1992 at weighted average interest rates of 5.3% and 6.5%, respectively. On July 15, 1993, the Company redeemed all $298 million principal amount outstanding of 11.80% Senior Subordinated Notes. During 1992, the following changes to the capital structure were made: a) on March 4, 1992, the Company issued $150 million principal amount of 9.125% Senior Subordinated Notes ("9.125% Notes") due 1999;</w:t>
      </w:r>
    </w:p>
    <w:p>
      <w:pPr>
        <w:spacing w:after="0" w:line="187" w:lineRule="exact"/>
        <w:rPr>
          <w:sz w:val="20"/>
          <w:szCs w:val="20"/>
          <w:color w:val="auto"/>
        </w:rPr>
      </w:pPr>
    </w:p>
    <w:p>
      <w:pPr>
        <w:ind w:right="2319" w:firstLine="1"/>
        <w:spacing w:after="0" w:line="270" w:lineRule="auto"/>
        <w:tabs>
          <w:tab w:leader="none" w:pos="316"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March 10, 1992, the Company redeemed all $193 million of the outstanding 11.5% Senior Subordinated Extendible Reset Notes ("11.5% Reset Notes") due 1998; c) on May 28, 1992, the Company issued $100 million principal amount of 8.75% Senior Subordinated Reset Notes ("8.75% Reset Notes") due 2001; and d) on June 18, 1992, the Company redeemed all $356.5 million of the outstanding 14.75% Senior Subordinated Discount Debentures ("Discount Debentures") due 2002 (see "Capital Structure"). (See "Liquidity and Capital Resources" for additional information concerning changes in Viacom Inc.'s and the Company's capital structure.)</w:t>
      </w:r>
    </w:p>
    <w:p>
      <w:pPr>
        <w:spacing w:after="0" w:line="189"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For 1993, "Other items, net" reflects the pre-tax gain of approximately $55 million on the sale of the stock of the Wisconsin cable system (see "Cable Television"), a pre-tax gain of $17.4 million in the aggregate from sales of a portion of an investment held at cost, and an increase of $9.1 million to previously established non-operating litigation reserves and other items.</w:t>
      </w:r>
    </w:p>
    <w:p>
      <w:pPr>
        <w:spacing w:after="0" w:line="211"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settlement of the Time Warner antitrust lawsuit resulted in various business arrangements, which have a positive effect on Viacom Inc. currently and are expected to continue to have a favorable effect on a prospective basis. "Other items, net" reflects a gain of $35 million recorded in the third quarter of 1992; this gain represents payments received in the third quarter of 1992 relating to certain aspects of the settlement of the lawsuit, net of Viacom Inc.'s 1992 legal expenses related to this lawsuit.</w:t>
      </w:r>
    </w:p>
    <w:p>
      <w:pPr>
        <w:spacing w:after="0" w:line="214" w:lineRule="exact"/>
        <w:rPr>
          <w:sz w:val="20"/>
          <w:szCs w:val="20"/>
          <w:color w:val="auto"/>
        </w:rPr>
      </w:pPr>
    </w:p>
    <w:p>
      <w:pPr>
        <w:ind w:right="2419"/>
        <w:spacing w:after="0" w:line="272" w:lineRule="auto"/>
        <w:rPr>
          <w:sz w:val="20"/>
          <w:szCs w:val="20"/>
          <w:color w:val="auto"/>
        </w:rPr>
      </w:pPr>
      <w:r>
        <w:rPr>
          <w:rFonts w:ascii="Courier New" w:cs="Courier New" w:eastAsia="Courier New" w:hAnsi="Courier New"/>
          <w:sz w:val="16"/>
          <w:szCs w:val="16"/>
          <w:color w:val="auto"/>
        </w:rPr>
        <w:t>"Other items, net" also reflects a reserve for litigation of $33 million during the second quarter of 1992 related to a summary judgment against Viacom Inc. in a dispute with CBS Inc. arising under the 1970 agreement associated with the spin-off of Viacom International Inc. by CBS Inc. On July 30, 1993, the Company settled all disputes arising under that litigation.</w:t>
      </w:r>
    </w:p>
    <w:p>
      <w:pPr>
        <w:spacing w:after="0" w:line="186" w:lineRule="exact"/>
        <w:rPr>
          <w:sz w:val="20"/>
          <w:szCs w:val="20"/>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"Equity in loss of affiliated companies, net of tax," consists primarily of the Company's share of Lifetime's net earnings, Comedy Central's net losses and Nickelodeon (UK)'s net losses in</w:t>
      </w:r>
    </w:p>
    <w:p>
      <w:pPr>
        <w:spacing w:after="0" w:line="375"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II-12</w:t>
      </w:r>
    </w:p>
    <w:p>
      <w:pPr>
        <w:sectPr>
          <w:pgSz w:w="11900" w:h="16838" w:orient="portrait"/>
          <w:cols w:equalWidth="0" w:num="1">
            <w:col w:w="9159"/>
          </w:cols>
          <w:pgMar w:left="1300" w:top="723" w:right="1440" w:bottom="1440" w:gutter="0" w:footer="0" w:header="0"/>
        </w:sectPr>
      </w:pPr>
    </w:p>
    <w:bookmarkStart w:id="62" w:name="page63"/>
    <w:bookmarkEnd w:id="62"/>
    <w:p>
      <w:pPr>
        <w:ind w:right="2419"/>
        <w:spacing w:after="0" w:line="273" w:lineRule="auto"/>
        <w:rPr>
          <w:sz w:val="20"/>
          <w:szCs w:val="20"/>
          <w:color w:val="auto"/>
        </w:rPr>
      </w:pPr>
      <w:r>
        <w:rPr>
          <w:rFonts w:ascii="Courier New" w:cs="Courier New" w:eastAsia="Courier New" w:hAnsi="Courier New"/>
          <w:sz w:val="16"/>
          <w:szCs w:val="16"/>
          <w:color w:val="auto"/>
        </w:rPr>
        <w:t>1993. "Equity in loss of affiliated companies, net of tax" decreased 46% to $2.5 million in 1993 from $4.6 million in 1992, primarily reflecting improved operating results at Lifetime and Comedy Central, partially offset by net losses on equity investments made in 1993. (See "Acquisitions and Ventures.")</w:t>
      </w:r>
    </w:p>
    <w:p>
      <w:pPr>
        <w:spacing w:after="0" w:line="185"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The provision for income taxes represents federal, state and foreign income taxes on earnings before income taxes.</w:t>
      </w:r>
    </w:p>
    <w:p>
      <w:pPr>
        <w:spacing w:after="0" w:line="20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The annual effective tax rate of 43% for 1993 and 54.5% for 1992 (which continues to be adversely affected by amortization of acquisition costs which are not deductible for tax purposes) is decreased as a result of reductions of certain prior year tax reserves of $22.0 million and $20.0 million in 1993 and 1992, respectively. The reductions relate to management's current opinion on several tax issues based upon the progress of federal, state and local audits.</w:t>
      </w:r>
    </w:p>
    <w:p>
      <w:pPr>
        <w:spacing w:after="0" w:line="212" w:lineRule="exact"/>
        <w:rPr>
          <w:sz w:val="20"/>
          <w:szCs w:val="20"/>
          <w:color w:val="auto"/>
        </w:rPr>
      </w:pPr>
    </w:p>
    <w:p>
      <w:pPr>
        <w:ind w:right="2319"/>
        <w:spacing w:after="0" w:line="275" w:lineRule="auto"/>
        <w:rPr>
          <w:sz w:val="20"/>
          <w:szCs w:val="20"/>
          <w:color w:val="auto"/>
        </w:rPr>
      </w:pPr>
      <w:r>
        <w:rPr>
          <w:rFonts w:ascii="Courier New" w:cs="Courier New" w:eastAsia="Courier New" w:hAnsi="Courier New"/>
          <w:sz w:val="16"/>
          <w:szCs w:val="16"/>
          <w:color w:val="auto"/>
        </w:rPr>
        <w:t>During the first quarter of 1993, the Company adopted Statement of Financial Accounting Standards No. 109, "Accounting for Income Taxes" on a prospective basis and recognized a cumulative benefit from a change in accounting principle of $10.3 million.</w:t>
      </w:r>
    </w:p>
    <w:p>
      <w:pPr>
        <w:spacing w:after="0" w:line="182"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In August 1993, the Omnibus Budget Reconciliation Act of 1993 (the "Reconciliation Act") was signed into law. It is not expected that the Reconciliation Act will have a significant effect on the Company's financial position or results of operations.</w:t>
      </w:r>
    </w:p>
    <w:p>
      <w:pPr>
        <w:spacing w:after="0" w:line="209"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In 1993, the Company recognized an after-tax extraordinary loss from the early extinguishment of the 11.80% Notes of $8.9 million (net of a tax benefit of $6.1 million).</w:t>
      </w:r>
    </w:p>
    <w:p>
      <w:pPr>
        <w:spacing w:after="0" w:line="209"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In 1993, Viacom Inc. declared dividends on its Preferred Stock (as defined in "Capital Structure") of $12.8 million.</w:t>
      </w:r>
    </w:p>
    <w:p>
      <w:pPr>
        <w:spacing w:after="0" w:line="208" w:lineRule="exact"/>
        <w:rPr>
          <w:sz w:val="20"/>
          <w:szCs w:val="20"/>
          <w:color w:val="auto"/>
        </w:rPr>
      </w:pPr>
    </w:p>
    <w:p>
      <w:pPr>
        <w:ind w:right="2319"/>
        <w:spacing w:after="0" w:line="271" w:lineRule="auto"/>
        <w:rPr>
          <w:sz w:val="20"/>
          <w:szCs w:val="20"/>
          <w:color w:val="auto"/>
        </w:rPr>
      </w:pPr>
      <w:r>
        <w:rPr>
          <w:rFonts w:ascii="Courier New" w:cs="Courier New" w:eastAsia="Courier New" w:hAnsi="Courier New"/>
          <w:sz w:val="16"/>
          <w:szCs w:val="16"/>
          <w:color w:val="auto"/>
        </w:rPr>
        <w:t>In 1992, the FASB issued Statement of Financial Accounting Standards No. 112, "Employers' Accounting For Postemployment Benefits" ("SFAS 112"), which the Company will adopt in 1994. SFAS 112 requires that postemployment benefits be accounted for under the accrual method versus the currently used pay-as-you-go method. SFAS 112 is not expected to have a significant effect on the Company's financial position or results of operations.</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1992 vs. 1991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519"/>
        <w:spacing w:after="0" w:line="273" w:lineRule="auto"/>
        <w:rPr>
          <w:sz w:val="20"/>
          <w:szCs w:val="20"/>
          <w:color w:val="auto"/>
        </w:rPr>
      </w:pPr>
      <w:r>
        <w:rPr>
          <w:rFonts w:ascii="Courier New" w:cs="Courier New" w:eastAsia="Courier New" w:hAnsi="Courier New"/>
          <w:sz w:val="16"/>
          <w:szCs w:val="16"/>
          <w:color w:val="auto"/>
        </w:rPr>
        <w:t>Revenues increased 9% to $1.9 billion in 1992 from $1.7 billion in 1991. Operating expenses increased 8% to $854.0 million in 1992 from $790.8 million in 1991. Earnings from operations increased 11% to $347.9 million in 1992 from $312.2 million in 1991. Explanations of variances in revenues and earnings from</w:t>
      </w:r>
    </w:p>
    <w:p>
      <w:pPr>
        <w:spacing w:after="0" w:line="382"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II-13</w:t>
      </w:r>
    </w:p>
    <w:p>
      <w:pPr>
        <w:sectPr>
          <w:pgSz w:w="11900" w:h="16838" w:orient="portrait"/>
          <w:cols w:equalWidth="0" w:num="1">
            <w:col w:w="9159"/>
          </w:cols>
          <w:pgMar w:left="1300" w:top="723"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8"/>
          <w:szCs w:val="18"/>
          <w:color w:val="auto"/>
        </w:rPr>
        <w:t>operations for each operating segment follow.</w:t>
      </w:r>
    </w:p>
    <w:p>
      <w:pPr>
        <w:spacing w:after="0" w:line="207" w:lineRule="exact"/>
        <w:rPr>
          <w:sz w:val="20"/>
          <w:szCs w:val="20"/>
          <w:color w:val="auto"/>
        </w:rPr>
      </w:pPr>
    </w:p>
    <w:p>
      <w:pPr>
        <w:ind w:right="2419"/>
        <w:spacing w:after="0" w:line="272" w:lineRule="auto"/>
        <w:rPr>
          <w:sz w:val="20"/>
          <w:szCs w:val="20"/>
          <w:color w:val="auto"/>
        </w:rPr>
      </w:pPr>
      <w:r>
        <w:rPr>
          <w:rFonts w:ascii="Courier New" w:cs="Courier New" w:eastAsia="Courier New" w:hAnsi="Courier New"/>
          <w:sz w:val="16"/>
          <w:szCs w:val="16"/>
          <w:color w:val="auto"/>
        </w:rPr>
        <w:t>Net earnings of $49.0 million, or $.41 per share, for the year ended December 31, 1992, reflect net interest expense of $194.1 million and a provision for income taxes of $84.8 million. The net loss of $49.7 million, or $.44 per share, for the year ended December 31, 1991, reflects net interest expense of $297.5 million and a provision for income taxes of $42.1 million.</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Networks (Basic cable and premium television networks)</w:t>
      </w:r>
    </w:p>
    <w:p>
      <w:pPr>
        <w:spacing w:after="0" w:line="207"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Networks revenues increased 15% to $1.058 billion in 1992 from $922.2 million in 1991. Earnings from operations increased 19% to $205.6 million in 1992 from $172.3 million in 1991.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MTVN revenues increased 30% to $533.4 million in 1992 from</w:t>
      </w:r>
    </w:p>
    <w:p>
      <w:pPr>
        <w:spacing w:after="0" w:line="4" w:lineRule="exact"/>
        <w:rPr>
          <w:sz w:val="20"/>
          <w:szCs w:val="20"/>
          <w:color w:val="auto"/>
        </w:rPr>
      </w:pPr>
    </w:p>
    <w:p>
      <w:pPr>
        <w:ind w:right="2419"/>
        <w:spacing w:after="0" w:line="270" w:lineRule="auto"/>
        <w:rPr>
          <w:sz w:val="20"/>
          <w:szCs w:val="20"/>
          <w:color w:val="auto"/>
        </w:rPr>
      </w:pPr>
      <w:r>
        <w:rPr>
          <w:rFonts w:ascii="Courier New" w:cs="Courier New" w:eastAsia="Courier New" w:hAnsi="Courier New"/>
          <w:sz w:val="16"/>
          <w:szCs w:val="16"/>
          <w:color w:val="auto"/>
        </w:rPr>
        <w:t>$411.4 million in 1991: 77% of the increase was attributable to increased advertising sales; 19% was due to increased affiliate fees; and 4% was due to other sources. The increases in advertising sales and affiliate fees were principally due to rate increases. The increase in other sources was principally due to revenues from new business ventures including licensing and merchandising. Earnings from operations of MTVN increased 23% to $172.9 million in 1992 from $141.0 million in 1991, reflecting the increased revenues, partially offset by increased programming expenses and other costs of operating the networks. The Company increased programming expenses, particularly for new animated programming on Nickelodeon. This new programming was to a large extent responsible for the Company's ability to increase advertising rates.</w:t>
      </w:r>
    </w:p>
    <w:p>
      <w:pPr>
        <w:spacing w:after="0" w:line="388" w:lineRule="exact"/>
        <w:rPr>
          <w:sz w:val="20"/>
          <w:szCs w:val="20"/>
          <w:color w:val="auto"/>
        </w:rPr>
      </w:pPr>
    </w:p>
    <w:p>
      <w:pPr>
        <w:ind w:right="2519"/>
        <w:spacing w:after="0" w:line="269" w:lineRule="auto"/>
        <w:rPr>
          <w:sz w:val="20"/>
          <w:szCs w:val="20"/>
          <w:color w:val="auto"/>
        </w:rPr>
      </w:pPr>
      <w:r>
        <w:rPr>
          <w:rFonts w:ascii="Courier New" w:cs="Courier New" w:eastAsia="Courier New" w:hAnsi="Courier New"/>
          <w:sz w:val="16"/>
          <w:szCs w:val="16"/>
          <w:color w:val="auto"/>
        </w:rPr>
        <w:t>On August 30, 1991, Viacom Inc. increased its interest in MTV EUROPE to 100% through the purchase of the 50.01% interest held by an affiliate of Mirror Group Newspapers. Subsequent to August 30, 1991, the results of operations of MTV EUROPE have been included in MTVN's results of operations. Prior to such date, the investment in MTV EUROPE was accounted for under the equity method; therefore, operating results were included in "Equity in loss of affiliated companies, net of tax." The financial results of MTV EUROPE were not material to the financial results of the Company or the Networks segment; however, as the pan-European marketplace develops for both advertising revenues and affiliate fees, the financial results of MTV EUROPE may become material. In the aggregate, MTV (excluding MTV EUROPE), VH-1 and Nickelodeon/Nick at Nite revenues increased 21%, subscribers increased 3% and earnings from operations increased 18% during 1992 versus 1991.</w:t>
      </w:r>
    </w:p>
    <w:p>
      <w:pPr>
        <w:spacing w:after="0" w:line="397"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SNI revenues increased 3% to $515.3 million in 1992 from $501.3 million in 1991: 30% of the revenue increase was due to rate increases for SSN; 23% was due to a higher average subscriber</w:t>
      </w:r>
    </w:p>
    <w:p>
      <w:pPr>
        <w:spacing w:after="0" w:line="375"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II-14</w:t>
      </w:r>
    </w:p>
    <w:p>
      <w:pPr>
        <w:sectPr>
          <w:pgSz w:w="11900" w:h="16838" w:orient="portrait"/>
          <w:cols w:equalWidth="0" w:num="1">
            <w:col w:w="9159"/>
          </w:cols>
          <w:pgMar w:left="1300" w:top="717" w:right="1440" w:bottom="1440" w:gutter="0" w:footer="0" w:header="0"/>
        </w:sectPr>
      </w:pPr>
    </w:p>
    <w:bookmarkStart w:id="64" w:name="page65"/>
    <w:bookmarkEnd w:id="64"/>
    <w:p>
      <w:pPr>
        <w:ind w:right="2319"/>
        <w:spacing w:after="0" w:line="237" w:lineRule="auto"/>
        <w:rPr>
          <w:sz w:val="20"/>
          <w:szCs w:val="20"/>
          <w:color w:val="auto"/>
        </w:rPr>
      </w:pPr>
      <w:r>
        <w:rPr>
          <w:rFonts w:ascii="Courier New" w:cs="Courier New" w:eastAsia="Courier New" w:hAnsi="Courier New"/>
          <w:sz w:val="18"/>
          <w:szCs w:val="18"/>
          <w:color w:val="auto"/>
        </w:rPr>
        <w:t>base during the year for SSN principally attributable to the use of upgraded scrambling technology in 1992; 23% was due to a higher average cable subscriber base during the year for Showtime and The Movie Channel; and 24% of this increase was due to other revenue sources. SNI's premium movie services served approximately 10.7 million subscribers as of December 31, 1992 and 10.2 million subscribers as of December 31, 1991. SNI's overall earnings from operations increased 7% to $35.2 million in 1992 from $33.0 million in 1991, reflecting the increase in revenues, partially offset by an increase in programming expenses.</w:t>
      </w:r>
    </w:p>
    <w:p>
      <w:pPr>
        <w:spacing w:after="0" w:line="200" w:lineRule="exact"/>
        <w:rPr>
          <w:sz w:val="20"/>
          <w:szCs w:val="20"/>
          <w:color w:val="auto"/>
        </w:rPr>
      </w:pPr>
    </w:p>
    <w:p>
      <w:pPr>
        <w:spacing w:after="0" w:line="219"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Entertainment (Television programming, syndication, production and new media)</w:t>
      </w:r>
    </w:p>
    <w:p>
      <w:pPr>
        <w:spacing w:after="0" w:line="208" w:lineRule="exact"/>
        <w:rPr>
          <w:sz w:val="20"/>
          <w:szCs w:val="20"/>
          <w:color w:val="auto"/>
        </w:rPr>
      </w:pPr>
    </w:p>
    <w:p>
      <w:pPr>
        <w:ind w:right="2319"/>
        <w:spacing w:after="0" w:line="269" w:lineRule="auto"/>
        <w:rPr>
          <w:sz w:val="20"/>
          <w:szCs w:val="20"/>
          <w:color w:val="auto"/>
        </w:rPr>
      </w:pPr>
      <w:r>
        <w:rPr>
          <w:rFonts w:ascii="Courier New" w:cs="Courier New" w:eastAsia="Courier New" w:hAnsi="Courier New"/>
          <w:sz w:val="16"/>
          <w:szCs w:val="16"/>
          <w:color w:val="auto"/>
        </w:rPr>
        <w:t>Entertainment revenues decreased 9% to $248.3 million in 1992 from $273.5 million in 1991. The revenue variance was principally due to lower sales to broadcast, cable and other markets, lower network license fees and lower copyright royalty revenues. Lower sales to the broadcast, cable and other markets reflect softness in the syndication marketplace due to a generally weak economy and due to a decrease in the number of independent broadcast television stations because of new network affiliations. Network license fees were lower because there were fewer shows produced for network television. Copyright royalties were lower due to changes made by cable operators in the tiering of their services, which generated lower copyright royalty liabilities and therefore less income for program producers and syndicators. During the first quarter of 1992, certain legal developments indicated that the percentage of income recognized under certain copyright royalty arrangements should be increased. This change in estimate resulted in an increase in revenues of approximately $10 million. During the first quarter of 1991, the Company began to recognize copyright royalty revenue on an accrual basis rather than a cash basis, as a sufficient pattern had been established to make these revenues estimable; this change resulted in an increase in revenues of approximately $13.0 million. Earnings from operations decreased 19% to $59.7 million in 1992 from $73.2 million in 1991, reflecting the decreased revenues and changes in estimate noted above, and expenses associated with staff changes and the implementation of new systems of approximately $4.0 million.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Cable Television (Cable television systems)</w:t>
      </w:r>
    </w:p>
    <w:p>
      <w:pPr>
        <w:spacing w:after="0" w:line="207" w:lineRule="exact"/>
        <w:rPr>
          <w:sz w:val="20"/>
          <w:szCs w:val="20"/>
          <w:color w:val="auto"/>
        </w:rPr>
      </w:pPr>
    </w:p>
    <w:p>
      <w:pPr>
        <w:ind w:right="2319"/>
        <w:spacing w:after="0" w:line="273" w:lineRule="auto"/>
        <w:rPr>
          <w:sz w:val="20"/>
          <w:szCs w:val="20"/>
          <w:color w:val="auto"/>
        </w:rPr>
      </w:pPr>
      <w:r>
        <w:rPr>
          <w:rFonts w:ascii="Courier New" w:cs="Courier New" w:eastAsia="Courier New" w:hAnsi="Courier New"/>
          <w:sz w:val="16"/>
          <w:szCs w:val="16"/>
          <w:color w:val="auto"/>
        </w:rPr>
        <w:t>Cable television revenues increased 9% to $411.1 million in 1992 from $378.0 million in 1991: 68% of this increase resulted from increases in rates for basic services; 26% from increased basic customers; 10% from increased premium customers; partially offset by a negative 4% from decreases in other revenue sources. Total</w:t>
      </w:r>
    </w:p>
    <w:p>
      <w:pPr>
        <w:spacing w:after="0" w:line="382"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II-15</w:t>
      </w:r>
    </w:p>
    <w:p>
      <w:pPr>
        <w:sectPr>
          <w:pgSz w:w="11900" w:h="16838" w:orient="portrait"/>
          <w:cols w:equalWidth="0" w:num="1">
            <w:col w:w="9159"/>
          </w:cols>
          <w:pgMar w:left="1300" w:top="925" w:right="1440" w:bottom="1440" w:gutter="0" w:footer="0" w:header="0"/>
        </w:sectPr>
      </w:pPr>
    </w:p>
    <w:bookmarkStart w:id="65" w:name="page66"/>
    <w:bookmarkEnd w:id="65"/>
    <w:p>
      <w:pPr>
        <w:ind w:right="2319"/>
        <w:spacing w:after="0" w:line="237" w:lineRule="auto"/>
        <w:rPr>
          <w:sz w:val="20"/>
          <w:szCs w:val="20"/>
          <w:color w:val="auto"/>
        </w:rPr>
      </w:pPr>
      <w:r>
        <w:rPr>
          <w:rFonts w:ascii="Courier New" w:cs="Courier New" w:eastAsia="Courier New" w:hAnsi="Courier New"/>
          <w:sz w:val="18"/>
          <w:szCs w:val="18"/>
          <w:color w:val="auto"/>
        </w:rPr>
        <w:t>revenue per basic customer per month increased 5% to $31.06 in 1992 from $29.41 in 1991. Earnings from operations increased 17% to $122.0 million in 1992 from $104.0 million in 1991, reflecting the increased revenues, partially offset by increased operating expenses.</w:t>
      </w:r>
    </w:p>
    <w:p>
      <w:pPr>
        <w:spacing w:after="0" w:line="209" w:lineRule="exact"/>
        <w:rPr>
          <w:sz w:val="20"/>
          <w:szCs w:val="20"/>
          <w:color w:val="auto"/>
        </w:rPr>
      </w:pPr>
    </w:p>
    <w:p>
      <w:pPr>
        <w:ind w:right="2319"/>
        <w:spacing w:after="0" w:line="273" w:lineRule="auto"/>
        <w:rPr>
          <w:sz w:val="20"/>
          <w:szCs w:val="20"/>
          <w:color w:val="auto"/>
        </w:rPr>
      </w:pPr>
      <w:r>
        <w:rPr>
          <w:rFonts w:ascii="Courier New" w:cs="Courier New" w:eastAsia="Courier New" w:hAnsi="Courier New"/>
          <w:sz w:val="16"/>
          <w:szCs w:val="16"/>
          <w:color w:val="auto"/>
        </w:rPr>
        <w:t>As of December 31, 1992, the Company operated systems in California, Oregon, Washington, Wisconsin, Ohio and Tennessee, serving approximately 1,116,000 basic customers subscribing to approximately 786,000 premium units. Basic customers and premium units increased 3% and 1%, respectively, since December 31, 1991.</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Broadcasting (Television and radio stations)</w:t>
      </w:r>
    </w:p>
    <w:p>
      <w:pPr>
        <w:spacing w:after="0" w:line="207" w:lineRule="exact"/>
        <w:rPr>
          <w:sz w:val="20"/>
          <w:szCs w:val="20"/>
          <w:color w:val="auto"/>
        </w:rPr>
      </w:pPr>
    </w:p>
    <w:p>
      <w:pPr>
        <w:ind w:right="2419"/>
        <w:spacing w:after="0" w:line="279" w:lineRule="auto"/>
        <w:rPr>
          <w:sz w:val="20"/>
          <w:szCs w:val="20"/>
          <w:color w:val="auto"/>
        </w:rPr>
      </w:pPr>
      <w:r>
        <w:rPr>
          <w:rFonts w:ascii="Courier New" w:cs="Courier New" w:eastAsia="Courier New" w:hAnsi="Courier New"/>
          <w:sz w:val="16"/>
          <w:szCs w:val="16"/>
          <w:color w:val="auto"/>
        </w:rPr>
        <w:t>Broadcasting revenues increased 6% to $168.8 million in 1992 from $159.2 million in 1991. Earnings from operations increased 15% to $32.0 million in 1992 from $27.7 million in 1991.</w:t>
      </w:r>
    </w:p>
    <w:p>
      <w:pPr>
        <w:spacing w:after="0" w:line="178" w:lineRule="exact"/>
        <w:rPr>
          <w:sz w:val="20"/>
          <w:szCs w:val="20"/>
          <w:color w:val="auto"/>
        </w:rPr>
      </w:pPr>
    </w:p>
    <w:p>
      <w:pPr>
        <w:ind w:right="2619"/>
        <w:spacing w:after="0" w:line="272" w:lineRule="auto"/>
        <w:rPr>
          <w:sz w:val="20"/>
          <w:szCs w:val="20"/>
          <w:color w:val="auto"/>
        </w:rPr>
      </w:pPr>
      <w:r>
        <w:rPr>
          <w:rFonts w:ascii="Courier New" w:cs="Courier New" w:eastAsia="Courier New" w:hAnsi="Courier New"/>
          <w:sz w:val="16"/>
          <w:szCs w:val="16"/>
          <w:color w:val="auto"/>
        </w:rPr>
        <w:t>Television revenues increased 9% to $87.1 million in 1992 from $80.1 million in 1991, reflecting an increase in national and local advertising revenues at each of the stations, primarily due to higher rates driven by the Olympics and the political campaign. Earnings from operations increased 38% to $16.9 million in 1992 from $12.2 million in 1991, reflecting the increased revenues, partially offset by increased programming and selling expenses.</w:t>
      </w:r>
    </w:p>
    <w:p>
      <w:pPr>
        <w:spacing w:after="0" w:line="385"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Radio revenues increased 3% to $81.8 million in 1992 from $79.0 million in 1991, reflecting an increase in local advertising revenues, partially offset by a decrease in national advertising revenues. Earnings from operations decreased 7% to $18.3 million in 1992 from $19.6 million in 1991, driven by increased operating, selling and promotion costs, partially offset by the increased revenues.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Income and Expense Information</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Corporate expenses increased 10% to $71.3 million in 1992 from $65.0 million in 1991, primarily due to severance costs, partially offset by decreased legal costs and decreased compensation expense associated with the Long-Term Incentive Plans. As a result of the fluctuation in the market value of its Common Stock, Viacom Inc. recorded compensation expense associated with the Plans of $8.2 million and $12.3 million in 1992 and 1991, respectively.</w:t>
      </w:r>
    </w:p>
    <w:p>
      <w:pPr>
        <w:spacing w:after="0" w:line="212"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Net interest expense decreased 35% to $194.1 million in 1992 from $297.5 million in 1991, reflecting improvements made to the capital structure and reduced interest rates, including rates associated with the Credit Agreement (as defined in "Capital Structure"). The</w:t>
      </w:r>
    </w:p>
    <w:p>
      <w:pPr>
        <w:spacing w:after="0" w:line="379"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II-16</w:t>
      </w:r>
    </w:p>
    <w:p>
      <w:pPr>
        <w:sectPr>
          <w:pgSz w:w="11900" w:h="16838" w:orient="portrait"/>
          <w:cols w:equalWidth="0" w:num="1">
            <w:col w:w="9159"/>
          </w:cols>
          <w:pgMar w:left="1300" w:top="925"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8"/>
          <w:szCs w:val="18"/>
          <w:color w:val="auto"/>
        </w:rPr>
        <w:t>Company and Viacom Inc. had approximately $2.4 billion and $2.3</w:t>
      </w:r>
    </w:p>
    <w:p>
      <w:pPr>
        <w:spacing w:after="0" w:line="238" w:lineRule="auto"/>
        <w:rPr>
          <w:sz w:val="20"/>
          <w:szCs w:val="20"/>
          <w:color w:val="auto"/>
        </w:rPr>
      </w:pPr>
      <w:r>
        <w:rPr>
          <w:rFonts w:ascii="Courier New" w:cs="Courier New" w:eastAsia="Courier New" w:hAnsi="Courier New"/>
          <w:sz w:val="18"/>
          <w:szCs w:val="18"/>
          <w:color w:val="auto"/>
        </w:rPr>
        <w:t>billion principal amount of debt outstanding as of December 31,</w:t>
      </w:r>
    </w:p>
    <w:p>
      <w:pPr>
        <w:spacing w:after="0"/>
        <w:rPr>
          <w:sz w:val="20"/>
          <w:szCs w:val="20"/>
          <w:color w:val="auto"/>
        </w:rPr>
      </w:pPr>
      <w:r>
        <w:rPr>
          <w:rFonts w:ascii="Courier New" w:cs="Courier New" w:eastAsia="Courier New" w:hAnsi="Courier New"/>
          <w:sz w:val="18"/>
          <w:szCs w:val="18"/>
          <w:color w:val="auto"/>
        </w:rPr>
        <w:t>1992 and December 31, 1991 at weighted average interest rates of</w:t>
      </w:r>
    </w:p>
    <w:p>
      <w:pPr>
        <w:spacing w:after="0" w:line="3"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6.5% and 9.2%, respectively. During 1991, Viacom Inc. realized net proceeds of approximately $317.7 million from the issuance of non-voting Class B Common Stock ("Viacom Class B Common Stock"); redeemed all $402 million of its outstanding Exchange Debentures; the Company repurchased $43 million principal amount of the Discount Debentures; and the Company issued $200 million principal amount of 10.25% Senior Subordinated Notes ("10.25% Notes") due 2001. (See "Liquidity and Capital Resources" for additional information concerning changes in Viacom Inc.'s and the Company's capital structure.)</w:t>
      </w:r>
    </w:p>
    <w:p>
      <w:pPr>
        <w:spacing w:after="0" w:line="215" w:lineRule="exact"/>
        <w:rPr>
          <w:sz w:val="20"/>
          <w:szCs w:val="20"/>
          <w:color w:val="auto"/>
        </w:rPr>
      </w:pPr>
    </w:p>
    <w:p>
      <w:pPr>
        <w:ind w:right="2319"/>
        <w:spacing w:after="0" w:line="270" w:lineRule="auto"/>
        <w:rPr>
          <w:sz w:val="20"/>
          <w:szCs w:val="20"/>
          <w:color w:val="auto"/>
        </w:rPr>
      </w:pPr>
      <w:r>
        <w:rPr>
          <w:rFonts w:ascii="Courier New" w:cs="Courier New" w:eastAsia="Courier New" w:hAnsi="Courier New"/>
          <w:sz w:val="16"/>
          <w:szCs w:val="16"/>
          <w:color w:val="auto"/>
        </w:rPr>
        <w:t>Viacom Inc. and the Company file a separate consolidated federal income tax return and have done so since the period commencing June 11, l991, the date on which NAI's percentage ownership of Viacom was reduced to less than 80% (see "Capital Structure"). Prior to such date, Viacom Inc. and the Company filed a consolidated federal income tax return with NAI, and participated in a tax-sharing agreement with NAI with respect to federal income taxes. The tax-sharing agreement obligated Viacom Inc. and the Company to make payment to NAI to the extent that they would have paid federal income taxes on a separate company basis, and entitled them to receive a payment from NAI to the extent their losses and credits reduced NAI's federal income taxes.</w:t>
      </w:r>
    </w:p>
    <w:p>
      <w:pPr>
        <w:spacing w:after="0" w:line="391"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"Equity in loss of affiliated companies, net of tax," decreased 64% to a loss of $4.6 million in 1992 from a loss of $12.7 million in 1991, driven by improvements at Lifetime and Comedy Central.</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In 1992, the Company recognized after-tax extraordinary losses from the early extinguishment of the Discount Debentures of $13.7 million (net of a tax benefit of $8.9 million) and the 11.50% Reset Notes of $3.4 million (net of a tax benefit of $2.4 million).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Paramount Merger, Blockbuster Merger and Related Transactions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419"/>
        <w:spacing w:after="0" w:line="271" w:lineRule="auto"/>
        <w:rPr>
          <w:sz w:val="20"/>
          <w:szCs w:val="20"/>
          <w:color w:val="auto"/>
        </w:rPr>
      </w:pPr>
      <w:r>
        <w:rPr>
          <w:rFonts w:ascii="Courier New" w:cs="Courier New" w:eastAsia="Courier New" w:hAnsi="Courier New"/>
          <w:sz w:val="16"/>
          <w:szCs w:val="16"/>
          <w:color w:val="auto"/>
        </w:rPr>
        <w:t>On March 11, 1994, Viacom Inc. acquired, pursuant to a tender offer (the "Paramount Offer"), 61,657,432 shares of Paramount common stock, constituting a majority of the shares outstanding, at a price of $107 per share in cash. The Paramount Offer was financed by (i) the sale of Preferred Stock (see "Capital Structure"), proceeds of which are reflected as cash and cash equivalents on the balance sheet as of December 31, 1993, (ii) the sale of Viacom Class B Common Stock to Blockbuster and (iii) borrowings under a credit agreement (as described below). The</w:t>
      </w:r>
    </w:p>
    <w:p>
      <w:pPr>
        <w:spacing w:after="0" w:line="381"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II-17</w:t>
      </w:r>
    </w:p>
    <w:p>
      <w:pPr>
        <w:sectPr>
          <w:pgSz w:w="11900" w:h="16838" w:orient="portrait"/>
          <w:cols w:equalWidth="0" w:num="1">
            <w:col w:w="9159"/>
          </w:cols>
          <w:pgMar w:left="1300" w:top="717" w:right="1440" w:bottom="1440" w:gutter="0" w:footer="0" w:header="0"/>
        </w:sectPr>
      </w:pPr>
    </w:p>
    <w:bookmarkStart w:id="67" w:name="page68"/>
    <w:bookmarkEnd w:id="67"/>
    <w:p>
      <w:pPr>
        <w:ind w:right="2419"/>
        <w:spacing w:after="0" w:line="268" w:lineRule="auto"/>
        <w:rPr>
          <w:sz w:val="20"/>
          <w:szCs w:val="20"/>
          <w:color w:val="auto"/>
        </w:rPr>
      </w:pPr>
      <w:r>
        <w:rPr>
          <w:rFonts w:ascii="Courier New" w:cs="Courier New" w:eastAsia="Courier New" w:hAnsi="Courier New"/>
          <w:sz w:val="16"/>
          <w:szCs w:val="16"/>
          <w:color w:val="auto"/>
        </w:rPr>
        <w:t>Paramount Offer was made pursuant to the Amended and Restated Agreement and Plan of Merger dated as of February 4, 1994 (the "Paramount Merger Agreement") between Viacom Inc. and Paramount. Paramount will become a wholly owned subsidiary of Viacom Inc. (the "Paramount Merger") at the effective time of a merger between Paramount and a subsidiary of Viacom Inc. (the "Paramount Effective Time") which is expected to occur in the second quarter of 1994. Pursuant to the Paramount Merger Agreement, each share of Paramount common stock outstanding at the time of such merger (other than shares held in the treasury of Paramount or owned by Viacom Inc. and other than shares held by any stockholders who shall have demanded and perfected appraisal rights) will be converted into the right to receive</w:t>
      </w:r>
    </w:p>
    <w:p>
      <w:pPr>
        <w:spacing w:after="0" w:line="2" w:lineRule="exact"/>
        <w:rPr>
          <w:sz w:val="20"/>
          <w:szCs w:val="20"/>
          <w:color w:val="auto"/>
        </w:rPr>
      </w:pPr>
    </w:p>
    <w:p>
      <w:pPr>
        <w:ind w:right="2419" w:firstLine="1"/>
        <w:spacing w:after="0" w:line="238" w:lineRule="auto"/>
        <w:tabs>
          <w:tab w:leader="none" w:pos="42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0.93065 of a share of Viacom Class B Common Stock, (ii) $17.50 principal amount of 8% exchangeable subordinated debentures of Viacom Inc., (iii) 0.93065 of a contingent value right ("CVR"), (iv) 0.5 of a warrant to purchase one share of Viacom Class B Common Stock at any time prior to the third anniversary of the Paramount Merger at a price of $60 per share, and (v) 0.3 of a warrant to purchase one share of Viacom Class B Common Stock at any time prior to the fifth anniversary of the Paramount Merger at a price of $70 per share. If the debentures are issued prior to the completion of the proposed merger of Viacom Inc. and Blockbuster, the debentures will be exchangeable, at the option of Viacom Inc., into 5% exchangeable preferred stock of Viacom Inc. on or after January 1, 1995 if the proposed merger with Blockbuster has not previously been consummated.</w:t>
      </w:r>
    </w:p>
    <w:p>
      <w:pPr>
        <w:spacing w:after="0" w:line="208"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Each CVR will represent the right to receive the amount, if any, by which the Target Price exceeds the greater of the Current Market Value or the Minimum Price (see defined terms in following paragraph). The CVRs will mature on the first anniversary of the Paramount Effective Time (the "Maturity Date"); provided, however, that Viacom Inc. may, at its option,</w:t>
      </w:r>
    </w:p>
    <w:p>
      <w:pPr>
        <w:spacing w:after="0" w:line="1" w:lineRule="exact"/>
        <w:rPr>
          <w:sz w:val="20"/>
          <w:szCs w:val="20"/>
          <w:color w:val="auto"/>
        </w:rPr>
      </w:pPr>
    </w:p>
    <w:p>
      <w:pPr>
        <w:ind w:right="2419" w:firstLine="1"/>
        <w:spacing w:after="0" w:line="268" w:lineRule="auto"/>
        <w:tabs>
          <w:tab w:leader="none" w:pos="42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extend the Maturity Date to the second anniversary of the Paramount Effective Time (the "First Extended Maturity Date") or</w:t>
      </w:r>
    </w:p>
    <w:p>
      <w:pPr>
        <w:ind w:right="2619" w:firstLine="1"/>
        <w:spacing w:after="0" w:line="237" w:lineRule="auto"/>
        <w:tabs>
          <w:tab w:leader="none" w:pos="52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extend the First Extended Maturity Date to the third anniversary or the Paramount Effective Time (the "Second Extended Maturity Date"). Viacom Inc., at its option, may pay any amount due under the terms of the CVRs in cash or in the equivalent value of registered securities of Viacom Inc., including without limitation, common stock, preferred stock, notes, or other securities.</w:t>
      </w:r>
    </w:p>
    <w:p>
      <w:pPr>
        <w:spacing w:after="0" w:line="211"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"Minimum Price" means (a) at the Maturity Date, $36, (b) at the First Extended Maturity Date, $37 and (c) at the Second Extended Maturity Date, $38. Target Price means (a) at the Maturity Date, $48, (b) at the First Extended Maturity Date, $51, and (c) at the Second Extended Maturity Date, $55. The "Current Market Value" means the average market price of Viacom Class B Common Stock for a specified period.</w:t>
      </w:r>
    </w:p>
    <w:p>
      <w:pPr>
        <w:spacing w:after="0" w:line="200" w:lineRule="exact"/>
        <w:rPr>
          <w:sz w:val="20"/>
          <w:szCs w:val="20"/>
          <w:color w:val="auto"/>
        </w:rPr>
      </w:pPr>
    </w:p>
    <w:p>
      <w:pPr>
        <w:spacing w:after="0" w:line="208"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II-18</w:t>
      </w:r>
    </w:p>
    <w:p>
      <w:pPr>
        <w:sectPr>
          <w:pgSz w:w="11900" w:h="16838" w:orient="portrait"/>
          <w:cols w:equalWidth="0" w:num="1">
            <w:col w:w="9159"/>
          </w:cols>
          <w:pgMar w:left="1300" w:top="925" w:right="1440" w:bottom="1440" w:gutter="0" w:footer="0" w:header="0"/>
        </w:sectPr>
      </w:pPr>
    </w:p>
    <w:bookmarkStart w:id="68" w:name="page69"/>
    <w:bookmarkEnd w:id="68"/>
    <w:p>
      <w:pPr>
        <w:ind w:right="2419"/>
        <w:spacing w:after="0" w:line="269" w:lineRule="auto"/>
        <w:rPr>
          <w:sz w:val="20"/>
          <w:szCs w:val="20"/>
          <w:color w:val="auto"/>
        </w:rPr>
      </w:pPr>
      <w:r>
        <w:rPr>
          <w:rFonts w:ascii="Courier New" w:cs="Courier New" w:eastAsia="Courier New" w:hAnsi="Courier New"/>
          <w:sz w:val="16"/>
          <w:szCs w:val="16"/>
          <w:color w:val="auto"/>
        </w:rPr>
        <w:t>On January 7, 1994, Viacom Inc. and Blockbuster entered into an agreement and plan of merger (the "Blockbuster Merger Agreement") pursuant to which Blockbuster will be merged with and into Viacom Inc. (the "Blockbuster Merger") subject to shareholder approval. At the effective time of the Blockbuster Merger, each share of Blockbuster common stock outstanding at the time of the Blockbuster Merger (other than shares held in the treasury of Blockbuster or owned by Viacom Inc. and other than shares held by any stockholders who shall have demanded and perfected appraisal rights, if available) will be converted into the right to receive (i) 0.08 of a share of Viacom Class A Common Stock, (ii) 0.60615 of a share of Viacom Class B Common Stock, and (iii) up to an additional 0.13829 of a share of Viacom Class B Common Stock, with the exact fraction of a share being dependent on the market prices of Viacom Class B Common Stock during the year following the effective time of the Blockbuster Merger, and with the right to receive such additional fraction of a share to be evidenced by one variable common right ("VCR"). The VCRs mature on the first anniversary of the Blockbuster Merger ("VCR Conversion Date").</w:t>
      </w:r>
    </w:p>
    <w:p>
      <w:pPr>
        <w:spacing w:after="0" w:line="200" w:lineRule="exact"/>
        <w:rPr>
          <w:sz w:val="20"/>
          <w:szCs w:val="20"/>
          <w:color w:val="auto"/>
        </w:rPr>
      </w:pPr>
    </w:p>
    <w:p>
      <w:pPr>
        <w:spacing w:after="0" w:line="397" w:lineRule="exact"/>
        <w:rPr>
          <w:sz w:val="20"/>
          <w:szCs w:val="20"/>
          <w:color w:val="auto"/>
        </w:rPr>
      </w:pPr>
    </w:p>
    <w:p>
      <w:pPr>
        <w:ind w:right="2419"/>
        <w:spacing w:after="0" w:line="270" w:lineRule="auto"/>
        <w:rPr>
          <w:sz w:val="20"/>
          <w:szCs w:val="20"/>
          <w:color w:val="auto"/>
        </w:rPr>
      </w:pPr>
      <w:r>
        <w:rPr>
          <w:rFonts w:ascii="Courier New" w:cs="Courier New" w:eastAsia="Courier New" w:hAnsi="Courier New"/>
          <w:sz w:val="16"/>
          <w:szCs w:val="16"/>
          <w:color w:val="auto"/>
        </w:rPr>
        <w:t>The mergers pursuant to the Paramount Merger Agreement and Blockbuster Merger Agreement (collectively, the "Mergers") have been unanimously approved by the Boards of Directors of each of the respective companies. The obligations of Viacom Inc., Blockbuster and Paramount to consummate the mergers are subject to various conditions, including obtaining requisite stockholder approvals. Viacom Inc. intends to vote its shares of Paramount in favor of the merger and NAI has agreed to vote its shares of Viacom Inc. in favor of the Mergers; therefore, stockholder approval of the Paramount Merger is assured, and approval by Viacom Inc. of the Blockbuster Merger is also assured.</w:t>
      </w:r>
    </w:p>
    <w:p>
      <w:pPr>
        <w:spacing w:after="0" w:line="392" w:lineRule="exact"/>
        <w:rPr>
          <w:sz w:val="20"/>
          <w:szCs w:val="20"/>
          <w:color w:val="auto"/>
        </w:rPr>
      </w:pPr>
    </w:p>
    <w:p>
      <w:pPr>
        <w:ind w:right="2519"/>
        <w:spacing w:after="0" w:line="238" w:lineRule="auto"/>
        <w:rPr>
          <w:sz w:val="20"/>
          <w:szCs w:val="20"/>
          <w:color w:val="auto"/>
        </w:rPr>
      </w:pPr>
      <w:r>
        <w:rPr>
          <w:rFonts w:ascii="Courier New" w:cs="Courier New" w:eastAsia="Courier New" w:hAnsi="Courier New"/>
          <w:sz w:val="18"/>
          <w:szCs w:val="18"/>
          <w:color w:val="auto"/>
        </w:rPr>
        <w:t>On March 10, 1994, Blockbuster purchased approximately 22.7 million shares of Viacom Class B Common Stock for an aggregate purchase price of $1.25 billion, or $55 per share. If (with certain exceptions) the Blockbuster Merger Agreement is terminated and in the event that Viacom Class B Common Stock trades (for a specified period) at a level below $55 per share during the one year period after such termination, Viacom Inc. may be obligated to make certain payments of up to a maximum of $275 million, at its option, in cash or securities, or to sell certain assets to Blockbuster. The Viacom Class B Common Stock purchased by Blockbuster will be canceled upon consummation of the Blockbuster Merger.</w:t>
      </w:r>
    </w:p>
    <w:p>
      <w:pPr>
        <w:spacing w:after="0" w:line="207" w:lineRule="exact"/>
        <w:rPr>
          <w:sz w:val="20"/>
          <w:szCs w:val="20"/>
          <w:color w:val="auto"/>
        </w:rPr>
      </w:pPr>
    </w:p>
    <w:p>
      <w:pPr>
        <w:ind w:right="2419"/>
        <w:spacing w:after="0" w:line="272" w:lineRule="auto"/>
        <w:rPr>
          <w:sz w:val="20"/>
          <w:szCs w:val="20"/>
          <w:color w:val="auto"/>
        </w:rPr>
      </w:pPr>
      <w:r>
        <w:rPr>
          <w:rFonts w:ascii="Courier New" w:cs="Courier New" w:eastAsia="Courier New" w:hAnsi="Courier New"/>
          <w:sz w:val="16"/>
          <w:szCs w:val="16"/>
          <w:color w:val="auto"/>
        </w:rPr>
        <w:t>On February 15, 1994, Blockbuster entered into a credit agreement with certain financial institutions named therein, pursuant to which such financial institutions have advanced to Blockbuster, on an unsecured basis, an aggregate of $1.0 billion to finance a portion of the purchase of the shares under the Subscription Agreement (the "Blockbuster Facility"). The</w:t>
      </w:r>
    </w:p>
    <w:p>
      <w:pPr>
        <w:spacing w:after="0" w:line="382"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II-19</w:t>
      </w:r>
    </w:p>
    <w:p>
      <w:pPr>
        <w:sectPr>
          <w:pgSz w:w="11900" w:h="16838" w:orient="portrait"/>
          <w:cols w:equalWidth="0" w:num="1">
            <w:col w:w="9159"/>
          </w:cols>
          <w:pgMar w:left="1300" w:top="925" w:right="1440" w:bottom="1440" w:gutter="0" w:footer="0" w:header="0"/>
        </w:sectPr>
      </w:pPr>
    </w:p>
    <w:bookmarkStart w:id="69" w:name="page70"/>
    <w:bookmarkEnd w:id="69"/>
    <w:p>
      <w:pPr>
        <w:ind w:right="2419"/>
        <w:spacing w:after="0" w:line="237" w:lineRule="auto"/>
        <w:rPr>
          <w:sz w:val="20"/>
          <w:szCs w:val="20"/>
          <w:color w:val="auto"/>
        </w:rPr>
      </w:pPr>
      <w:r>
        <w:rPr>
          <w:rFonts w:ascii="Courier New" w:cs="Courier New" w:eastAsia="Courier New" w:hAnsi="Courier New"/>
          <w:sz w:val="18"/>
          <w:szCs w:val="18"/>
          <w:color w:val="auto"/>
        </w:rPr>
        <w:t>Blockbuster Facility contains certain events of default, including a change of control default, which will require either a waiver in connection with the Blockbuster Merger or the refinancing of the indebtedness incurred by Blockbuster under the Blockbuster Facility.</w:t>
      </w:r>
    </w:p>
    <w:p>
      <w:pPr>
        <w:spacing w:after="0" w:line="209"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On March 11, 1994, Viacom Inc. borrowed $3.7 billion under a credit agreement dated as of November 19, 1993, as amended on January 4, 1994 and February 15, 1994, among Viacom Inc., the banks named therein, and The Bank of New York, Citibank, N.A. and Morgan Guaranty Trust Company of New York, as Managing Agent (the "Merger Credit Agreement").</w:t>
      </w:r>
    </w:p>
    <w:p>
      <w:pPr>
        <w:spacing w:after="0" w:line="210" w:lineRule="exact"/>
        <w:rPr>
          <w:sz w:val="20"/>
          <w:szCs w:val="20"/>
          <w:color w:val="auto"/>
        </w:rPr>
      </w:pPr>
    </w:p>
    <w:p>
      <w:pPr>
        <w:ind w:right="2419"/>
        <w:spacing w:after="0" w:line="275" w:lineRule="auto"/>
        <w:rPr>
          <w:sz w:val="20"/>
          <w:szCs w:val="20"/>
          <w:color w:val="auto"/>
        </w:rPr>
      </w:pPr>
      <w:r>
        <w:rPr>
          <w:rFonts w:ascii="Courier New" w:cs="Courier New" w:eastAsia="Courier New" w:hAnsi="Courier New"/>
          <w:sz w:val="16"/>
          <w:szCs w:val="16"/>
          <w:color w:val="auto"/>
        </w:rPr>
        <w:t>The Merger Credit Agreement provides that, in order to pay for the Paramount Offer and related expenses, up to $3.7 billion may be borrowed, repaid and reborrowed until November 18, 1994, at which time all amounts outstanding will become due and payable.</w:t>
      </w:r>
    </w:p>
    <w:p>
      <w:pPr>
        <w:spacing w:after="0" w:line="182"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The Merger Credit Agreement provides that Viacom Inc. may elect to borrow at either the Base Rate or the Eurodollar Rate (each as defined below), subject to certain limitations. The "Base Rate" will be the higher of (i) the Citibank N.A., Base Rate and</w:t>
      </w:r>
    </w:p>
    <w:p>
      <w:pPr>
        <w:spacing w:after="0" w:line="1" w:lineRule="exact"/>
        <w:rPr>
          <w:sz w:val="20"/>
          <w:szCs w:val="20"/>
          <w:color w:val="auto"/>
        </w:rPr>
      </w:pPr>
    </w:p>
    <w:p>
      <w:pPr>
        <w:ind w:right="2419" w:firstLine="1"/>
        <w:spacing w:after="0" w:line="237" w:lineRule="auto"/>
        <w:tabs>
          <w:tab w:leader="none" w:pos="5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Federal Funds Rate plus 0.50%. The "Eurodollar Rate" will be the London Interbank Offered Rate plus (i) 0.9375%, until Viacom Inc.'s senior unsecured long-term debt is rated by Standard &amp; Poor's Corporation or Moody's Investors Service, Inc., and (ii) thereafter, a variable rate ranging from 0.25% to 0.9375% dependent on the senior unsecured long-term debt rating assigned to Viacom Inc. The Merger Credit Agreement provides that Viacom Inc. will pay each bank a facility fee on such bank's commitment until November 18, 1994.</w:t>
      </w:r>
    </w:p>
    <w:p>
      <w:pPr>
        <w:spacing w:after="0" w:line="214"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The Merger Credit Agreement contains certain covenants which, among other things, require Viacom Inc. to meet certain financial ratios.</w:t>
      </w:r>
    </w:p>
    <w:p>
      <w:pPr>
        <w:spacing w:after="0" w:line="209"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As of December 31, 1993, Viacom Inc. had promissory notes outstanding in the aggregate amount of $26 million, in order to finance expenses associated with the Mergers and expects to obtain additional financing as required to finance such expenses.</w:t>
      </w:r>
    </w:p>
    <w:p>
      <w:pPr>
        <w:spacing w:after="0" w:line="209" w:lineRule="exact"/>
        <w:rPr>
          <w:sz w:val="20"/>
          <w:szCs w:val="20"/>
          <w:color w:val="auto"/>
        </w:rPr>
      </w:pPr>
    </w:p>
    <w:p>
      <w:pPr>
        <w:ind w:right="2619"/>
        <w:spacing w:after="0" w:line="270" w:lineRule="auto"/>
        <w:rPr>
          <w:sz w:val="20"/>
          <w:szCs w:val="20"/>
          <w:color w:val="auto"/>
        </w:rPr>
      </w:pPr>
      <w:r>
        <w:rPr>
          <w:rFonts w:ascii="Courier New" w:cs="Courier New" w:eastAsia="Courier New" w:hAnsi="Courier New"/>
          <w:sz w:val="16"/>
          <w:szCs w:val="16"/>
          <w:color w:val="auto"/>
        </w:rPr>
        <w:t>Viacom Inc. anticipates that, following the Mergers, Viacom Inc., Paramount and Blockbuster, on a pro forma combined basis (the "Combined Company") will have outstanding total indebtedness of approximately $10 billion ($8 billion if the Blockbuster Merger is not consummated) and 5% Preferred Stock (as defined in "Capital Structure") with a liquidation preference of $1.2 billion ($1.8 billion if the Blockbuster Merger is not consummated). Of such $10 billion, $3.7 billion was borrowed under the Merger Credit Agreement and must be repaid by November 18, 1994. In addition, the $1.0 billion</w:t>
      </w:r>
    </w:p>
    <w:p>
      <w:pPr>
        <w:spacing w:after="0" w:line="386"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II-20</w:t>
      </w:r>
    </w:p>
    <w:p>
      <w:pPr>
        <w:sectPr>
          <w:pgSz w:w="11900" w:h="16838" w:orient="portrait"/>
          <w:cols w:equalWidth="0" w:num="1">
            <w:col w:w="9159"/>
          </w:cols>
          <w:pgMar w:left="1300" w:top="925" w:right="1440" w:bottom="1440" w:gutter="0" w:footer="0" w:header="0"/>
        </w:sectPr>
      </w:pPr>
    </w:p>
    <w:bookmarkStart w:id="70" w:name="page71"/>
    <w:bookmarkEnd w:id="70"/>
    <w:p>
      <w:pPr>
        <w:ind w:right="2519"/>
        <w:spacing w:after="0" w:line="269" w:lineRule="auto"/>
        <w:rPr>
          <w:sz w:val="20"/>
          <w:szCs w:val="20"/>
          <w:color w:val="auto"/>
        </w:rPr>
      </w:pPr>
      <w:r>
        <w:rPr>
          <w:rFonts w:ascii="Courier New" w:cs="Courier New" w:eastAsia="Courier New" w:hAnsi="Courier New"/>
          <w:sz w:val="16"/>
          <w:szCs w:val="16"/>
          <w:color w:val="auto"/>
        </w:rPr>
        <w:t>borrowed under the Blockbuster Facility must be repaid by February 14, 1995 and both the Blockbuster Facility and a previous Blockbuster credit agreement contain certain covenants and events of default, including a change of control default, which will require either a waiver in connection with the Blockbuster Merger or the refinancing of the indebtedness under such Blockbuster facilities prior to the Blockbuster Merger. Accordingly, assuming consummation of the Blockbuster Merger, the foregoing facilities, together with other current maturities, may require Viacom Inc. to refinance up to $5.7 billion ($4.0 billion if the Blockbuster Merger is not consummated) within the next 12 months. Viacom Inc. also anticipates that, following the Mergers, the Combined Company will fund its anticipated operating, investing and financing activities, including the anticipated cash requirements of its joint ventures, commitments, capital expenditures, preferred stock dividend requirements and principal and interest payments on outstanding indebtedness, through a variety of sources, which may include, but may not be limited to, funds generated internally by Viacom Inc. and its subsidiaries (including following the Mergers funds generated by Blockbuster and Paramount), bank refinancing, and the public or private sale of debt or equity securities. The Blockbuster Merger is subject to shareholder approval. In the event the Blockbuster Merger is not consummated, Viacom Inc. believes that it will still be capable of meeting all of its obligations.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Viacom Inc. and the Company - Liquidity and Capital Resources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(prior to the Paramount Offer and the Mergers)</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The Company's scheduled maturities of long-term debt through December 31, 1998, assuming full utilization of the $1.9 billion commitment under the Credit Agreement and $300 million under the Loan Facility Agreement, are $300 million (1994), $380 million (1995), $380 million (1996) $380 million (1997) and $380 million</w:t>
      </w:r>
    </w:p>
    <w:p>
      <w:pPr>
        <w:spacing w:after="0" w:line="1"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(1998). On January 4, 1993, Viacom Inc. borrowed $42.2 million from The Bank of New York ("BONY") pursuant to an unsecured credit agreement ("Term Loan Agreement") to satisfy its obligation under the LTIP. Viacom Inc. repaid $13.9 million of debt under the Term Loan Agreement on January 15, 1994, the first scheduled maturity date. The remaining $28.3 million under the Term Loan Agreement matures on January 15, 1995. (See "Capital Structure " for defined terms and additional information).</w:t>
      </w:r>
    </w:p>
    <w:p>
      <w:pPr>
        <w:spacing w:after="0" w:line="214" w:lineRule="exact"/>
        <w:rPr>
          <w:sz w:val="20"/>
          <w:szCs w:val="20"/>
          <w:color w:val="auto"/>
        </w:rPr>
      </w:pPr>
    </w:p>
    <w:p>
      <w:pPr>
        <w:ind w:right="2419"/>
        <w:spacing w:after="0" w:line="272" w:lineRule="auto"/>
        <w:rPr>
          <w:sz w:val="20"/>
          <w:szCs w:val="20"/>
          <w:color w:val="auto"/>
        </w:rPr>
      </w:pPr>
      <w:r>
        <w:rPr>
          <w:rFonts w:ascii="Courier New" w:cs="Courier New" w:eastAsia="Courier New" w:hAnsi="Courier New"/>
          <w:sz w:val="16"/>
          <w:szCs w:val="16"/>
          <w:color w:val="auto"/>
        </w:rPr>
        <w:t>The Company's joint ventures are expected to require estimated cash contributions of approximately $20 million to $40 million in 1994. Capital expenditures are primarily related to additional construction and equipment upgrades for the Company's existing cable franchises, certain transponder payments and information system costs. Planned capital expenditures,</w:t>
      </w:r>
    </w:p>
    <w:p>
      <w:pPr>
        <w:spacing w:after="0" w:line="382"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II-21</w:t>
      </w:r>
    </w:p>
    <w:p>
      <w:pPr>
        <w:sectPr>
          <w:pgSz w:w="11900" w:h="16838" w:orient="portrait"/>
          <w:cols w:equalWidth="0" w:num="1">
            <w:col w:w="9159"/>
          </w:cols>
          <w:pgMar w:left="1300" w:top="925" w:right="1440" w:bottom="1440" w:gutter="0" w:footer="0" w:header="0"/>
        </w:sectPr>
      </w:pPr>
    </w:p>
    <w:bookmarkStart w:id="71" w:name="page72"/>
    <w:bookmarkEnd w:id="71"/>
    <w:p>
      <w:pPr>
        <w:ind w:right="2939"/>
        <w:spacing w:after="0" w:line="235" w:lineRule="auto"/>
        <w:rPr>
          <w:sz w:val="20"/>
          <w:szCs w:val="20"/>
          <w:color w:val="auto"/>
        </w:rPr>
      </w:pPr>
      <w:r>
        <w:rPr>
          <w:rFonts w:ascii="Courier New" w:cs="Courier New" w:eastAsia="Courier New" w:hAnsi="Courier New"/>
          <w:sz w:val="18"/>
          <w:szCs w:val="18"/>
          <w:color w:val="auto"/>
        </w:rPr>
        <w:t>including information systems costs, are approximately $150 million to $170 million in 1994.</w:t>
      </w:r>
    </w:p>
    <w:p>
      <w:pPr>
        <w:spacing w:after="0" w:line="20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The Company was in compliance with all covenants and had satisfied all financial ratios and tests as of December 31, 1993 under its Credit Agreement and the Company expects to remain in compliance and satisfy all such financial ratios and tests during 1994.</w:t>
      </w:r>
    </w:p>
    <w:p>
      <w:pPr>
        <w:spacing w:after="0" w:line="209"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Debt as a percentage of total capitalization of Viacom Inc. was 47% at December 31, 1993 and 76% at December 31, 1992. The decrease in debt as a percentage of total capitalization resulted principally from the issuance of Preferred Stock (as defined in "Capital Structure") during 1993.</w:t>
      </w:r>
    </w:p>
    <w:p>
      <w:pPr>
        <w:spacing w:after="0" w:line="209"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commitments of the Company for program license fees which are not reflected in the balance sheet as of December 31, 1993, which are estimated to aggregate approximately $1.9 billion, principally reflect commitments under SNI's exclusive arrangements with several motion picture companies. This estimate is based upon a number of factors. A majority of such fees are payable within the next seven years, as part of normal programming expenditures of SNI. These commitments are contingent upon delivery of motion pictures which are not yet available for premium television exhibition and, in many cases, have not yet been produced.</w:t>
      </w:r>
    </w:p>
    <w:p>
      <w:pPr>
        <w:spacing w:after="0" w:line="216"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During July 1991, the Company received reassessments from 10 California counties of its Cable Division's real and personal property, related to the June 1987 acquisition by NAI, which could result in substantially higher California property tax liabilities. The Company is appealing the reassessments and believes that the reassessments as issued are unreasonable and unsupportable under California law. The Company believes that the final resolution of this matter will not have a material effect on its consolidated financial position or results of operations.</w:t>
      </w:r>
    </w:p>
    <w:p>
      <w:pPr>
        <w:spacing w:after="0" w:line="215" w:lineRule="exact"/>
        <w:rPr>
          <w:sz w:val="20"/>
          <w:szCs w:val="20"/>
          <w:color w:val="auto"/>
        </w:rPr>
      </w:pPr>
    </w:p>
    <w:p>
      <w:pPr>
        <w:ind w:right="2419"/>
        <w:spacing w:after="0" w:line="270" w:lineRule="auto"/>
        <w:rPr>
          <w:sz w:val="20"/>
          <w:szCs w:val="20"/>
          <w:color w:val="auto"/>
        </w:rPr>
      </w:pPr>
      <w:r>
        <w:rPr>
          <w:rFonts w:ascii="Courier New" w:cs="Courier New" w:eastAsia="Courier New" w:hAnsi="Courier New"/>
          <w:sz w:val="16"/>
          <w:szCs w:val="16"/>
          <w:color w:val="auto"/>
        </w:rPr>
        <w:t>Net cash flow from operating activities increased 45% to $147.6 million in 1993 from $102.0 million in 1992, resulting from increased net earnings before extraordinary items and cumulative effect of change in accounting principle, partially offset by increased payments for accrued expenses. Net cash expenditures for investing activities of $128.4 million in 1993 principally reflects capital expenditures, the acquisitions of KXEZ-FM and ICOM Simulations, Inc. and the additional investment in StarSight Telecast Inc. ("StarSight") and advances to Comedy Central, partially offset by proceeds from the sale of the Wisconsin cable system, proceeds related to the radio station swap and proceeds from the sale of an investment held at cost. Net cash expenditures for investing activities of $116.8 million in 1992 principally reflect capital expenditures, advances to</w:t>
      </w:r>
    </w:p>
    <w:p>
      <w:pPr>
        <w:spacing w:after="0" w:line="200" w:lineRule="exact"/>
        <w:rPr>
          <w:sz w:val="20"/>
          <w:szCs w:val="20"/>
          <w:color w:val="auto"/>
        </w:rPr>
      </w:pPr>
    </w:p>
    <w:p>
      <w:pPr>
        <w:spacing w:after="0" w:line="385"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II-22</w:t>
      </w:r>
    </w:p>
    <w:p>
      <w:pPr>
        <w:sectPr>
          <w:pgSz w:w="11900" w:h="16838" w:orient="portrait"/>
          <w:cols w:equalWidth="0" w:num="1">
            <w:col w:w="9159"/>
          </w:cols>
          <w:pgMar w:left="1300" w:top="925" w:right="1440" w:bottom="1440" w:gutter="0" w:footer="0" w:header="0"/>
        </w:sectPr>
      </w:pPr>
    </w:p>
    <w:bookmarkStart w:id="72" w:name="page73"/>
    <w:bookmarkEnd w:id="72"/>
    <w:p>
      <w:pPr>
        <w:ind w:right="2619"/>
        <w:spacing w:after="0" w:line="237" w:lineRule="auto"/>
        <w:rPr>
          <w:sz w:val="20"/>
          <w:szCs w:val="20"/>
          <w:color w:val="auto"/>
        </w:rPr>
      </w:pPr>
      <w:r>
        <w:rPr>
          <w:rFonts w:ascii="Courier New" w:cs="Courier New" w:eastAsia="Courier New" w:hAnsi="Courier New"/>
          <w:sz w:val="18"/>
          <w:szCs w:val="18"/>
          <w:color w:val="auto"/>
        </w:rPr>
        <w:t>Comedy Central and a deposit received on the sale of Viacom Cablevision of Wisconsin Inc. Financing activities reflect borrowings and repayment of debt under the Credit Agreement during each period presented; the redemption of the 11.80 % Notes and the issuance of the Preferred Stock during 1993, and the redemption of the 11.50% Reset Notes and Discount Debentures, and the issuance of the 9.125% Notes and the 8.75% Reset Notes during 1992.</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Acquisitions and Ventures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On November 1, 1993, the Company exchanged KIKK-AM/FM, Houston, Texas, for Westinghouse Broadcasting Company, Inc.'s WCXR-FM and WCPT-AM, Washington, D.C., and cash.</w:t>
      </w:r>
    </w:p>
    <w:p>
      <w:pPr>
        <w:spacing w:after="0" w:line="209"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On June 16, 1993, the Company purchased KXEZ-FM (formerly KQLZ-FM), Los Angeles, California from Westwood One Stations Group-LA, Inc. for $40 million in cash and certain other consideration. The Company sold KXEZ-FM to Viacom Inc. in exchange for a $40 million promissory note.</w:t>
      </w:r>
    </w:p>
    <w:p>
      <w:pPr>
        <w:spacing w:after="0" w:line="209"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On May 5, 1993, the Company completed the purchase of privately held ICOM Simulations, Inc.</w:t>
      </w:r>
    </w:p>
    <w:p>
      <w:pPr>
        <w:spacing w:after="0" w:line="20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On March 31, 1993, the Company increased its percentage of ownership in StarSight. On August 5, 1993, StarSight completed an initial public offering of 3,105,000 shares of common stock. On September 16, 1993, the Company exercised a warrant to purchase 833,333 shares of StarSight common stock at a cost of $5.625 per share. In November 1993, the Company transferred its ownership percentage in StarSight to a consolidated affiliate of the Company. As a result of these transactions, the affiliate of the Company's percentage ownership of StarSight is approximately 21%. The investment in StarSight is accounted for under the equity method.</w:t>
      </w:r>
    </w:p>
    <w:p>
      <w:pPr>
        <w:spacing w:after="0" w:line="216"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In December 1992, the Company entered into a 50-50 joint venture called Nickelodeon (UK) with a subsidiary of British Sky Broadcasting Limited. Nickelodeon (UK) began airing on September 1, 1993. The Company's investment is accounted under the equity method and therefore the results of operations is included in "Equity in loss of affiliated companies, net of tax."</w:t>
      </w:r>
    </w:p>
    <w:p>
      <w:pPr>
        <w:spacing w:after="0" w:line="211"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The Company exchanged KHOW-AM and FM, Denver, Colorado for Noble Broadcast Group, Inc.'s KNDD-FM, Seattle, Washington effective December 28, 1992.</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 August 30, 1991, Viacom Inc. increased its interest in MTV EUROPE to 100% through the purchase of the 50.01% interest held by an affiliate of Mirror Group Newspapers. The approximate value of the purchase was $65.0 million, which included intangibles of</w:t>
      </w:r>
    </w:p>
    <w:p>
      <w:pPr>
        <w:spacing w:after="0" w:line="200" w:lineRule="exact"/>
        <w:rPr>
          <w:sz w:val="20"/>
          <w:szCs w:val="20"/>
          <w:color w:val="auto"/>
        </w:rPr>
      </w:pPr>
    </w:p>
    <w:p>
      <w:pPr>
        <w:spacing w:after="0" w:line="204"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II-23</w:t>
      </w:r>
    </w:p>
    <w:p>
      <w:pPr>
        <w:sectPr>
          <w:pgSz w:w="11900" w:h="16838" w:orient="portrait"/>
          <w:cols w:equalWidth="0" w:num="1">
            <w:col w:w="9159"/>
          </w:cols>
          <w:pgMar w:left="1300" w:top="925" w:right="1440" w:bottom="1440" w:gutter="0" w:footer="0" w:header="0"/>
        </w:sectPr>
      </w:pPr>
    </w:p>
    <w:bookmarkStart w:id="73" w:name="page74"/>
    <w:bookmarkEnd w:id="73"/>
    <w:p>
      <w:pPr>
        <w:ind w:right="2099"/>
        <w:spacing w:after="0" w:line="236" w:lineRule="auto"/>
        <w:rPr>
          <w:sz w:val="20"/>
          <w:szCs w:val="20"/>
          <w:color w:val="auto"/>
        </w:rPr>
      </w:pPr>
      <w:r>
        <w:rPr>
          <w:rFonts w:ascii="Courier New" w:cs="Courier New" w:eastAsia="Courier New" w:hAnsi="Courier New"/>
          <w:sz w:val="18"/>
          <w:szCs w:val="18"/>
          <w:color w:val="auto"/>
        </w:rPr>
        <w:t>approximately $61.6 million. As consideration for the sale, Viacom Inc. issued 2,210,884 shares of Viacom Class B Common Stock (see "Capital Structure").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Structure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The following table and related notes set forth the capitalization of Viacom Inc. and subsidiaries as of December 31, 1993 and December</w:t>
      </w:r>
    </w:p>
    <w:tbl>
      <w:tblPr>
        <w:tblLayout w:type="fixed"/>
        <w:tblInd w:w="0" w:type="dxa"/>
        <w:tblCellMar>
          <w:top w:w="0" w:type="dxa"/>
          <w:left w:w="0" w:type="dxa"/>
          <w:bottom w:w="0" w:type="dxa"/>
          <w:right w:w="0" w:type="dxa"/>
        </w:tblCellMar>
      </w:tblPr>
      <w:tr>
        <w:trPr>
          <w:trHeight w:val="199"/>
        </w:trPr>
        <w:tc>
          <w:tcPr>
            <w:tcW w:w="380" w:type="dxa"/>
            <w:vAlign w:val="bottom"/>
          </w:tcPr>
          <w:p>
            <w:pPr>
              <w:spacing w:after="0" w:line="198" w:lineRule="exact"/>
              <w:rPr>
                <w:sz w:val="20"/>
                <w:szCs w:val="20"/>
                <w:color w:val="auto"/>
              </w:rPr>
            </w:pPr>
            <w:r>
              <w:rPr>
                <w:rFonts w:ascii="Courier New" w:cs="Courier New" w:eastAsia="Courier New" w:hAnsi="Courier New"/>
                <w:sz w:val="18"/>
                <w:szCs w:val="18"/>
                <w:color w:val="auto"/>
              </w:rPr>
              <w:t>31,</w:t>
            </w:r>
          </w:p>
        </w:tc>
        <w:tc>
          <w:tcPr>
            <w:tcW w:w="3940" w:type="dxa"/>
            <w:vAlign w:val="bottom"/>
          </w:tcPr>
          <w:p>
            <w:pPr>
              <w:ind w:left="40"/>
              <w:spacing w:after="0" w:line="198" w:lineRule="exact"/>
              <w:rPr>
                <w:sz w:val="20"/>
                <w:szCs w:val="20"/>
                <w:color w:val="auto"/>
              </w:rPr>
            </w:pPr>
            <w:r>
              <w:rPr>
                <w:rFonts w:ascii="Courier New" w:cs="Courier New" w:eastAsia="Courier New" w:hAnsi="Courier New"/>
                <w:sz w:val="18"/>
                <w:szCs w:val="18"/>
                <w:color w:val="auto"/>
              </w:rPr>
              <w:t>1992:</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3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December 31,</w:t>
            </w: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w w:val="97"/>
              </w:rPr>
              <w:t>December 31,</w:t>
            </w:r>
          </w:p>
        </w:tc>
      </w:tr>
      <w:tr>
        <w:trPr>
          <w:trHeight w:val="203"/>
        </w:trPr>
        <w:tc>
          <w:tcPr>
            <w:tcW w:w="3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1993</w:t>
            </w:r>
          </w:p>
        </w:tc>
        <w:tc>
          <w:tcPr>
            <w:tcW w:w="16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1992</w:t>
            </w:r>
          </w:p>
        </w:tc>
      </w:tr>
      <w:tr>
        <w:trPr>
          <w:trHeight w:val="203"/>
        </w:trPr>
        <w:tc>
          <w:tcPr>
            <w:tcW w:w="3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(Thousands</w:t>
            </w:r>
          </w:p>
        </w:tc>
        <w:tc>
          <w:tcPr>
            <w:tcW w:w="1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Dollars)</w:t>
            </w: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55,004</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gridSpan w:val="2"/>
          </w:tcPr>
          <w:p>
            <w:pPr>
              <w:spacing w:after="0"/>
              <w:rPr>
                <w:sz w:val="20"/>
                <w:szCs w:val="20"/>
                <w:color w:val="auto"/>
              </w:rPr>
            </w:pPr>
            <w:r>
              <w:rPr>
                <w:rFonts w:ascii="Courier New" w:cs="Courier New" w:eastAsia="Courier New" w:hAnsi="Courier New"/>
                <w:sz w:val="18"/>
                <w:szCs w:val="18"/>
                <w:color w:val="auto"/>
              </w:rPr>
              <w:t>Long-term debt:</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4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Notes payable to banks (a)</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$ 1,928,271</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1,648,984</w:t>
            </w:r>
          </w:p>
        </w:tc>
      </w:tr>
      <w:tr>
        <w:trPr>
          <w:trHeight w:val="203"/>
        </w:trPr>
        <w:tc>
          <w:tcPr>
            <w:tcW w:w="4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11.8% Senior Subordinated Notes due</w:t>
            </w:r>
          </w:p>
        </w:tc>
        <w:tc>
          <w:tcPr>
            <w:tcW w:w="3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298,000</w:t>
            </w:r>
          </w:p>
        </w:tc>
      </w:tr>
      <w:tr>
        <w:trPr>
          <w:trHeight w:val="203"/>
        </w:trPr>
        <w:tc>
          <w:tcPr>
            <w:tcW w:w="38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1998 (b)</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9.125% Senior Subordinated Notes due</w:t>
            </w:r>
          </w:p>
        </w:tc>
        <w:tc>
          <w:tcPr>
            <w:tcW w:w="3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150,000</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150,000</w:t>
            </w:r>
          </w:p>
        </w:tc>
      </w:tr>
      <w:tr>
        <w:trPr>
          <w:trHeight w:val="203"/>
        </w:trPr>
        <w:tc>
          <w:tcPr>
            <w:tcW w:w="38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1999 (c)</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8.75% Senior Subordinated Reset Notes</w:t>
            </w:r>
          </w:p>
        </w:tc>
        <w:tc>
          <w:tcPr>
            <w:tcW w:w="3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100,000</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100,000</w:t>
            </w:r>
          </w:p>
        </w:tc>
      </w:tr>
      <w:tr>
        <w:trPr>
          <w:trHeight w:val="203"/>
        </w:trPr>
        <w:tc>
          <w:tcPr>
            <w:tcW w:w="38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due 2001 (d)</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10.25% Senior Subordinated Notes due</w:t>
            </w:r>
          </w:p>
        </w:tc>
        <w:tc>
          <w:tcPr>
            <w:tcW w:w="3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200,000</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200,000</w:t>
            </w:r>
          </w:p>
        </w:tc>
      </w:tr>
      <w:tr>
        <w:trPr>
          <w:trHeight w:val="203"/>
        </w:trPr>
        <w:tc>
          <w:tcPr>
            <w:tcW w:w="38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2001 (e)</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5.75% Convertible Subordinated</w:t>
            </w:r>
          </w:p>
        </w:tc>
        <w:tc>
          <w:tcPr>
            <w:tcW w:w="3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38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Debentures due 2001</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 w:type="dxa"/>
            <w:vAlign w:val="bottom"/>
          </w:tcPr>
          <w:p>
            <w:pPr>
              <w:spacing w:after="0"/>
              <w:rPr>
                <w:sz w:val="24"/>
                <w:szCs w:val="24"/>
                <w:color w:val="auto"/>
              </w:rPr>
            </w:pPr>
          </w:p>
        </w:tc>
        <w:tc>
          <w:tcPr>
            <w:tcW w:w="3940" w:type="dxa"/>
            <w:vAlign w:val="bottom"/>
          </w:tcPr>
          <w:p>
            <w:pPr>
              <w:ind w:left="40"/>
              <w:spacing w:after="0"/>
              <w:rPr>
                <w:sz w:val="20"/>
                <w:szCs w:val="20"/>
                <w:color w:val="auto"/>
              </w:rPr>
            </w:pPr>
            <w:r>
              <w:rPr>
                <w:rFonts w:ascii="Courier New" w:cs="Courier New" w:eastAsia="Courier New" w:hAnsi="Courier New"/>
                <w:sz w:val="18"/>
                <w:szCs w:val="18"/>
                <w:color w:val="auto"/>
              </w:rPr>
              <w:t>Total long-term debt</w:t>
            </w:r>
          </w:p>
        </w:tc>
        <w:tc>
          <w:tcPr>
            <w:tcW w:w="15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$ 2,378,286</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2,397,014</w:t>
            </w:r>
          </w:p>
        </w:tc>
      </w:tr>
      <w:tr>
        <w:trPr>
          <w:trHeight w:val="203"/>
        </w:trPr>
        <w:tc>
          <w:tcPr>
            <w:tcW w:w="3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gridSpan w:val="2"/>
          </w:tcPr>
          <w:p>
            <w:pPr>
              <w:spacing w:after="0"/>
              <w:rPr>
                <w:sz w:val="20"/>
                <w:szCs w:val="20"/>
                <w:color w:val="auto"/>
              </w:rPr>
            </w:pPr>
            <w:r>
              <w:rPr>
                <w:rFonts w:ascii="Courier New" w:cs="Courier New" w:eastAsia="Courier New" w:hAnsi="Courier New"/>
                <w:sz w:val="18"/>
                <w:szCs w:val="18"/>
                <w:color w:val="auto"/>
              </w:rPr>
              <w:t>Shareholders' equity (f):</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4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Preferred Stock</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$ 1,800,000</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Common Stock and additional paid-in</w:t>
            </w:r>
          </w:p>
        </w:tc>
        <w:tc>
          <w:tcPr>
            <w:tcW w:w="3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922,072</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918,671</w:t>
            </w:r>
          </w:p>
        </w:tc>
      </w:tr>
      <w:tr>
        <w:trPr>
          <w:trHeight w:val="203"/>
        </w:trPr>
        <w:tc>
          <w:tcPr>
            <w:tcW w:w="380" w:type="dxa"/>
            <w:vAlign w:val="bottom"/>
          </w:tcPr>
          <w:p>
            <w:pPr>
              <w:spacing w:after="0"/>
              <w:rPr>
                <w:sz w:val="17"/>
                <w:szCs w:val="17"/>
                <w:color w:val="auto"/>
              </w:rPr>
            </w:pP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capital</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(3,958)</w:t>
            </w:r>
          </w:p>
        </w:tc>
        <w:tc>
          <w:tcPr>
            <w:tcW w:w="1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(162,160)</w:t>
            </w:r>
          </w:p>
        </w:tc>
      </w:tr>
      <w:tr>
        <w:trPr>
          <w:trHeight w:val="203"/>
        </w:trPr>
        <w:tc>
          <w:tcPr>
            <w:tcW w:w="3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$ 2,718,114</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756,511</w:t>
            </w:r>
          </w:p>
        </w:tc>
      </w:tr>
      <w:tr>
        <w:trPr>
          <w:trHeight w:val="203"/>
        </w:trPr>
        <w:tc>
          <w:tcPr>
            <w:tcW w:w="3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3940" w:type="dxa"/>
            <w:vAlign w:val="bottom"/>
          </w:tcPr>
          <w:p>
            <w:pPr>
              <w:ind w:left="2880"/>
              <w:spacing w:after="0"/>
              <w:rPr>
                <w:sz w:val="20"/>
                <w:szCs w:val="20"/>
                <w:color w:val="auto"/>
              </w:rPr>
            </w:pPr>
            <w:r>
              <w:rPr>
                <w:rFonts w:ascii="Courier New" w:cs="Courier New" w:eastAsia="Courier New" w:hAnsi="Courier New"/>
                <w:sz w:val="18"/>
                <w:szCs w:val="18"/>
                <w:color w:val="auto"/>
              </w:rPr>
              <w:t>II-24</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9159"/>
          </w:cols>
          <w:pgMar w:left="1300" w:top="925" w:right="1440" w:bottom="1440" w:gutter="0" w:footer="0" w:header="0"/>
        </w:sectPr>
      </w:pPr>
    </w:p>
    <w:bookmarkStart w:id="74" w:name="page75"/>
    <w:bookmarkEnd w:id="74"/>
    <w:p>
      <w:pPr>
        <w:ind w:right="2099" w:firstLine="317"/>
        <w:spacing w:after="0" w:line="238" w:lineRule="auto"/>
        <w:tabs>
          <w:tab w:leader="none" w:pos="73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At December 31, 1993, there were aggregate borrowing facilities of $1.9 billion and $300 million under (i) an unsecured credit agreement guaranteed by Viacom Inc. (amended and restated as of January 17, 1992 (as amended, the "Credit Agreement") among the Company, the named banks ("Banks"), Citibank, N.A. ("Citibank") as agent and The Bank of New York ("BONY") as co-agent and (ii) an unsecured credit agreement, dated June 2, 1993, among the Company and the named banks and BONY and Citibank as agents (the "Loan Facility Agreement"). The Loan Facility Agreement has a 364-day term and is identical to the Credit Agreement in all other material terms and conditions. Borrowings of $1.765 billion were outstanding under the Credit Agreement as of December 31, 1993, including $274 million aggregate principal amount assumed by five subsidiaries of the Company ("Subsidiary Obligors"). Borrowings of $150 million were outstanding under the Loan Facility Agreement as of December 31, 1993, $135 million of which were classified as long-term.</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Subsequent to December 31, 1993, Viacom Inc. borrowed approximately $3.7 billion pursuant to the Merger Credit Agreement in connection with the Paramount Merger (see "Paramount Merger, Blockbuster Merger and Related Transactions").</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following is a summary description of the Credit Agreement. The description does not purport to be complete and should be read in conjunction with the Credit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Credit Agreement provides for three facilities:</w:t>
      </w:r>
    </w:p>
    <w:p>
      <w:pPr>
        <w:spacing w:after="0" w:line="201"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200" w:type="dxa"/>
            <w:vAlign w:val="bottom"/>
          </w:tcPr>
          <w:p>
            <w:pPr>
              <w:spacing w:after="0"/>
              <w:rPr>
                <w:sz w:val="20"/>
                <w:szCs w:val="20"/>
                <w:color w:val="auto"/>
              </w:rPr>
            </w:pPr>
            <w:r>
              <w:rPr>
                <w:rFonts w:ascii="Courier New" w:cs="Courier New" w:eastAsia="Courier New" w:hAnsi="Courier New"/>
                <w:sz w:val="18"/>
                <w:szCs w:val="18"/>
                <w:color w:val="auto"/>
              </w:rPr>
              <w:t>Facility A</w:t>
            </w:r>
          </w:p>
        </w:tc>
        <w:tc>
          <w:tcPr>
            <w:tcW w:w="5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$700</w:t>
            </w:r>
          </w:p>
        </w:tc>
        <w:tc>
          <w:tcPr>
            <w:tcW w:w="1460" w:type="dxa"/>
            <w:vAlign w:val="bottom"/>
          </w:tcPr>
          <w:p>
            <w:pPr>
              <w:ind w:left="40"/>
              <w:spacing w:after="0"/>
              <w:rPr>
                <w:sz w:val="20"/>
                <w:szCs w:val="20"/>
                <w:color w:val="auto"/>
              </w:rPr>
            </w:pPr>
            <w:r>
              <w:rPr>
                <w:rFonts w:ascii="Courier New" w:cs="Courier New" w:eastAsia="Courier New" w:hAnsi="Courier New"/>
                <w:sz w:val="18"/>
                <w:szCs w:val="18"/>
                <w:color w:val="auto"/>
                <w:w w:val="99"/>
              </w:rPr>
              <w:t>million under</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term loan</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w w:val="96"/>
              </w:rPr>
              <w:t>having a final</w:t>
            </w:r>
          </w:p>
        </w:tc>
      </w:tr>
      <w:tr>
        <w:trPr>
          <w:trHeight w:val="203"/>
        </w:trPr>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9"/>
              </w:rPr>
              <w:t>maturity of June 30,</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1999;</w:t>
            </w:r>
          </w:p>
        </w:tc>
        <w:tc>
          <w:tcPr>
            <w:tcW w:w="1520" w:type="dxa"/>
            <w:vAlign w:val="bottom"/>
          </w:tcPr>
          <w:p>
            <w:pPr>
              <w:spacing w:after="0"/>
              <w:rPr>
                <w:sz w:val="17"/>
                <w:szCs w:val="17"/>
                <w:color w:val="auto"/>
              </w:rPr>
            </w:pP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Facility B</w:t>
            </w:r>
          </w:p>
        </w:tc>
        <w:tc>
          <w:tcPr>
            <w:tcW w:w="5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$926</w:t>
            </w:r>
          </w:p>
        </w:tc>
        <w:tc>
          <w:tcPr>
            <w:tcW w:w="1460" w:type="dxa"/>
            <w:vAlign w:val="bottom"/>
          </w:tcPr>
          <w:p>
            <w:pPr>
              <w:ind w:left="40"/>
              <w:spacing w:after="0"/>
              <w:rPr>
                <w:sz w:val="20"/>
                <w:szCs w:val="20"/>
                <w:color w:val="auto"/>
              </w:rPr>
            </w:pPr>
            <w:r>
              <w:rPr>
                <w:rFonts w:ascii="Courier New" w:cs="Courier New" w:eastAsia="Courier New" w:hAnsi="Courier New"/>
                <w:sz w:val="18"/>
                <w:szCs w:val="18"/>
                <w:color w:val="auto"/>
                <w:w w:val="99"/>
              </w:rPr>
              <w:t>million under</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revolver,</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w w:val="96"/>
              </w:rPr>
              <w:t>which converts</w:t>
            </w:r>
          </w:p>
        </w:tc>
      </w:tr>
      <w:tr>
        <w:trPr>
          <w:trHeight w:val="203"/>
        </w:trPr>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8"/>
              </w:rPr>
              <w:t>on January 1, 1995</w:t>
            </w:r>
          </w:p>
        </w:tc>
        <w:tc>
          <w:tcPr>
            <w:tcW w:w="1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into a term</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loan having a</w:t>
            </w:r>
          </w:p>
        </w:tc>
      </w:tr>
      <w:tr>
        <w:trPr>
          <w:trHeight w:val="203"/>
        </w:trPr>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0" w:type="dxa"/>
            <w:vAlign w:val="bottom"/>
            <w:gridSpan w:val="5"/>
          </w:tcPr>
          <w:p>
            <w:pPr>
              <w:ind w:left="260"/>
              <w:spacing w:after="0" w:line="203" w:lineRule="exact"/>
              <w:rPr>
                <w:sz w:val="20"/>
                <w:szCs w:val="20"/>
                <w:color w:val="auto"/>
              </w:rPr>
            </w:pPr>
            <w:r>
              <w:rPr>
                <w:rFonts w:ascii="Courier New" w:cs="Courier New" w:eastAsia="Courier New" w:hAnsi="Courier New"/>
                <w:sz w:val="18"/>
                <w:szCs w:val="18"/>
                <w:color w:val="auto"/>
              </w:rPr>
              <w:t>final maturity of June 30, 1999; and</w:t>
            </w:r>
          </w:p>
        </w:tc>
      </w:tr>
      <w:tr>
        <w:trPr>
          <w:trHeight w:val="405"/>
        </w:trPr>
        <w:tc>
          <w:tcPr>
            <w:tcW w:w="17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w w:val="96"/>
              </w:rPr>
              <w:t>Facility B-1 -</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$274</w:t>
            </w:r>
          </w:p>
        </w:tc>
        <w:tc>
          <w:tcPr>
            <w:tcW w:w="1460" w:type="dxa"/>
            <w:vAlign w:val="bottom"/>
          </w:tcPr>
          <w:p>
            <w:pPr>
              <w:ind w:left="40"/>
              <w:spacing w:after="0"/>
              <w:rPr>
                <w:sz w:val="20"/>
                <w:szCs w:val="20"/>
                <w:color w:val="auto"/>
              </w:rPr>
            </w:pPr>
            <w:r>
              <w:rPr>
                <w:rFonts w:ascii="Courier New" w:cs="Courier New" w:eastAsia="Courier New" w:hAnsi="Courier New"/>
                <w:sz w:val="18"/>
                <w:szCs w:val="18"/>
                <w:color w:val="auto"/>
                <w:w w:val="99"/>
              </w:rPr>
              <w:t>million under</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term loan</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w w:val="96"/>
              </w:rPr>
              <w:t>having a final</w:t>
            </w:r>
          </w:p>
        </w:tc>
      </w:tr>
      <w:tr>
        <w:trPr>
          <w:trHeight w:val="203"/>
        </w:trPr>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9"/>
              </w:rPr>
              <w:t>maturity of June 30,</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1999.</w:t>
            </w:r>
          </w:p>
        </w:tc>
        <w:tc>
          <w:tcPr>
            <w:tcW w:w="1520" w:type="dxa"/>
            <w:vAlign w:val="bottom"/>
          </w:tcPr>
          <w:p>
            <w:pPr>
              <w:spacing w:after="0"/>
              <w:rPr>
                <w:sz w:val="17"/>
                <w:szCs w:val="17"/>
                <w:color w:val="auto"/>
              </w:rPr>
            </w:pPr>
          </w:p>
        </w:tc>
      </w:tr>
    </w:tbl>
    <w:p>
      <w:pPr>
        <w:spacing w:after="0" w:line="207"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The interest rate on all loans made under the three facilities is based upon Citibank, N.A.'s base rate, the domestic certificate of deposit rate or the London Interbank Offered Rate and is affected by the Company's leverage ratio. At December 31, 1993, the London Interbank Offered Rates (upon which the Company's borrowing rate was based) for borrowing periods of one month and two months were 3.25% and 3.3125%, respectively. The Company is permitted to issue commercial paper with a maturity at the time of issuance not to exceed nine months, provided that following each issuance of</w:t>
      </w:r>
    </w:p>
    <w:p>
      <w:pPr>
        <w:spacing w:after="0" w:line="381"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II-25</w:t>
      </w:r>
    </w:p>
    <w:p>
      <w:pPr>
        <w:sectPr>
          <w:pgSz w:w="11900" w:h="16838" w:orient="portrait"/>
          <w:cols w:equalWidth="0" w:num="1">
            <w:col w:w="9159"/>
          </w:cols>
          <w:pgMar w:left="1300" w:top="1128" w:right="1440" w:bottom="1440" w:gutter="0" w:footer="0" w:header="0"/>
        </w:sectPr>
      </w:pPr>
    </w:p>
    <w:bookmarkStart w:id="75" w:name="page76"/>
    <w:bookmarkEnd w:id="75"/>
    <w:p>
      <w:pPr>
        <w:ind w:right="2099"/>
        <w:spacing w:after="0" w:line="238" w:lineRule="auto"/>
        <w:rPr>
          <w:sz w:val="20"/>
          <w:szCs w:val="20"/>
          <w:color w:val="auto"/>
        </w:rPr>
      </w:pPr>
      <w:r>
        <w:rPr>
          <w:rFonts w:ascii="Courier New" w:cs="Courier New" w:eastAsia="Courier New" w:hAnsi="Courier New"/>
          <w:sz w:val="18"/>
          <w:szCs w:val="18"/>
          <w:color w:val="auto"/>
        </w:rPr>
        <w:t>commercial paper, (i) the aggregate face amount of commercial paper outstanding shall not exceed $500 million less the aggregate amount of competitive bid rate borrowings (described below), outstanding at such time and (ii) the aggregate amount of all Facility B loans and competitive bid rate loans outstanding, together with the aggregate face amount of commercial paper outstanding, shall not exceed $926 million. The Company is also permitted to make short-term competitive bid rate borrowings from the Banks until December 1, 1994, provided that following the making of each proposed competitive bid rate borrowing, (i) the aggregate amount of the competitive bid rate loans outstanding shall not exceed $500 million less the aggregate face amount of commercial paper outstanding and (ii) the aggregate amount of all Facility B loans and competitive bid rate loans outstanding, together with the aggregate face amount of commercial paper outstanding, shall not exceed $926 million.</w:t>
      </w:r>
    </w:p>
    <w:p>
      <w:pPr>
        <w:spacing w:after="0" w:line="208"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The Company and Subsidiary Obligors are required to repay the principal outstanding under the Credit Agreement in quarterly payments equal to percentages of the original aggregate principal amount with respect to the Facility A loans and Facility B-1 loans, and of the outstanding principal amount with respect to the Facility B loans, under the Credit Agreement, in the amount of 5% for the period commencing January 2, 1995 through and including January 2, 1999; and 7.5% on April 1, 1999 and on June 30, 1999.</w:t>
      </w:r>
    </w:p>
    <w:p>
      <w:pPr>
        <w:spacing w:after="0" w:line="186" w:lineRule="exact"/>
        <w:rPr>
          <w:sz w:val="20"/>
          <w:szCs w:val="20"/>
          <w:color w:val="auto"/>
        </w:rPr>
      </w:pPr>
    </w:p>
    <w:p>
      <w:pPr>
        <w:ind w:right="2099"/>
        <w:spacing w:after="0" w:line="269" w:lineRule="auto"/>
        <w:rPr>
          <w:sz w:val="20"/>
          <w:szCs w:val="20"/>
          <w:color w:val="auto"/>
        </w:rPr>
      </w:pPr>
      <w:r>
        <w:rPr>
          <w:rFonts w:ascii="Courier New" w:cs="Courier New" w:eastAsia="Courier New" w:hAnsi="Courier New"/>
          <w:sz w:val="16"/>
          <w:szCs w:val="16"/>
          <w:color w:val="auto"/>
        </w:rPr>
        <w:t>The Company may prepay at any time a portion or all of the principal outstanding under the Credit Agreement. Any such optional prepayments shall be applied to the remaining installments of Facility A and Facility B loans in the order that the Company designates. The Company is required to make mandatory prepayments upon receipt of net cash sale proceeds in connection with permitted sales of assets not in the ordinary course of business. All such prepayments shall be applied until December 31, 1994 to reduce the Facility B loans outstanding; provided, however, that any amounts so repaid may be reborrowed prior to December 31, 1994. All such prepayments after December 31, 1994 shall be applied pro rata against the remaining installments of first, the Facility A loans and second, the Facility B loans. In the event of a sale of the stock or substantially all of the assets of any Subsidiary Obligor, the Facility B-1 loan of such Subsidiary Obligor shall be repaid in full; provided, however, that upon such prepayment prior to December 31, 1994, the Facility B commitment of each Facility B Bank shall be increased by an amount equal to the principal amount of such Facility B Bank's Facility B-1 loan prepaid as a result of such prepayment and such amounts may be borrowed by the Company prior to December 31, 1994. The Company is required to prepay principal outstanding under the Credit Agreement with the proceeds of certain issuances of unsecured senior debt in an amount equal to the proceeds so received, together with accrued interest to the date of such prepayment on the principal amount prepaid, with such prepayments applied against remaining installments of first, the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II-26</w:t>
      </w:r>
    </w:p>
    <w:p>
      <w:pPr>
        <w:sectPr>
          <w:pgSz w:w="11900" w:h="16838" w:orient="portrait"/>
          <w:cols w:equalWidth="0" w:num="1">
            <w:col w:w="9159"/>
          </w:cols>
          <w:pgMar w:left="1300" w:top="925"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8"/>
          <w:szCs w:val="18"/>
          <w:color w:val="auto"/>
        </w:rPr>
        <w:t>Facility A loans and second, the Facility B loans.</w:t>
      </w:r>
    </w:p>
    <w:p>
      <w:pPr>
        <w:spacing w:after="0" w:line="207"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The Credit Agreement contains certain covenants which, among other things, require the Company to maintain certain financial ratios and impose on the Company and its subsidiaries certain limitations on (i) the incurrence of indebtedness or the guarantee or assumption of indebtedness of another; (ii) the creation or incurrence of mortgages, pledges or security interests on the property or assets of the Company or any of its subsidiaries in order to secure debt or the sale of assets of the Company or its subsidiaries; (iii) the merger or consolidation of the Company with any person or other entity; (iv) the incurrence of capitalized leases and purchase money indebtedness; (v) the payment of cash dividends or the redemption or repurchase of any capital stock of the Company; and (vi) investments and acquisitions.</w:t>
      </w:r>
    </w:p>
    <w:p>
      <w:pPr>
        <w:spacing w:after="0" w:line="38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Credit Agreement also contains certain customary events of default. The Credit Agreement also provides that it is an event of default if National Amusements, Inc. ("NAI") fails to own at least 51% of the outstanding voting stock of Viacom Inc. or Viacom Inc. fails to own at least 67% of the outstanding voting stock of the Company.</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Under the restrictions contained in the Credit Agreement, the Company is prohibited from (i) paying any dividends on its stock to Viacom Inc. for the purpose of enabling Viacom Inc. to pay any dividend on its common stock, or (ii) making any other dividend payments to Viacom Inc. (other than for certain limited specified purposes, including the satisfaction of Viacom Inc.'s obligations under the LTIP), unless its total leverage ratio is less than a specified amount.</w:t>
      </w:r>
    </w:p>
    <w:p>
      <w:pPr>
        <w:spacing w:after="0" w:line="21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Company is required to pay a commitment fee based on the aggregate average daily unborrowed portion of the Facility B commitment, with any amounts outstanding under competitive bid rate loans and commercial paper being deemed unborrowed for the purpose of calculating the commitment fee. The Company also is required to pay certain agency fees to the agent. The Credit Agreement does not require compensating balances.</w:t>
      </w:r>
    </w:p>
    <w:p>
      <w:pPr>
        <w:spacing w:after="0" w:line="21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On January 4, 1993, Viacom Inc. borrowed $42.2 million from BONY pursuant to the Term Loan Agreement. The interest rate in the Term Loan Agreement is based upon BONY's prime rate or the London Interbank Offered Rate. Viacom Inc. repaid $13.9 million of debt under the Term Loan Agreement on January 15, 1994, the first scheduled maturity date. The remaining $28.3 million under the Term Loan Agreement matures on January 15, 1995.</w:t>
      </w:r>
    </w:p>
    <w:p>
      <w:pPr>
        <w:spacing w:after="0" w:line="211"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Viacom Inc. may prepay at any time a portion or all of the principal amount outstanding under the Term Loan Agreement. Any such optional prepayments shall be applied to reduce the principal installment due January 1995 and shall include all accrued interest</w:t>
      </w:r>
    </w:p>
    <w:p>
      <w:pPr>
        <w:spacing w:after="0" w:line="379"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II-27</w:t>
      </w:r>
    </w:p>
    <w:p>
      <w:pPr>
        <w:sectPr>
          <w:pgSz w:w="11900" w:h="16838" w:orient="portrait"/>
          <w:cols w:equalWidth="0" w:num="1">
            <w:col w:w="9159"/>
          </w:cols>
          <w:pgMar w:left="1300" w:top="919" w:right="1440" w:bottom="1440" w:gutter="0" w:footer="0" w:header="0"/>
        </w:sectPr>
      </w:pPr>
    </w:p>
    <w:bookmarkStart w:id="77" w:name="page78"/>
    <w:bookmarkEnd w:id="77"/>
    <w:p>
      <w:pPr>
        <w:jc w:val="both"/>
        <w:ind w:right="2099"/>
        <w:spacing w:after="0" w:line="236" w:lineRule="auto"/>
        <w:rPr>
          <w:sz w:val="20"/>
          <w:szCs w:val="20"/>
          <w:color w:val="auto"/>
        </w:rPr>
      </w:pPr>
      <w:r>
        <w:rPr>
          <w:rFonts w:ascii="Courier New" w:cs="Courier New" w:eastAsia="Courier New" w:hAnsi="Courier New"/>
          <w:sz w:val="18"/>
          <w:szCs w:val="18"/>
          <w:color w:val="auto"/>
        </w:rPr>
        <w:t>on the amount of principal prepaid. Viacom Inc. shall be obligated to prepay the loan in the amount of any dividends received from the Company.</w:t>
      </w: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Term Loan Agreement contains certain covenants which impose certain limitations on (i) the incurrence of indebtedness and (ii) payment of cash dividends or the redemption or repurchase of any capital stock of Viacom. The Term Loan Agreement also contains certain customary events of default. The Term Loan Agreement has been amended to allow Viacom Inc. to complete the Paramount Offer and Paramount Merger.</w:t>
      </w:r>
    </w:p>
    <w:p>
      <w:pPr>
        <w:spacing w:after="0" w:line="211" w:lineRule="exact"/>
        <w:rPr>
          <w:sz w:val="20"/>
          <w:szCs w:val="20"/>
          <w:color w:val="auto"/>
        </w:rPr>
      </w:pPr>
    </w:p>
    <w:p>
      <w:pPr>
        <w:ind w:right="2099"/>
        <w:spacing w:after="0" w:line="269" w:lineRule="auto"/>
        <w:rPr>
          <w:sz w:val="20"/>
          <w:szCs w:val="20"/>
          <w:color w:val="auto"/>
        </w:rPr>
      </w:pPr>
      <w:r>
        <w:rPr>
          <w:rFonts w:ascii="Courier New" w:cs="Courier New" w:eastAsia="Courier New" w:hAnsi="Courier New"/>
          <w:sz w:val="16"/>
          <w:szCs w:val="16"/>
          <w:color w:val="auto"/>
        </w:rPr>
        <w:t>The indebtedness under the Credit Agreement, Loan Facility Agreement and Term Loan Agreement bear interest at floating rates, causing the Company to be sensitive to changes in prevailing interest rates. The Company enters into interest rate protection agreements with off-balance sheet risk in order to reduce its exposure to changes in interest rates on its variable rate long-term debt. These interest rate protection agreements include interest rate swaps and interest rate caps. At December 31, 1993, the Company and Viacom Inc. had interest rate protection agreements outstanding with commercial banks, with respect to $1.1 billion of indebtedness under the Credit Agreement and $42.2 million under the Term Loan Agreement. These agreements effectively change the Company's interest exposure under the Credit Agreement to a ceiling of 5.64% on the interest rate caps, and under the Term Loan Agreement to a fixed weighted average rate of 6.65% on interest rate swaps. The interest rate protection agreements are in effect for a fixed period of time. The Company is exposed to credit loss in the event of nonperformance by the counterparties to the agreements. However, the Company does not anticipate nonperformance by the counterparties.</w:t>
      </w:r>
    </w:p>
    <w:p>
      <w:pPr>
        <w:spacing w:after="0" w:line="200" w:lineRule="exact"/>
        <w:rPr>
          <w:sz w:val="20"/>
          <w:szCs w:val="20"/>
          <w:color w:val="auto"/>
        </w:rPr>
      </w:pPr>
    </w:p>
    <w:p>
      <w:pPr>
        <w:spacing w:after="0" w:line="39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Company had commercial paper outstanding of $60.9 million as of December 31, 1993.</w:t>
      </w:r>
    </w:p>
    <w:p>
      <w:pPr>
        <w:spacing w:after="0" w:line="208" w:lineRule="exact"/>
        <w:rPr>
          <w:sz w:val="20"/>
          <w:szCs w:val="20"/>
          <w:color w:val="auto"/>
        </w:rPr>
      </w:pPr>
    </w:p>
    <w:p>
      <w:pPr>
        <w:ind w:right="2739"/>
        <w:spacing w:after="0" w:line="290" w:lineRule="auto"/>
        <w:rPr>
          <w:sz w:val="20"/>
          <w:szCs w:val="20"/>
          <w:color w:val="auto"/>
        </w:rPr>
      </w:pPr>
      <w:r>
        <w:rPr>
          <w:rFonts w:ascii="Courier New" w:cs="Courier New" w:eastAsia="Courier New" w:hAnsi="Courier New"/>
          <w:sz w:val="16"/>
          <w:szCs w:val="16"/>
          <w:color w:val="auto"/>
        </w:rPr>
        <w:t>The Company also has aggregate money market facilities of $40 million, all of which was available at December 31, 1993.</w:t>
      </w:r>
    </w:p>
    <w:p>
      <w:pPr>
        <w:spacing w:after="0" w:line="170" w:lineRule="exact"/>
        <w:rPr>
          <w:sz w:val="20"/>
          <w:szCs w:val="20"/>
          <w:color w:val="auto"/>
        </w:rPr>
      </w:pPr>
    </w:p>
    <w:p>
      <w:pPr>
        <w:ind w:right="2199" w:firstLine="317"/>
        <w:spacing w:after="0" w:line="237" w:lineRule="auto"/>
        <w:tabs>
          <w:tab w:leader="none" w:pos="737"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On July 15, 1993, the Company redeemed all of the $298 million principal amount outstanding of the 11.80% Senior Subordinated Notes ("11.80% Notes") at a redemption price equal to 103.37% of the principal amount plus accrued interest to July 15, 1993. The Company recognized an after-tax extraordinary loss from the early extinguishment of debt of $8.9 million, net of a tax benefit of approximately $6.1 million on the transaction. The Company borrowed the funds necessary for the redemption under its bank credit facilities.</w:t>
      </w:r>
    </w:p>
    <w:p>
      <w:pPr>
        <w:spacing w:after="0" w:line="213" w:lineRule="exact"/>
        <w:rPr>
          <w:rFonts w:ascii="Courier New" w:cs="Courier New" w:eastAsia="Courier New" w:hAnsi="Courier New"/>
          <w:sz w:val="18"/>
          <w:szCs w:val="18"/>
          <w:color w:val="auto"/>
        </w:rPr>
      </w:pPr>
    </w:p>
    <w:p>
      <w:pPr>
        <w:ind w:right="2619" w:firstLine="317"/>
        <w:spacing w:after="0" w:line="279" w:lineRule="auto"/>
        <w:tabs>
          <w:tab w:leader="none" w:pos="737"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On March 4, 1992, the Company issued $150 million aggregate principal amount of 9.125% Senior Subordinated Notes ("9.125% Notes") due August 15, 1999. Interest is payable</w:t>
      </w:r>
    </w:p>
    <w:p>
      <w:pPr>
        <w:spacing w:after="0" w:line="375"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II-28</w:t>
      </w:r>
    </w:p>
    <w:p>
      <w:pPr>
        <w:sectPr>
          <w:pgSz w:w="11900" w:h="16838" w:orient="portrait"/>
          <w:cols w:equalWidth="0" w:num="1">
            <w:col w:w="9159"/>
          </w:cols>
          <w:pgMar w:left="1300" w:top="925" w:right="1440" w:bottom="1440" w:gutter="0" w:footer="0" w:header="0"/>
        </w:sectPr>
      </w:pPr>
    </w:p>
    <w:bookmarkStart w:id="78" w:name="page79"/>
    <w:bookmarkEnd w:id="78"/>
    <w:p>
      <w:pPr>
        <w:ind w:right="2319"/>
        <w:spacing w:after="0" w:line="268" w:lineRule="auto"/>
        <w:rPr>
          <w:sz w:val="20"/>
          <w:szCs w:val="20"/>
          <w:color w:val="auto"/>
        </w:rPr>
      </w:pPr>
      <w:r>
        <w:rPr>
          <w:rFonts w:ascii="Courier New" w:cs="Courier New" w:eastAsia="Courier New" w:hAnsi="Courier New"/>
          <w:sz w:val="16"/>
          <w:szCs w:val="16"/>
          <w:color w:val="auto"/>
        </w:rPr>
        <w:t>semiannually on February 15 and August 15, commencing August 15, 1992. The 9.125% Notes may not be redeemed prior to February 15,</w:t>
      </w:r>
    </w:p>
    <w:p>
      <w:pPr>
        <w:ind w:right="2199"/>
        <w:spacing w:after="0" w:line="237" w:lineRule="auto"/>
        <w:rPr>
          <w:sz w:val="20"/>
          <w:szCs w:val="20"/>
          <w:color w:val="auto"/>
        </w:rPr>
      </w:pPr>
      <w:r>
        <w:rPr>
          <w:rFonts w:ascii="Courier New" w:cs="Courier New" w:eastAsia="Courier New" w:hAnsi="Courier New"/>
          <w:sz w:val="18"/>
          <w:szCs w:val="18"/>
          <w:color w:val="auto"/>
        </w:rPr>
        <w:t>1997. They are redeemable at the option of the Company, in whole or in part, during the 12 month period beginning February 15, 1997 at a redemption price of 102.607% of the principal amount, during the 12 month period beginning February 15, 1998 at 101.304% of the principal amount, and on or after February 15, 1999 at 100% of the principal amount. Any such redemption will include accrued interest to the redemption date. The 9.125% Notes are not subject to any sinking fund requirements.</w:t>
      </w:r>
    </w:p>
    <w:p>
      <w:pPr>
        <w:spacing w:after="0" w:line="212" w:lineRule="exact"/>
        <w:rPr>
          <w:sz w:val="20"/>
          <w:szCs w:val="20"/>
          <w:color w:val="auto"/>
        </w:rPr>
      </w:pPr>
    </w:p>
    <w:p>
      <w:pPr>
        <w:ind w:right="2099" w:firstLine="317"/>
        <w:spacing w:after="0" w:line="269" w:lineRule="auto"/>
        <w:tabs>
          <w:tab w:leader="none" w:pos="737"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On May 28, 1992, the Company issued $100 million aggregate principal amount of 8.75% Senior Subordinated Reset Notes ("8.75% Reset Notes") due on May 15, 2001. Interest is payable semiannually on May 15 and November 15, commencing November 15, 1992. On May 15, 1995 and May 15, 1998, unless a notice of redemption of the 8.75% Reset Notes on such date has been given by the Company, the interest rate on the 8.75% Reset Notes will, if necessary, be adjusted from the rate then in effect to a rate to be determined on the basis of market rates in effect on May 5, 1995 and on May 5, 1998, respectively, as the rate the 8.75% Reset Notes should bear in order to have a market value of 101% of principal amount immediately after the resetting of the rate. In no event will the interest rate be lower than 8.75% or higher than the average three year treasury rate (as defined in the indenture) multiplied by two. The interest rate reset on May 15, 1995 will remain in effect on the 8.75% Reset Notes through and including May 15, 1998 and the interest rate reset on May 15, 1998 will remain in effect on the 8.75% Reset Notes thereafter. The 8.75% Reset Notes are redeemable at the option of the Company, in whole but not in part, on May 15, 1995 or May 15, 1998, at a redemption price of 101% of principal amount plus accrued interest to, but not including, the date of redemption. The 8.75% Reset Notes are not subject to any sinking fund requirements.</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2199" w:firstLine="317"/>
        <w:spacing w:after="0" w:line="272" w:lineRule="auto"/>
        <w:tabs>
          <w:tab w:leader="none" w:pos="737"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On September 15, 1991, the Company issued $200 million aggregate principal amount of 10.25% Senior Subordinated Notes ("10.25% Notes") due September 15, 2001. Interest is payable semiannually on March 15 and September 15, commencing March 15, 1992. The 10.25% Notes are not redeemable by the Company prior to maturity and are not subject to any sinking fund requirements.</w:t>
      </w:r>
    </w:p>
    <w:p>
      <w:pPr>
        <w:spacing w:after="0" w:line="185" w:lineRule="exact"/>
        <w:rPr>
          <w:rFonts w:ascii="Courier New" w:cs="Courier New" w:eastAsia="Courier New" w:hAnsi="Courier New"/>
          <w:sz w:val="16"/>
          <w:szCs w:val="16"/>
          <w:color w:val="auto"/>
        </w:rPr>
      </w:pPr>
    </w:p>
    <w:p>
      <w:pPr>
        <w:ind w:right="2319" w:firstLine="317"/>
        <w:spacing w:after="0" w:line="237" w:lineRule="auto"/>
        <w:tabs>
          <w:tab w:leader="none" w:pos="737"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On December 31, 1993, there were 53,449,325 outstanding shares of Viacom Class A Common Stock (100,000,000 shares authorized) and 67,347,131 outstanding shares of Viacom Class B Common Stock (150,000,000 shares authorized).</w:t>
      </w:r>
    </w:p>
    <w:p>
      <w:pPr>
        <w:spacing w:after="0" w:line="207"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On October 22, 1993, Blockbuster purchased 24 million shares of cumulative convertible preferred stock, par value $.01 per share, of Viacom Inc. ("Series A Preferred Stock") for $600 million. On November 19, 1993, NYNEX Corporation ("NYNEX") purchased 24 million shares of cumulative convertible preferred stock, par value $.01</w:t>
      </w:r>
    </w:p>
    <w:p>
      <w:pPr>
        <w:spacing w:after="0" w:line="382"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II-29</w:t>
      </w:r>
    </w:p>
    <w:p>
      <w:pPr>
        <w:sectPr>
          <w:pgSz w:w="11900" w:h="16838" w:orient="portrait"/>
          <w:cols w:equalWidth="0" w:num="1">
            <w:col w:w="9159"/>
          </w:cols>
          <w:pgMar w:left="1300" w:top="925" w:right="1440" w:bottom="1440" w:gutter="0" w:footer="0" w:header="0"/>
        </w:sectPr>
      </w:pPr>
    </w:p>
    <w:bookmarkStart w:id="79" w:name="page80"/>
    <w:bookmarkEnd w:id="79"/>
    <w:p>
      <w:pPr>
        <w:ind w:right="2099"/>
        <w:spacing w:after="0" w:line="270" w:lineRule="auto"/>
        <w:rPr>
          <w:sz w:val="20"/>
          <w:szCs w:val="20"/>
          <w:color w:val="auto"/>
        </w:rPr>
      </w:pPr>
      <w:r>
        <w:rPr>
          <w:rFonts w:ascii="Courier New" w:cs="Courier New" w:eastAsia="Courier New" w:hAnsi="Courier New"/>
          <w:sz w:val="16"/>
          <w:szCs w:val="16"/>
          <w:color w:val="auto"/>
        </w:rPr>
        <w:t>per share, of Viacom Inc. ("Series B Preferred Stock," collectively with the Series A Preferred Stock, "Preferred Stock") for $1.2 billion. Series A Preferred Stock and Series B Preferred Stock have liquidation preferences of $25 per share and $50 per share, respectively. The Preferred Stock has an annual dividend rate of 5%, is convertible into shares of Viacom Class B Common Stock at a conversion price of $70 and does not have voting rights other than those required by law. The Preferred Stock is redeemable by Viacom Inc. at declining premiums after five years. The Preferred Stock purchased by Blockbuster will be canceled upon consummation of the Blockbuster Merger. Both NYNEX and Blockbuster may, under certain limited circumstances, require Viacom Inc. to repurchase their respective preferred shares, but such right does not inure to the benefit of subsequent holders of such preferred shares.</w:t>
      </w:r>
    </w:p>
    <w:p>
      <w:pPr>
        <w:spacing w:after="0" w:line="388" w:lineRule="exact"/>
        <w:rPr>
          <w:sz w:val="20"/>
          <w:szCs w:val="20"/>
          <w:color w:val="auto"/>
        </w:rPr>
      </w:pPr>
    </w:p>
    <w:p>
      <w:pPr>
        <w:ind w:right="2319"/>
        <w:spacing w:after="0" w:line="270" w:lineRule="auto"/>
        <w:rPr>
          <w:sz w:val="20"/>
          <w:szCs w:val="20"/>
          <w:color w:val="auto"/>
        </w:rPr>
      </w:pPr>
      <w:r>
        <w:rPr>
          <w:rFonts w:ascii="Courier New" w:cs="Courier New" w:eastAsia="Courier New" w:hAnsi="Courier New"/>
          <w:sz w:val="16"/>
          <w:szCs w:val="16"/>
          <w:color w:val="auto"/>
        </w:rPr>
        <w:t>NAI holds approximately 76.3% and the public holds approximately 23.7% of outstanding Viacom Inc. Common Stock as of December 31, 1993. NAI's percentage of ownership consists of 85.2% of the outstanding Viacom Class A Common Stock and 69.1% of the outstanding Viacom Class B Common Stock, as of December 31, 1993. Pursuant to a purchase program initiated in August 1987, NAI announced its intention to buy, from time to time, up to an additional 3,000,000 shares of Viacom Class A Common Stock and 2,423,700 shares of Viacom Class B Common Stock. As of December 31, 1993, NAI had acquired an aggregate of 3,374,300 shares of Common Stock, consisting of 1,466,200 shares of Viacom Class A Common Stock and 1,908,100 shares of Viacom Class B Common Stock, pursuant to this buying program. On August 20, 1993, NAI ceased making purchases of Common Stock.</w:t>
      </w:r>
    </w:p>
    <w:p>
      <w:pPr>
        <w:spacing w:after="0" w:line="382"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_____________________</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Company and Viacom Inc. filed a shelf registration statement with the Securities and Exchange Commission ("SEC") registering $800 million of debt securities (or, if such debt securities are issued at an original issue discount, such greater principal amount as shall result in an aggregate offering price equal to $800 million) guaranteed by Viacom Inc. The registration statement was declared effective by the SEC on March 11, 1993. Some or all of the debt securities may be issued by the Company in one or more offerings.</w:t>
      </w:r>
    </w:p>
    <w:p>
      <w:pPr>
        <w:spacing w:after="0" w:line="214"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During April 1993, the Company and Viacom Inc. terminated the prior shelf registration statement, under which an aggregate of $300 million principal amount of additional debt securities remained available.</w:t>
      </w:r>
    </w:p>
    <w:p>
      <w:pPr>
        <w:spacing w:after="0" w:line="207" w:lineRule="exact"/>
        <w:rPr>
          <w:sz w:val="20"/>
          <w:szCs w:val="20"/>
          <w:color w:val="auto"/>
        </w:rPr>
      </w:pPr>
    </w:p>
    <w:p>
      <w:pPr>
        <w:ind w:right="2319"/>
        <w:spacing w:after="0" w:line="273" w:lineRule="auto"/>
        <w:rPr>
          <w:sz w:val="20"/>
          <w:szCs w:val="20"/>
          <w:color w:val="auto"/>
        </w:rPr>
      </w:pPr>
      <w:r>
        <w:rPr>
          <w:rFonts w:ascii="Courier New" w:cs="Courier New" w:eastAsia="Courier New" w:hAnsi="Courier New"/>
          <w:sz w:val="16"/>
          <w:szCs w:val="16"/>
          <w:color w:val="auto"/>
        </w:rPr>
        <w:t>NAI, Sumner M. Redstone and the Company each have purchased on the open market and may in the future continue to purchase on the open market or in privately negotiated transactions certain debt securities of the Company. During 1993, there were no purchases of debt securities made by NAI, Sumner M. Redstone or the</w:t>
      </w:r>
    </w:p>
    <w:p>
      <w:pPr>
        <w:spacing w:after="0" w:line="382"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II-30</w:t>
      </w:r>
    </w:p>
    <w:p>
      <w:pPr>
        <w:sectPr>
          <w:pgSz w:w="11900" w:h="16838" w:orient="portrait"/>
          <w:cols w:equalWidth="0" w:num="1">
            <w:col w:w="9159"/>
          </w:cols>
          <w:pgMar w:left="1300" w:top="925" w:right="1440" w:bottom="1440" w:gutter="0" w:footer="0" w:header="0"/>
        </w:sectPr>
      </w:pPr>
    </w:p>
    <w:bookmarkStart w:id="80" w:name="page81"/>
    <w:bookmarkEnd w:id="80"/>
    <w:p>
      <w:pPr>
        <w:ind w:right="2419"/>
        <w:spacing w:after="0" w:line="268" w:lineRule="auto"/>
        <w:rPr>
          <w:sz w:val="20"/>
          <w:szCs w:val="20"/>
          <w:color w:val="auto"/>
        </w:rPr>
      </w:pPr>
      <w:r>
        <w:rPr>
          <w:rFonts w:ascii="Courier New" w:cs="Courier New" w:eastAsia="Courier New" w:hAnsi="Courier New"/>
          <w:sz w:val="16"/>
          <w:szCs w:val="16"/>
          <w:color w:val="auto"/>
        </w:rPr>
        <w:t>Company. During 1992, Sumner M. Redstone purchased directly or beneficially $350,000, $605,000, $15,000 and $200,000 of 11.50% Senior Subordinated Extendible Reset Notes, 9.125% Senior Subordinated Notes, 10.25% Senior Subordinated Notes and 8.75% Senior Subordinated Reset Notes, respectively. During 1991, NAI and Sumner M. Redstone purchased $3,110,000 and $869,000 of</w:t>
      </w:r>
    </w:p>
    <w:p>
      <w:pPr>
        <w:spacing w:after="0" w:line="1" w:lineRule="exact"/>
        <w:rPr>
          <w:sz w:val="20"/>
          <w:szCs w:val="20"/>
          <w:color w:val="auto"/>
        </w:rPr>
      </w:pPr>
    </w:p>
    <w:p>
      <w:pPr>
        <w:ind w:right="2319"/>
        <w:spacing w:after="0" w:line="273" w:lineRule="auto"/>
        <w:rPr>
          <w:sz w:val="20"/>
          <w:szCs w:val="20"/>
          <w:color w:val="auto"/>
        </w:rPr>
      </w:pPr>
      <w:r>
        <w:rPr>
          <w:rFonts w:ascii="Courier New" w:cs="Courier New" w:eastAsia="Courier New" w:hAnsi="Courier New"/>
          <w:sz w:val="16"/>
          <w:szCs w:val="16"/>
          <w:color w:val="auto"/>
        </w:rPr>
        <w:t>11.80% Senior Subordinated Notes, respectively. During 1991, NAI purchased $311,000 of the 11.50% Senior Subordinated Extendible Reset Notes. During December 1991, the Company purchased $43 million of Discount Debentures at an average price of 107.375% of their principal amount plus accrued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II-31</w:t>
      </w:r>
    </w:p>
    <w:p>
      <w:pPr>
        <w:sectPr>
          <w:pgSz w:w="11900" w:h="16838" w:orient="portrait"/>
          <w:cols w:equalWidth="0" w:num="1">
            <w:col w:w="9159"/>
          </w:cols>
          <w:pgMar w:left="1300" w:top="925" w:right="1440"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8"/>
          <w:szCs w:val="18"/>
          <w:color w:val="auto"/>
        </w:rPr>
        <w:t>ITEM 8. FINANCIAL STATEMENTS AND SUPPLEMENTARY DATA.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 OF INDEPENDENT ACCOUNTANTS</w:t>
      </w:r>
    </w:p>
    <w:p>
      <w:pPr>
        <w:spacing w:after="0" w:line="238" w:lineRule="auto"/>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Boards of Directors and</w:t>
      </w:r>
    </w:p>
    <w:p>
      <w:pPr>
        <w:spacing w:after="0" w:line="238" w:lineRule="auto"/>
        <w:rPr>
          <w:sz w:val="20"/>
          <w:szCs w:val="20"/>
          <w:color w:val="auto"/>
        </w:rPr>
      </w:pPr>
      <w:r>
        <w:rPr>
          <w:rFonts w:ascii="Courier New" w:cs="Courier New" w:eastAsia="Courier New" w:hAnsi="Courier New"/>
          <w:sz w:val="18"/>
          <w:szCs w:val="18"/>
          <w:color w:val="auto"/>
        </w:rPr>
        <w:t>Shareholders of Viacom Inc. and</w:t>
      </w:r>
    </w:p>
    <w:p>
      <w:pPr>
        <w:spacing w:after="0"/>
        <w:rPr>
          <w:sz w:val="20"/>
          <w:szCs w:val="20"/>
          <w:color w:val="auto"/>
        </w:rPr>
      </w:pPr>
      <w:r>
        <w:rPr>
          <w:rFonts w:ascii="Courier New" w:cs="Courier New" w:eastAsia="Courier New" w:hAnsi="Courier New"/>
          <w:sz w:val="18"/>
          <w:szCs w:val="18"/>
          <w:color w:val="auto"/>
        </w:rPr>
        <w:t>Viacom International Inc.</w:t>
      </w:r>
    </w:p>
    <w:p>
      <w:pPr>
        <w:spacing w:after="0" w:line="200" w:lineRule="exact"/>
        <w:rPr>
          <w:sz w:val="20"/>
          <w:szCs w:val="20"/>
          <w:color w:val="auto"/>
        </w:rPr>
      </w:pP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In our opinion, the accompanying consolidated balance sheets and the related consolidated statements of operations, of cash flows and of shareholders' equity present fairly, in all material respects, the financial position of Viacom Inc. and its subsidiaries and of Viacom International Inc., a wholly-owned subsidiary of Viacom Inc., and its subsidiaries, at December 31, 1993 and 1992, and the results of their operations and their cash flows for each of the three years in the period ended December 31, 1993, in conformity with generally accepted accounting principles. These financial statements are the responsibility of the management of Viacom Inc. and Viacom International Inc.;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210"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As discussed in Note 7 to the financial statements, Viacom Inc. and Viacom International Inc. adopted Statement of Financial Accounting Standards No. 109, "Accounting For Income Taxes" in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 WATERHOUSE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1177 Avenue of the Americas</w:t>
      </w:r>
    </w:p>
    <w:p>
      <w:pPr>
        <w:spacing w:after="0"/>
        <w:tabs>
          <w:tab w:leader="none" w:pos="22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10036</w:t>
      </w:r>
    </w:p>
    <w:p>
      <w:pPr>
        <w:spacing w:after="0"/>
        <w:rPr>
          <w:sz w:val="20"/>
          <w:szCs w:val="20"/>
          <w:color w:val="auto"/>
        </w:rPr>
      </w:pPr>
      <w:r>
        <w:rPr>
          <w:rFonts w:ascii="Courier New" w:cs="Courier New" w:eastAsia="Courier New" w:hAnsi="Courier New"/>
          <w:sz w:val="18"/>
          <w:szCs w:val="18"/>
          <w:color w:val="auto"/>
        </w:rPr>
        <w:t>February 4, 1994, except as to Note 2, which is as of March 11, 1994</w:t>
      </w:r>
    </w:p>
    <w:p>
      <w:pPr>
        <w:spacing w:after="0" w:line="200" w:lineRule="exact"/>
        <w:rPr>
          <w:sz w:val="20"/>
          <w:szCs w:val="20"/>
          <w:color w:val="auto"/>
        </w:r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II-32</w:t>
      </w:r>
    </w:p>
    <w:p>
      <w:pPr>
        <w:sectPr>
          <w:pgSz w:w="11900" w:h="16838" w:orient="portrait"/>
          <w:cols w:equalWidth="0" w:num="1">
            <w:col w:w="10219"/>
          </w:cols>
          <w:pgMar w:left="240" w:top="717"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8"/>
          <w:szCs w:val="18"/>
          <w:color w:val="auto"/>
        </w:rPr>
        <w:t>MANAGEMENT'S STATEMENT OF RESPONSIBILITY FOR FINANCIAL REPORTING</w:t>
      </w:r>
    </w:p>
    <w:p>
      <w:pPr>
        <w:spacing w:after="0" w:line="238" w:lineRule="auto"/>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Management has prepared and is responsible for the consolidated financial statements and related notes of Viacom Inc. They have been prepared in accordance with generally accepted accounting principles and necessarily include amounts based on judgments and estimates by management. All financial information in this annual report is consistent with the consolidated financial statements.</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maintains internal accounting control systems and related policies and procedures designed to provide reasonable assurance that assets are safeguarded, that transactions are executed in accordance with management's authorization and properly recorded, and that accounting records may be relied upon for the preparation of consolidated financial statements and other financial information. The design, monitoring, and revision of internal accounting control systems involve, among other things, management's judgment with respect to the relative cost and expected benefits of specific control measures. The Company also maintains an internal auditing function which evaluates and reports on the adequacy and effectiveness of internal accounting controls, policies and procedures.</w:t>
      </w:r>
    </w:p>
    <w:p>
      <w:pPr>
        <w:spacing w:after="0" w:line="216"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Viacom Inc.'s consolidated financial statements have been audited by Price Waterhouse, independent public accountants, who have expressed their opinion with respect to the presentation of these statements.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Audit Committee of the Board of Directors, which is comprised solely of directors who are not employees of the Company, meets periodically with the independent accountants, with our internal auditors, as well as with management, to review accounting, auditing, internal accounting controls and financial reporting matters. The Audit Committee is also responsible for recommending to the Board of Directors the independent accounting firm to be retained for the coming year, subject to stockholder approval. The independent accountants and the internal auditors have full and free access to the Audit Committee with and without management's presence.</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VIACOM INC.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/s/Frank J. Biondi, Jr.</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Frank J. Biondi, Jr.</w:t>
      </w:r>
    </w:p>
    <w:p>
      <w:pPr>
        <w:ind w:left="4220"/>
        <w:spacing w:after="0" w:line="237" w:lineRule="auto"/>
        <w:rPr>
          <w:sz w:val="20"/>
          <w:szCs w:val="20"/>
          <w:color w:val="auto"/>
        </w:rPr>
      </w:pPr>
      <w:r>
        <w:rPr>
          <w:rFonts w:ascii="Courier New" w:cs="Courier New" w:eastAsia="Courier New" w:hAnsi="Courier New"/>
          <w:sz w:val="18"/>
          <w:szCs w:val="18"/>
          <w:color w:val="auto"/>
        </w:rPr>
        <w:t>President, Chief Executive Officer</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/s/George S. Smith, Jr.</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George S. Smith, Jr.</w:t>
      </w:r>
    </w:p>
    <w:p>
      <w:pPr>
        <w:ind w:left="4220"/>
        <w:spacing w:after="0" w:line="237" w:lineRule="auto"/>
        <w:rPr>
          <w:sz w:val="20"/>
          <w:szCs w:val="20"/>
          <w:color w:val="auto"/>
        </w:rPr>
      </w:pPr>
      <w:r>
        <w:rPr>
          <w:rFonts w:ascii="Courier New" w:cs="Courier New" w:eastAsia="Courier New" w:hAnsi="Courier New"/>
          <w:sz w:val="18"/>
          <w:szCs w:val="18"/>
          <w:color w:val="auto"/>
        </w:rPr>
        <w:t>Senior Vice President,</w:t>
      </w:r>
    </w:p>
    <w:p>
      <w:pPr>
        <w:ind w:left="422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/s/Kevin C. Lavan</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Kevin C. Lavan</w:t>
      </w:r>
    </w:p>
    <w:p>
      <w:pPr>
        <w:ind w:left="4220"/>
        <w:spacing w:after="0" w:line="237" w:lineRule="auto"/>
        <w:rPr>
          <w:sz w:val="20"/>
          <w:szCs w:val="20"/>
          <w:color w:val="auto"/>
        </w:rPr>
      </w:pPr>
      <w:r>
        <w:rPr>
          <w:rFonts w:ascii="Courier New" w:cs="Courier New" w:eastAsia="Courier New" w:hAnsi="Courier New"/>
          <w:sz w:val="18"/>
          <w:szCs w:val="18"/>
          <w:color w:val="auto"/>
        </w:rPr>
        <w:t>Vice President, Controller</w:t>
      </w:r>
    </w:p>
    <w:p>
      <w:pPr>
        <w:ind w:left="4220"/>
        <w:spacing w:after="0" w:line="238" w:lineRule="auto"/>
        <w:rPr>
          <w:sz w:val="20"/>
          <w:szCs w:val="20"/>
          <w:color w:val="auto"/>
        </w:rPr>
      </w:pPr>
      <w:r>
        <w:rPr>
          <w:rFonts w:ascii="Courier New" w:cs="Courier New" w:eastAsia="Courier New" w:hAnsi="Courier New"/>
          <w:sz w:val="18"/>
          <w:szCs w:val="18"/>
          <w:color w:val="auto"/>
        </w:rPr>
        <w:t>and Chief Accounting Officer</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II-33</w:t>
      </w:r>
    </w:p>
    <w:p>
      <w:pPr>
        <w:sectPr>
          <w:pgSz w:w="11900" w:h="16838" w:orient="portrait"/>
          <w:cols w:equalWidth="0" w:num="1">
            <w:col w:w="10219"/>
          </w:cols>
          <w:pgMar w:left="240" w:top="717" w:right="1440" w:bottom="1440" w:gutter="0" w:footer="0" w:header="0"/>
        </w:sectPr>
      </w:pPr>
    </w:p>
    <w:bookmarkStart w:id="83" w:name="page84"/>
    <w:bookmarkEnd w:id="83"/>
    <w:p>
      <w:pPr>
        <w:jc w:val="center"/>
        <w:ind w:right="3359"/>
        <w:spacing w:after="0"/>
        <w:rPr>
          <w:sz w:val="20"/>
          <w:szCs w:val="20"/>
          <w:color w:val="auto"/>
        </w:rPr>
      </w:pPr>
      <w:r>
        <w:rPr>
          <w:rFonts w:ascii="Courier New" w:cs="Courier New" w:eastAsia="Courier New" w:hAnsi="Courier New"/>
          <w:sz w:val="18"/>
          <w:szCs w:val="18"/>
          <w:color w:val="auto"/>
        </w:rPr>
        <w:t>VIACOM INC. AND</w:t>
      </w:r>
    </w:p>
    <w:p>
      <w:pPr>
        <w:ind w:left="1280"/>
        <w:spacing w:after="0" w:line="238" w:lineRule="auto"/>
        <w:rPr>
          <w:sz w:val="20"/>
          <w:szCs w:val="20"/>
          <w:color w:val="auto"/>
        </w:rPr>
      </w:pPr>
      <w:r>
        <w:rPr>
          <w:rFonts w:ascii="Courier New" w:cs="Courier New" w:eastAsia="Courier New" w:hAnsi="Courier New"/>
          <w:sz w:val="18"/>
          <w:szCs w:val="18"/>
          <w:color w:val="auto"/>
        </w:rPr>
        <w:t>VIACOM INTERNATIONAL INC. AND SUBSIDIARIES</w:t>
      </w:r>
    </w:p>
    <w:p>
      <w:pPr>
        <w:ind w:left="1480"/>
        <w:spacing w:after="0"/>
        <w:rPr>
          <w:sz w:val="20"/>
          <w:szCs w:val="20"/>
          <w:color w:val="auto"/>
        </w:rPr>
      </w:pPr>
      <w:r>
        <w:rPr>
          <w:rFonts w:ascii="Courier New" w:cs="Courier New" w:eastAsia="Courier New" w:hAnsi="Courier New"/>
          <w:sz w:val="18"/>
          <w:szCs w:val="18"/>
          <w:color w:val="auto"/>
        </w:rPr>
        <w:t>CONSOLIDATED STATEMENTS OF OPERATIONS</w:t>
      </w:r>
    </w:p>
    <w:p>
      <w:pPr>
        <w:ind w:left="1480"/>
        <w:spacing w:after="0" w:line="237"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6540" w:type="dxa"/>
            <w:vAlign w:val="bottom"/>
            <w:gridSpan w:val="5"/>
          </w:tcPr>
          <w:p>
            <w:pPr>
              <w:ind w:left="960"/>
              <w:spacing w:after="0" w:line="203" w:lineRule="exact"/>
              <w:rPr>
                <w:sz w:val="20"/>
                <w:szCs w:val="20"/>
                <w:color w:val="auto"/>
              </w:rPr>
            </w:pPr>
            <w:r>
              <w:rPr>
                <w:rFonts w:ascii="Courier New" w:cs="Courier New" w:eastAsia="Courier New" w:hAnsi="Courier New"/>
                <w:sz w:val="18"/>
                <w:szCs w:val="18"/>
                <w:color w:val="auto"/>
              </w:rPr>
              <w:t>(Thousands of dollars, except per share amounts)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608"/>
        </w:trPr>
        <w:tc>
          <w:tcPr>
            <w:tcW w:w="4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80" w:type="dxa"/>
            <w:vAlign w:val="bottom"/>
            <w:gridSpan w:val="5"/>
          </w:tcPr>
          <w:p>
            <w:pPr>
              <w:jc w:val="right"/>
              <w:ind w:right="552"/>
              <w:spacing w:after="0"/>
              <w:rPr>
                <w:sz w:val="20"/>
                <w:szCs w:val="20"/>
                <w:color w:val="auto"/>
              </w:rPr>
            </w:pPr>
            <w:r>
              <w:rPr>
                <w:rFonts w:ascii="Courier New" w:cs="Courier New" w:eastAsia="Courier New" w:hAnsi="Courier New"/>
                <w:sz w:val="18"/>
                <w:szCs w:val="18"/>
                <w:color w:val="auto"/>
              </w:rPr>
              <w:t>Year Ended December 31,</w:t>
            </w:r>
          </w:p>
        </w:tc>
      </w:tr>
      <w:tr>
        <w:trPr>
          <w:trHeight w:val="203"/>
        </w:trPr>
        <w:tc>
          <w:tcPr>
            <w:tcW w:w="4060" w:type="dxa"/>
            <w:vAlign w:val="bottom"/>
          </w:tcPr>
          <w:p>
            <w:pPr>
              <w:spacing w:after="0"/>
              <w:rPr>
                <w:sz w:val="17"/>
                <w:szCs w:val="17"/>
                <w:color w:val="auto"/>
              </w:rPr>
            </w:pPr>
          </w:p>
        </w:tc>
        <w:tc>
          <w:tcPr>
            <w:tcW w:w="3640" w:type="dxa"/>
            <w:vAlign w:val="bottom"/>
            <w:gridSpan w:val="6"/>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1993</w:t>
            </w:r>
          </w:p>
        </w:tc>
        <w:tc>
          <w:tcPr>
            <w:tcW w:w="28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1992</w:t>
            </w:r>
          </w:p>
        </w:tc>
        <w:tc>
          <w:tcPr>
            <w:tcW w:w="20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1991</w:t>
            </w:r>
          </w:p>
        </w:tc>
      </w:tr>
      <w:tr>
        <w:trPr>
          <w:trHeight w:val="203"/>
        </w:trPr>
        <w:tc>
          <w:tcPr>
            <w:tcW w:w="4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2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9"/>
              </w:rPr>
              <w:t>$2,004,949</w:t>
            </w:r>
          </w:p>
        </w:tc>
        <w:tc>
          <w:tcPr>
            <w:tcW w:w="12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$1,864,683</w:t>
            </w:r>
          </w:p>
        </w:tc>
        <w:tc>
          <w:tcPr>
            <w:tcW w:w="11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6"/>
              </w:rPr>
              <w:t>$1,711,562</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w:t>
            </w:r>
          </w:p>
        </w:tc>
        <w:tc>
          <w:tcPr>
            <w:tcW w:w="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877,609</w:t>
            </w:r>
          </w:p>
        </w:tc>
        <w:tc>
          <w:tcPr>
            <w:tcW w:w="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853,977</w:t>
            </w: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790,816</w:t>
            </w: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589,288</w:t>
            </w:r>
          </w:p>
        </w:tc>
        <w:tc>
          <w:tcPr>
            <w:tcW w:w="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517,977</w:t>
            </w: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475,648</w:t>
            </w: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153,057</w:t>
            </w:r>
          </w:p>
        </w:tc>
        <w:tc>
          <w:tcPr>
            <w:tcW w:w="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144,802</w:t>
            </w: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132,864</w:t>
            </w:r>
          </w:p>
        </w:tc>
      </w:tr>
      <w:tr>
        <w:trPr>
          <w:trHeight w:val="203"/>
        </w:trPr>
        <w:tc>
          <w:tcPr>
            <w:tcW w:w="40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expenses</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1,619,954</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1,516,756</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1,399,328</w:t>
            </w:r>
          </w:p>
        </w:tc>
      </w:tr>
      <w:tr>
        <w:trPr>
          <w:trHeight w:val="203"/>
        </w:trPr>
        <w:tc>
          <w:tcPr>
            <w:tcW w:w="40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from operations</w:t>
            </w:r>
          </w:p>
        </w:tc>
        <w:tc>
          <w:tcPr>
            <w:tcW w:w="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384,995</w:t>
            </w:r>
          </w:p>
        </w:tc>
        <w:tc>
          <w:tcPr>
            <w:tcW w:w="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347,927</w:t>
            </w: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312,234</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 net</w:t>
            </w:r>
          </w:p>
        </w:tc>
        <w:tc>
          <w:tcPr>
            <w:tcW w:w="2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(144,953)</w:t>
            </w:r>
          </w:p>
        </w:tc>
        <w:tc>
          <w:tcPr>
            <w:tcW w:w="2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(194,104)</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(297,451)</w:t>
            </w:r>
          </w:p>
        </w:tc>
      </w:tr>
      <w:tr>
        <w:trPr>
          <w:trHeight w:val="405"/>
        </w:trPr>
        <w:tc>
          <w:tcPr>
            <w:tcW w:w="4060" w:type="dxa"/>
            <w:vAlign w:val="bottom"/>
          </w:tcPr>
          <w:p>
            <w:pPr>
              <w:ind w:left="220"/>
              <w:spacing w:after="0"/>
              <w:rPr>
                <w:sz w:val="20"/>
                <w:szCs w:val="20"/>
                <w:color w:val="auto"/>
              </w:rPr>
            </w:pPr>
            <w:r>
              <w:rPr>
                <w:rFonts w:ascii="Courier New" w:cs="Courier New" w:eastAsia="Courier New" w:hAnsi="Courier New"/>
                <w:sz w:val="18"/>
                <w:szCs w:val="18"/>
                <w:color w:val="auto"/>
              </w:rPr>
              <w:t>Other items, net (See Note 14)</w:t>
            </w: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61,774</w:t>
            </w:r>
          </w:p>
        </w:tc>
        <w:tc>
          <w:tcPr>
            <w:tcW w:w="28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1,756</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(6,536)</w:t>
            </w:r>
          </w:p>
        </w:tc>
      </w:tr>
      <w:tr>
        <w:trPr>
          <w:trHeight w:val="203"/>
        </w:trPr>
        <w:tc>
          <w:tcPr>
            <w:tcW w:w="40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before income taxes</w:t>
            </w:r>
          </w:p>
        </w:tc>
        <w:tc>
          <w:tcPr>
            <w:tcW w:w="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301,816</w:t>
            </w:r>
          </w:p>
        </w:tc>
        <w:tc>
          <w:tcPr>
            <w:tcW w:w="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155,579</w:t>
            </w: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8,247</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129,815</w:t>
            </w:r>
          </w:p>
        </w:tc>
        <w:tc>
          <w:tcPr>
            <w:tcW w:w="28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84,848</w:t>
            </w:r>
          </w:p>
        </w:tc>
        <w:tc>
          <w:tcPr>
            <w:tcW w:w="20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42,060</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 in loss of affiliated</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companies, net of tax</w:t>
            </w:r>
          </w:p>
        </w:tc>
        <w:tc>
          <w:tcPr>
            <w:tcW w:w="2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(2,520)</w:t>
            </w:r>
          </w:p>
        </w:tc>
        <w:tc>
          <w:tcPr>
            <w:tcW w:w="2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(4,646)</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(12,743)</w:t>
            </w:r>
          </w:p>
        </w:tc>
      </w:tr>
      <w:tr>
        <w:trPr>
          <w:trHeight w:val="203"/>
        </w:trPr>
        <w:tc>
          <w:tcPr>
            <w:tcW w:w="40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Earnings (loss) before extraordinary</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losses and cumulative effect of</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 in accounting principle</w:t>
            </w:r>
          </w:p>
        </w:tc>
        <w:tc>
          <w:tcPr>
            <w:tcW w:w="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169,481</w:t>
            </w:r>
          </w:p>
        </w:tc>
        <w:tc>
          <w:tcPr>
            <w:tcW w:w="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66,085</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(46,556)</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Extraordinary losses, net of tax (See</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 4)</w:t>
            </w:r>
          </w:p>
        </w:tc>
        <w:tc>
          <w:tcPr>
            <w:tcW w:w="2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(8,867)</w:t>
            </w:r>
          </w:p>
        </w:tc>
        <w:tc>
          <w:tcPr>
            <w:tcW w:w="2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(17,120)</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(3,101)</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Cumulative effect of change in</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accounting principle</w:t>
            </w:r>
          </w:p>
        </w:tc>
        <w:tc>
          <w:tcPr>
            <w:tcW w:w="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10,338</w:t>
            </w:r>
          </w:p>
        </w:tc>
        <w:tc>
          <w:tcPr>
            <w:tcW w:w="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Net earnings (loss)</w:t>
            </w: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170,952</w:t>
            </w:r>
          </w:p>
        </w:tc>
        <w:tc>
          <w:tcPr>
            <w:tcW w:w="28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48,965</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(49,657)</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w w:val="98"/>
              </w:rPr>
              <w:t>Cumulative convertible preferred stock</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 requirement of Viacom Inc.</w:t>
            </w:r>
          </w:p>
        </w:tc>
        <w:tc>
          <w:tcPr>
            <w:tcW w:w="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12,750</w:t>
            </w:r>
          </w:p>
        </w:tc>
        <w:tc>
          <w:tcPr>
            <w:tcW w:w="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Net earnings (loss) attributable to</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$ 158,202</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48,965</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(49,657)</w:t>
            </w:r>
          </w:p>
        </w:tc>
      </w:tr>
      <w:tr>
        <w:trPr>
          <w:trHeight w:val="203"/>
        </w:trPr>
        <w:tc>
          <w:tcPr>
            <w:tcW w:w="40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Weighted average number of common</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w:t>
            </w:r>
          </w:p>
        </w:tc>
        <w:tc>
          <w:tcPr>
            <w:tcW w:w="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120,607</w:t>
            </w:r>
          </w:p>
        </w:tc>
        <w:tc>
          <w:tcPr>
            <w:tcW w:w="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120,235</w:t>
            </w: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113,789</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Net earnings (loss) per common share:</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Earnings (loss) before extraordinary</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losses and cumulative effect of</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change in accounting principle</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1.30</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Extraordinary losses</w:t>
            </w:r>
          </w:p>
        </w:tc>
        <w:tc>
          <w:tcPr>
            <w:tcW w:w="2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(.07)</w:t>
            </w:r>
          </w:p>
        </w:tc>
        <w:tc>
          <w:tcPr>
            <w:tcW w:w="2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Cumulative effect of change in</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accounting principle</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.08</w:t>
            </w:r>
          </w:p>
        </w:tc>
        <w:tc>
          <w:tcPr>
            <w:tcW w:w="2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60" w:type="dxa"/>
            <w:vAlign w:val="bottom"/>
          </w:tcPr>
          <w:p>
            <w:pPr>
              <w:ind w:left="320"/>
              <w:spacing w:after="0"/>
              <w:rPr>
                <w:sz w:val="20"/>
                <w:szCs w:val="20"/>
                <w:color w:val="auto"/>
              </w:rPr>
            </w:pPr>
            <w:r>
              <w:rPr>
                <w:rFonts w:ascii="Courier New" w:cs="Courier New" w:eastAsia="Courier New" w:hAnsi="Courier New"/>
                <w:sz w:val="18"/>
                <w:szCs w:val="18"/>
                <w:color w:val="auto"/>
              </w:rPr>
              <w:t>Net earnings (loss)</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1.31</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.41</w:t>
            </w:r>
          </w:p>
        </w:tc>
        <w:tc>
          <w:tcPr>
            <w:tcW w:w="200" w:type="dxa"/>
            <w:vAlign w:val="bottom"/>
          </w:tcPr>
          <w:p>
            <w:pPr>
              <w:ind w:left="100"/>
              <w:spacing w:after="0"/>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(.44)</w:t>
            </w:r>
          </w:p>
        </w:tc>
      </w:tr>
      <w:tr>
        <w:trPr>
          <w:trHeight w:val="203"/>
        </w:trPr>
        <w:tc>
          <w:tcPr>
            <w:tcW w:w="40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II-34</w:t>
      </w:r>
    </w:p>
    <w:p>
      <w:pPr>
        <w:sectPr>
          <w:pgSz w:w="11900" w:h="16838" w:orient="portrait"/>
          <w:cols w:equalWidth="0" w:num="1">
            <w:col w:w="10219"/>
          </w:cols>
          <w:pgMar w:left="240" w:top="717" w:right="1440" w:bottom="159" w:gutter="0" w:footer="0" w:header="0"/>
        </w:sectPr>
      </w:pPr>
    </w:p>
    <w:bookmarkStart w:id="84" w:name="page85"/>
    <w:bookmarkEnd w:id="84"/>
    <w:p>
      <w:pPr>
        <w:ind w:left="3380"/>
        <w:spacing w:after="0"/>
        <w:rPr>
          <w:sz w:val="20"/>
          <w:szCs w:val="20"/>
          <w:color w:val="auto"/>
        </w:rPr>
      </w:pPr>
      <w:r>
        <w:rPr>
          <w:rFonts w:ascii="Courier New" w:cs="Courier New" w:eastAsia="Courier New" w:hAnsi="Courier New"/>
          <w:sz w:val="18"/>
          <w:szCs w:val="18"/>
          <w:color w:val="auto"/>
        </w:rPr>
        <w:t>VIACOM INC. AND</w:t>
      </w:r>
    </w:p>
    <w:p>
      <w:pPr>
        <w:ind w:left="2000"/>
        <w:spacing w:after="0" w:line="238" w:lineRule="auto"/>
        <w:rPr>
          <w:sz w:val="20"/>
          <w:szCs w:val="20"/>
          <w:color w:val="auto"/>
        </w:rPr>
      </w:pPr>
      <w:r>
        <w:rPr>
          <w:rFonts w:ascii="Courier New" w:cs="Courier New" w:eastAsia="Courier New" w:hAnsi="Courier New"/>
          <w:sz w:val="18"/>
          <w:szCs w:val="18"/>
          <w:color w:val="auto"/>
        </w:rPr>
        <w:t>VIACOM INTERNATIONAL INC. AND SUBSIDIARIES</w:t>
      </w:r>
    </w:p>
    <w:p>
      <w:pPr>
        <w:ind w:left="2740"/>
        <w:spacing w:after="0"/>
        <w:rPr>
          <w:sz w:val="20"/>
          <w:szCs w:val="20"/>
          <w:color w:val="auto"/>
        </w:rPr>
      </w:pPr>
      <w:r>
        <w:rPr>
          <w:rFonts w:ascii="Courier New" w:cs="Courier New" w:eastAsia="Courier New" w:hAnsi="Courier New"/>
          <w:sz w:val="18"/>
          <w:szCs w:val="18"/>
          <w:color w:val="auto"/>
        </w:rPr>
        <w:t>CONSOLIDATED BALANCE SHEETS</w:t>
      </w:r>
    </w:p>
    <w:p>
      <w:pPr>
        <w:ind w:left="2740"/>
        <w:spacing w:after="0" w:line="237"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59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(Thousands of dollars)</w:t>
            </w:r>
          </w:p>
        </w:tc>
        <w:tc>
          <w:tcPr>
            <w:tcW w:w="1280" w:type="dxa"/>
            <w:vAlign w:val="bottom"/>
          </w:tcPr>
          <w:p>
            <w:pPr>
              <w:spacing w:after="0"/>
              <w:rPr>
                <w:sz w:val="17"/>
                <w:szCs w:val="17"/>
                <w:color w:val="auto"/>
              </w:rPr>
            </w:pPr>
          </w:p>
        </w:tc>
      </w:tr>
      <w:tr>
        <w:trPr>
          <w:trHeight w:val="405"/>
        </w:trPr>
        <w:tc>
          <w:tcPr>
            <w:tcW w:w="4440" w:type="dxa"/>
            <w:vAlign w:val="bottom"/>
          </w:tcPr>
          <w:p>
            <w:pPr>
              <w:spacing w:after="0"/>
              <w:rPr>
                <w:sz w:val="24"/>
                <w:szCs w:val="24"/>
                <w:color w:val="auto"/>
              </w:rPr>
            </w:pPr>
          </w:p>
        </w:tc>
        <w:tc>
          <w:tcPr>
            <w:tcW w:w="274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4440" w:type="dxa"/>
            <w:vAlign w:val="bottom"/>
          </w:tcPr>
          <w:p>
            <w:pPr>
              <w:spacing w:after="0"/>
              <w:rPr>
                <w:sz w:val="17"/>
                <w:szCs w:val="17"/>
                <w:color w:val="auto"/>
              </w:rPr>
            </w:pP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rPr>
                <w:sz w:val="17"/>
                <w:szCs w:val="17"/>
                <w:color w:val="auto"/>
              </w:rPr>
            </w:pPr>
          </w:p>
        </w:tc>
        <w:tc>
          <w:tcPr>
            <w:tcW w:w="1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1993</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1992</w:t>
            </w:r>
          </w:p>
        </w:tc>
      </w:tr>
      <w:tr>
        <w:trPr>
          <w:trHeight w:val="203"/>
        </w:trPr>
        <w:tc>
          <w:tcPr>
            <w:tcW w:w="4440" w:type="dxa"/>
            <w:vAlign w:val="bottom"/>
          </w:tcPr>
          <w:p>
            <w:pPr>
              <w:spacing w:after="0"/>
              <w:rPr>
                <w:sz w:val="17"/>
                <w:szCs w:val="17"/>
                <w:color w:val="auto"/>
              </w:rPr>
            </w:pPr>
          </w:p>
        </w:tc>
        <w:tc>
          <w:tcPr>
            <w:tcW w:w="1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4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$1,882,381</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48,428</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Receivables, less allowances of $33,889</w:t>
            </w:r>
          </w:p>
        </w:tc>
        <w:tc>
          <w:tcPr>
            <w:tcW w:w="14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$25,779</w:t>
            </w: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351,765</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319,804</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 fees advanced and</w:t>
            </w:r>
          </w:p>
        </w:tc>
        <w:tc>
          <w:tcPr>
            <w:tcW w:w="14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committed, current</w:t>
            </w: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18,620</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19,631</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Program rights and deferred program</w:t>
            </w:r>
          </w:p>
        </w:tc>
        <w:tc>
          <w:tcPr>
            <w:tcW w:w="14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costs, current</w:t>
            </w: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264,212</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215,109</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distribution costs</w:t>
            </w: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73,722</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89,723</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95,693</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65,793</w:t>
            </w:r>
          </w:p>
        </w:tc>
      </w:tr>
      <w:tr>
        <w:trPr>
          <w:trHeight w:val="203"/>
        </w:trPr>
        <w:tc>
          <w:tcPr>
            <w:tcW w:w="4440" w:type="dxa"/>
            <w:vAlign w:val="bottom"/>
          </w:tcPr>
          <w:p>
            <w:pPr>
              <w:spacing w:after="0"/>
              <w:rPr>
                <w:sz w:val="17"/>
                <w:szCs w:val="17"/>
                <w:color w:val="auto"/>
              </w:rPr>
            </w:pP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rPr>
              <w:t>Total current assets</w:t>
            </w:r>
          </w:p>
        </w:tc>
        <w:tc>
          <w:tcPr>
            <w:tcW w:w="14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2,686,393</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758,488</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Property and Equipment:</w:t>
            </w: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Land</w:t>
            </w: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16,486</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17,869</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Buildings</w:t>
            </w: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41,627</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37,486</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Cable television systems</w:t>
            </w: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414,918</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388,170</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Broadcasting facilities</w:t>
            </w: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52,100</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50,665</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Equipment and other</w:t>
            </w: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349,332</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258,565</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Construction in progress</w:t>
            </w: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26,982</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10,858</w:t>
            </w:r>
          </w:p>
        </w:tc>
      </w:tr>
      <w:tr>
        <w:trPr>
          <w:trHeight w:val="203"/>
        </w:trPr>
        <w:tc>
          <w:tcPr>
            <w:tcW w:w="444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rPr>
                <w:sz w:val="17"/>
                <w:szCs w:val="17"/>
                <w:color w:val="auto"/>
              </w:rPr>
            </w:pP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901,445</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763,613</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347,243</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306,548</w:t>
            </w:r>
          </w:p>
        </w:tc>
      </w:tr>
      <w:tr>
        <w:trPr>
          <w:trHeight w:val="203"/>
        </w:trPr>
        <w:tc>
          <w:tcPr>
            <w:tcW w:w="4440" w:type="dxa"/>
            <w:vAlign w:val="bottom"/>
          </w:tcPr>
          <w:p>
            <w:pPr>
              <w:spacing w:after="0"/>
              <w:rPr>
                <w:sz w:val="17"/>
                <w:szCs w:val="17"/>
                <w:color w:val="auto"/>
              </w:rPr>
            </w:pP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ind w:left="420"/>
              <w:spacing w:after="0"/>
              <w:rPr>
                <w:sz w:val="20"/>
                <w:szCs w:val="20"/>
                <w:color w:val="auto"/>
              </w:rPr>
            </w:pPr>
            <w:r>
              <w:rPr>
                <w:rFonts w:ascii="Courier New" w:cs="Courier New" w:eastAsia="Courier New" w:hAnsi="Courier New"/>
                <w:sz w:val="18"/>
                <w:szCs w:val="18"/>
                <w:color w:val="auto"/>
              </w:rPr>
              <w:t>Net property and equipment</w:t>
            </w:r>
          </w:p>
        </w:tc>
        <w:tc>
          <w:tcPr>
            <w:tcW w:w="14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554,202</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457,065</w:t>
            </w:r>
          </w:p>
        </w:tc>
      </w:tr>
      <w:tr>
        <w:trPr>
          <w:trHeight w:val="203"/>
        </w:trPr>
        <w:tc>
          <w:tcPr>
            <w:tcW w:w="4440" w:type="dxa"/>
            <w:vAlign w:val="bottom"/>
          </w:tcPr>
          <w:p>
            <w:pPr>
              <w:spacing w:after="0"/>
              <w:rPr>
                <w:sz w:val="17"/>
                <w:szCs w:val="17"/>
                <w:color w:val="auto"/>
              </w:rPr>
            </w:pP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w w:val="99"/>
              </w:rPr>
              <w:t>Distribution fees advanced and committed,</w:t>
            </w: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non-current</w:t>
            </w: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263,281</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228,784</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Program rights and deferred program</w:t>
            </w: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costs, non-current</w:t>
            </w: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526,247</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462,122</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Intangibles, at amortized cost</w:t>
            </w:r>
          </w:p>
        </w:tc>
        <w:tc>
          <w:tcPr>
            <w:tcW w:w="14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2,180,571</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2,195,936</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14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206,174</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214,699</w:t>
            </w:r>
          </w:p>
        </w:tc>
      </w:tr>
      <w:tr>
        <w:trPr>
          <w:trHeight w:val="203"/>
        </w:trPr>
        <w:tc>
          <w:tcPr>
            <w:tcW w:w="4440" w:type="dxa"/>
            <w:vAlign w:val="bottom"/>
          </w:tcPr>
          <w:p>
            <w:pPr>
              <w:spacing w:after="0"/>
              <w:rPr>
                <w:sz w:val="17"/>
                <w:szCs w:val="17"/>
                <w:color w:val="auto"/>
              </w:rPr>
            </w:pP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spacing w:after="0"/>
              <w:rPr>
                <w:sz w:val="24"/>
                <w:szCs w:val="24"/>
                <w:color w:val="auto"/>
              </w:rPr>
            </w:pPr>
          </w:p>
        </w:tc>
        <w:tc>
          <w:tcPr>
            <w:tcW w:w="14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$6,416,868</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$4,317,094</w:t>
            </w:r>
          </w:p>
        </w:tc>
      </w:tr>
      <w:tr>
        <w:trPr>
          <w:trHeight w:val="203"/>
        </w:trPr>
        <w:tc>
          <w:tcPr>
            <w:tcW w:w="4440" w:type="dxa"/>
            <w:vAlign w:val="bottom"/>
          </w:tcPr>
          <w:p>
            <w:pPr>
              <w:spacing w:after="0"/>
              <w:rPr>
                <w:sz w:val="17"/>
                <w:szCs w:val="17"/>
                <w:color w:val="auto"/>
              </w:rPr>
            </w:pP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II-35</w:t>
      </w:r>
    </w:p>
    <w:p>
      <w:pPr>
        <w:sectPr>
          <w:pgSz w:w="11900" w:h="16838" w:orient="portrait"/>
          <w:cols w:equalWidth="0" w:num="1">
            <w:col w:w="10219"/>
          </w:cols>
          <w:pgMar w:left="240" w:top="717" w:right="1440" w:bottom="1440" w:gutter="0" w:footer="0" w:header="0"/>
        </w:sectPr>
      </w:pPr>
    </w:p>
    <w:bookmarkStart w:id="85" w:name="page86"/>
    <w:bookmarkEnd w:id="85"/>
    <w:p>
      <w:pPr>
        <w:ind w:left="3380"/>
        <w:spacing w:after="0"/>
        <w:rPr>
          <w:sz w:val="20"/>
          <w:szCs w:val="20"/>
          <w:color w:val="auto"/>
        </w:rPr>
      </w:pPr>
      <w:r>
        <w:rPr>
          <w:rFonts w:ascii="Courier New" w:cs="Courier New" w:eastAsia="Courier New" w:hAnsi="Courier New"/>
          <w:sz w:val="18"/>
          <w:szCs w:val="18"/>
          <w:color w:val="auto"/>
        </w:rPr>
        <w:t>VIACOM INC. AND</w:t>
      </w:r>
    </w:p>
    <w:p>
      <w:pPr>
        <w:ind w:left="2000"/>
        <w:spacing w:after="0" w:line="238" w:lineRule="auto"/>
        <w:rPr>
          <w:sz w:val="20"/>
          <w:szCs w:val="20"/>
          <w:color w:val="auto"/>
        </w:rPr>
      </w:pPr>
      <w:r>
        <w:rPr>
          <w:rFonts w:ascii="Courier New" w:cs="Courier New" w:eastAsia="Courier New" w:hAnsi="Courier New"/>
          <w:sz w:val="18"/>
          <w:szCs w:val="18"/>
          <w:color w:val="auto"/>
        </w:rPr>
        <w:t>VIACOM INTERNATIONAL INC. AND SUBSIDIARIES</w:t>
      </w:r>
    </w:p>
    <w:p>
      <w:pPr>
        <w:ind w:left="2740"/>
        <w:spacing w:after="0"/>
        <w:rPr>
          <w:sz w:val="20"/>
          <w:szCs w:val="20"/>
          <w:color w:val="auto"/>
        </w:rPr>
      </w:pPr>
      <w:r>
        <w:rPr>
          <w:rFonts w:ascii="Courier New" w:cs="Courier New" w:eastAsia="Courier New" w:hAnsi="Courier New"/>
          <w:sz w:val="18"/>
          <w:szCs w:val="18"/>
          <w:color w:val="auto"/>
        </w:rPr>
        <w:t>CONSOLIDATED BALANCE SHEETS</w:t>
      </w:r>
    </w:p>
    <w:p>
      <w:pPr>
        <w:ind w:left="2740"/>
        <w:spacing w:after="0" w:line="237" w:lineRule="auto"/>
        <w:rPr>
          <w:sz w:val="20"/>
          <w:szCs w:val="20"/>
          <w:color w:val="auto"/>
        </w:rPr>
      </w:pPr>
      <w:r>
        <w:rPr>
          <w:rFonts w:ascii="Courier New" w:cs="Courier New" w:eastAsia="Courier New" w:hAnsi="Courier New"/>
          <w:sz w:val="18"/>
          <w:szCs w:val="18"/>
          <w:color w:val="auto"/>
        </w:rPr>
        <w:t>---------------------------</w:t>
      </w:r>
    </w:p>
    <w:p>
      <w:pPr>
        <w:ind w:left="1700"/>
        <w:spacing w:after="0" w:line="238" w:lineRule="auto"/>
        <w:rPr>
          <w:sz w:val="20"/>
          <w:szCs w:val="20"/>
          <w:color w:val="auto"/>
        </w:rPr>
      </w:pPr>
      <w:r>
        <w:rPr>
          <w:rFonts w:ascii="Courier New" w:cs="Courier New" w:eastAsia="Courier New" w:hAnsi="Courier New"/>
          <w:sz w:val="18"/>
          <w:szCs w:val="18"/>
          <w:color w:val="auto"/>
        </w:rPr>
        <w:t>(Thousands of dollars,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274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4540" w:type="dxa"/>
            <w:vAlign w:val="bottom"/>
          </w:tcPr>
          <w:p>
            <w:pPr>
              <w:spacing w:after="0"/>
              <w:rPr>
                <w:sz w:val="17"/>
                <w:szCs w:val="17"/>
                <w:color w:val="auto"/>
              </w:rPr>
            </w:pPr>
          </w:p>
        </w:tc>
        <w:tc>
          <w:tcPr>
            <w:tcW w:w="2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1993</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1992</w:t>
            </w:r>
          </w:p>
        </w:tc>
      </w:tr>
      <w:tr>
        <w:trPr>
          <w:trHeight w:val="203"/>
        </w:trPr>
        <w:tc>
          <w:tcPr>
            <w:tcW w:w="454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   96,579</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71,199</w:t>
            </w: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Accrued interest</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20,684</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38,229</w:t>
            </w: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income, current</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50,930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68,295</w:t>
            </w: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accrued expenses</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264,921</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290,937</w:t>
            </w: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 taxes</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140,453</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96,529</w:t>
            </w: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Owners' share of distribution revenue</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139,081</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158,351</w:t>
            </w: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Program rights, current</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197,966</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187,956</w:t>
            </w: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55,004</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965,618</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911,496</w:t>
            </w:r>
          </w:p>
        </w:tc>
      </w:tr>
      <w:tr>
        <w:trPr>
          <w:trHeight w:val="203"/>
        </w:trPr>
        <w:tc>
          <w:tcPr>
            <w:tcW w:w="454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2,378,286</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2,397,014</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Program rights, non-current</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86,752</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92,886</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liabilities</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268,098</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159,187</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w w:val="97"/>
              </w:rPr>
              <w:t>Commitments and contingencies (See Note 10)</w:t>
            </w: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Shareholders' Equity of Viacom Inc. (See</w:t>
            </w: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Notes 1 and 6):</w:t>
            </w: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Preferred Stock, par value $.01 per share;</w:t>
            </w:r>
          </w:p>
        </w:tc>
        <w:tc>
          <w:tcPr>
            <w:tcW w:w="1380" w:type="dxa"/>
            <w:vAlign w:val="bottom"/>
          </w:tcPr>
          <w:p>
            <w:pPr>
              <w:spacing w:after="0"/>
              <w:rPr>
                <w:sz w:val="17"/>
                <w:szCs w:val="17"/>
                <w:color w:val="auto"/>
              </w:rPr>
            </w:pP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100,000,000 shares authorized;</w:t>
            </w: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48,000,000 shares issued</w:t>
            </w: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and outstanding; stated at liquidation</w:t>
            </w: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value</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1,800,000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A Common Stock, par value $.01 per share;</w:t>
            </w: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100,000,000 shares authorized;</w:t>
            </w: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53,449,325 (1993) and 53,380,390</w:t>
            </w: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(1992) shares issued and outstanding</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535</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534</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B Common Stock, par value $.01 per share;</w:t>
            </w: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150,000,000 shares authorized;</w:t>
            </w: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67,347,131 (1993) and 67,069,688</w:t>
            </w: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(1992) shares issued and outstanding</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673</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671</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920,864</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917,466</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(3,958)</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(162,160)</w:t>
            </w:r>
          </w:p>
        </w:tc>
      </w:tr>
      <w:tr>
        <w:trPr>
          <w:trHeight w:val="203"/>
        </w:trPr>
        <w:tc>
          <w:tcPr>
            <w:tcW w:w="454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2,718,114</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756,511</w:t>
            </w:r>
          </w:p>
        </w:tc>
      </w:tr>
      <w:tr>
        <w:trPr>
          <w:trHeight w:val="203"/>
        </w:trPr>
        <w:tc>
          <w:tcPr>
            <w:tcW w:w="454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$6,416,868</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$4,317,094</w:t>
            </w:r>
          </w:p>
        </w:tc>
      </w:tr>
      <w:tr>
        <w:trPr>
          <w:trHeight w:val="203"/>
        </w:trPr>
        <w:tc>
          <w:tcPr>
            <w:tcW w:w="454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II-36</w:t>
      </w:r>
    </w:p>
    <w:p>
      <w:pPr>
        <w:sectPr>
          <w:pgSz w:w="11900" w:h="16838" w:orient="portrait"/>
          <w:cols w:equalWidth="0" w:num="1">
            <w:col w:w="10219"/>
          </w:cols>
          <w:pgMar w:left="240" w:top="717" w:right="1440" w:bottom="1440" w:gutter="0" w:footer="0" w:header="0"/>
        </w:sectPr>
      </w:pPr>
    </w:p>
    <w:bookmarkStart w:id="86" w:name="page87"/>
    <w:bookmarkEnd w:id="86"/>
    <w:p>
      <w:pPr>
        <w:jc w:val="center"/>
        <w:ind w:right="1879"/>
        <w:spacing w:after="0"/>
        <w:rPr>
          <w:sz w:val="20"/>
          <w:szCs w:val="20"/>
          <w:color w:val="auto"/>
        </w:rPr>
      </w:pPr>
      <w:r>
        <w:rPr>
          <w:rFonts w:ascii="Courier New" w:cs="Courier New" w:eastAsia="Courier New" w:hAnsi="Courier New"/>
          <w:sz w:val="18"/>
          <w:szCs w:val="18"/>
          <w:color w:val="auto"/>
        </w:rPr>
        <w:t>VIACOM INC. AND</w:t>
      </w:r>
    </w:p>
    <w:p>
      <w:pPr>
        <w:ind w:left="2000"/>
        <w:spacing w:after="0" w:line="238" w:lineRule="auto"/>
        <w:rPr>
          <w:sz w:val="20"/>
          <w:szCs w:val="20"/>
          <w:color w:val="auto"/>
        </w:rPr>
      </w:pPr>
      <w:r>
        <w:rPr>
          <w:rFonts w:ascii="Courier New" w:cs="Courier New" w:eastAsia="Courier New" w:hAnsi="Courier New"/>
          <w:sz w:val="18"/>
          <w:szCs w:val="18"/>
          <w:color w:val="auto"/>
        </w:rPr>
        <w:t>VIACOM INTERNATIONAL INC. AND SUBSIDIARIES</w:t>
      </w:r>
    </w:p>
    <w:p>
      <w:pPr>
        <w:ind w:left="2220"/>
        <w:spacing w:after="0"/>
        <w:rPr>
          <w:sz w:val="20"/>
          <w:szCs w:val="20"/>
          <w:color w:val="auto"/>
        </w:rPr>
      </w:pPr>
      <w:r>
        <w:rPr>
          <w:rFonts w:ascii="Courier New" w:cs="Courier New" w:eastAsia="Courier New" w:hAnsi="Courier New"/>
          <w:sz w:val="18"/>
          <w:szCs w:val="18"/>
          <w:color w:val="auto"/>
        </w:rPr>
        <w:t>CONSOLIDATED STATEMENTS OF CASH FLOWS</w:t>
      </w:r>
    </w:p>
    <w:p>
      <w:pPr>
        <w:ind w:left="222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740" w:type="dxa"/>
            <w:vAlign w:val="bottom"/>
            <w:gridSpan w:val="3"/>
          </w:tcPr>
          <w:p>
            <w:pPr>
              <w:jc w:val="right"/>
              <w:ind w:right="552"/>
              <w:spacing w:after="0"/>
              <w:rPr>
                <w:sz w:val="20"/>
                <w:szCs w:val="20"/>
                <w:color w:val="auto"/>
              </w:rPr>
            </w:pPr>
            <w:r>
              <w:rPr>
                <w:rFonts w:ascii="Courier New" w:cs="Courier New" w:eastAsia="Courier New" w:hAnsi="Courier New"/>
                <w:sz w:val="18"/>
                <w:szCs w:val="18"/>
                <w:color w:val="auto"/>
              </w:rPr>
              <w:t>Year Ended December 31,</w:t>
            </w:r>
          </w:p>
        </w:tc>
      </w:tr>
      <w:tr>
        <w:trPr>
          <w:trHeight w:val="203"/>
        </w:trPr>
        <w:tc>
          <w:tcPr>
            <w:tcW w:w="3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7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1993</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1992</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1991</w:t>
            </w:r>
          </w:p>
        </w:tc>
      </w:tr>
      <w:tr>
        <w:trPr>
          <w:trHeight w:val="203"/>
        </w:trPr>
        <w:tc>
          <w:tcPr>
            <w:tcW w:w="3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74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(Thousands of dollars)</w:t>
            </w:r>
          </w:p>
        </w:tc>
      </w:tr>
      <w:tr>
        <w:trPr>
          <w:trHeight w:val="203"/>
        </w:trPr>
        <w:tc>
          <w:tcPr>
            <w:tcW w:w="4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cash flow from operating activities:</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3580" w:type="dxa"/>
            <w:vAlign w:val="bottom"/>
          </w:tcPr>
          <w:p>
            <w:pPr>
              <w:ind w:left="220"/>
              <w:spacing w:after="0"/>
              <w:rPr>
                <w:sz w:val="20"/>
                <w:szCs w:val="20"/>
                <w:color w:val="auto"/>
              </w:rPr>
            </w:pPr>
            <w:r>
              <w:rPr>
                <w:rFonts w:ascii="Courier New" w:cs="Courier New" w:eastAsia="Courier New" w:hAnsi="Courier New"/>
                <w:sz w:val="18"/>
                <w:szCs w:val="18"/>
                <w:color w:val="auto"/>
              </w:rPr>
              <w:t>Net earnings (loss)</w:t>
            </w:r>
          </w:p>
        </w:tc>
        <w:tc>
          <w:tcPr>
            <w:tcW w:w="1120" w:type="dxa"/>
            <w:vAlign w:val="bottom"/>
          </w:tcPr>
          <w:p>
            <w:pPr>
              <w:spacing w:after="0"/>
              <w:rPr>
                <w:sz w:val="24"/>
                <w:szCs w:val="24"/>
                <w:color w:val="auto"/>
              </w:rPr>
            </w:pP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$170,952</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$ 48,965</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 (49,657)</w:t>
            </w:r>
          </w:p>
        </w:tc>
      </w:tr>
      <w:tr>
        <w:trPr>
          <w:trHeight w:val="203"/>
        </w:trPr>
        <w:tc>
          <w:tcPr>
            <w:tcW w:w="4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earnings</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70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8"/>
              </w:rPr>
              <w:t>(loss) to net cash flow from operating</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activities:</w:t>
            </w:r>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12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153,057</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144,802</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132,864</w:t>
            </w:r>
          </w:p>
        </w:tc>
      </w:tr>
      <w:tr>
        <w:trPr>
          <w:trHeight w:val="203"/>
        </w:trPr>
        <w:tc>
          <w:tcPr>
            <w:tcW w:w="4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Interest accretion and interest in kind</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on debentures</w:t>
            </w:r>
          </w:p>
        </w:tc>
        <w:tc>
          <w:tcPr>
            <w:tcW w:w="112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59,196</w:t>
            </w:r>
          </w:p>
        </w:tc>
      </w:tr>
      <w:tr>
        <w:trPr>
          <w:trHeight w:val="203"/>
        </w:trPr>
        <w:tc>
          <w:tcPr>
            <w:tcW w:w="4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Reserve for litigation (See Note 14)</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33,000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Equity in loss of affiliated companies,</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of tax</w:t>
            </w:r>
          </w:p>
        </w:tc>
        <w:tc>
          <w:tcPr>
            <w:tcW w:w="112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2,520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4,646</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12,743</w:t>
            </w:r>
          </w:p>
        </w:tc>
      </w:tr>
      <w:tr>
        <w:trPr>
          <w:trHeight w:val="203"/>
        </w:trPr>
        <w:tc>
          <w:tcPr>
            <w:tcW w:w="4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Gain on the sale of the cable system,</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of tax</w:t>
            </w:r>
          </w:p>
        </w:tc>
        <w:tc>
          <w:tcPr>
            <w:tcW w:w="11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(45,873)</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Gain on the sale of investment held at</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cost, net of tax</w:t>
            </w:r>
          </w:p>
        </w:tc>
        <w:tc>
          <w:tcPr>
            <w:tcW w:w="11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(10,882)</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Extraordinary losses, net of tax</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8,867</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17,120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3,101</w:t>
            </w:r>
          </w:p>
        </w:tc>
      </w:tr>
      <w:tr>
        <w:trPr>
          <w:trHeight w:val="203"/>
        </w:trPr>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11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3,924</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8,202</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12,328</w:t>
            </w:r>
          </w:p>
        </w:tc>
      </w:tr>
      <w:tr>
        <w:trPr>
          <w:trHeight w:val="203"/>
        </w:trPr>
        <w:tc>
          <w:tcPr>
            <w:tcW w:w="4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Provision (benefit) for deferred income</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taxes</w:t>
            </w:r>
          </w:p>
        </w:tc>
        <w:tc>
          <w:tcPr>
            <w:tcW w:w="112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24,364</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15,068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(8,756)</w:t>
            </w:r>
          </w:p>
        </w:tc>
      </w:tr>
      <w:tr>
        <w:trPr>
          <w:trHeight w:val="203"/>
        </w:trPr>
        <w:tc>
          <w:tcPr>
            <w:tcW w:w="4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(Decrease) increase in accounts payable</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and accrued expenses</w:t>
            </w:r>
          </w:p>
        </w:tc>
        <w:tc>
          <w:tcPr>
            <w:tcW w:w="11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(17,189)</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53,400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6,831</w:t>
            </w:r>
          </w:p>
        </w:tc>
      </w:tr>
      <w:tr>
        <w:trPr>
          <w:trHeight w:val="203"/>
        </w:trPr>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Increase in receivables</w:t>
            </w:r>
          </w:p>
        </w:tc>
        <w:tc>
          <w:tcPr>
            <w:tcW w:w="11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(31,881)</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(49,756)</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(61,929)</w:t>
            </w:r>
          </w:p>
        </w:tc>
      </w:tr>
      <w:tr>
        <w:trPr>
          <w:trHeight w:val="203"/>
        </w:trPr>
        <w:tc>
          <w:tcPr>
            <w:tcW w:w="4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Increase in programming related assets</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and liabilities, net</w:t>
            </w:r>
          </w:p>
        </w:tc>
        <w:tc>
          <w:tcPr>
            <w:tcW w:w="11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(137,549)</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(138,568)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(66,391)</w:t>
            </w:r>
          </w:p>
        </w:tc>
      </w:tr>
      <w:tr>
        <w:trPr>
          <w:trHeight w:val="203"/>
        </w:trPr>
        <w:tc>
          <w:tcPr>
            <w:tcW w:w="4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Increase in income taxes payable</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58,501</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7,389</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37,732</w:t>
            </w:r>
          </w:p>
        </w:tc>
      </w:tr>
      <w:tr>
        <w:trPr>
          <w:trHeight w:val="203"/>
        </w:trPr>
        <w:tc>
          <w:tcPr>
            <w:tcW w:w="4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(Decrease) increase in deferred income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(8,999)</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22,933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(2,384)</w:t>
            </w:r>
          </w:p>
        </w:tc>
      </w:tr>
      <w:tr>
        <w:trPr>
          <w:trHeight w:val="203"/>
        </w:trPr>
        <w:tc>
          <w:tcPr>
            <w:tcW w:w="4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(Increase) decrease in unbilled</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receivables</w:t>
            </w:r>
          </w:p>
        </w:tc>
        <w:tc>
          <w:tcPr>
            <w:tcW w:w="11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(6,516)</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17,749</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(27,630)</w:t>
            </w:r>
          </w:p>
        </w:tc>
      </w:tr>
      <w:tr>
        <w:trPr>
          <w:trHeight w:val="203"/>
        </w:trPr>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Payment of LTIP liability</w:t>
            </w:r>
          </w:p>
        </w:tc>
        <w:tc>
          <w:tcPr>
            <w:tcW w:w="11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(68,599)</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net</w:t>
            </w:r>
          </w:p>
        </w:tc>
        <w:tc>
          <w:tcPr>
            <w:tcW w:w="11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(12,080)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(14,362)</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21,819</w:t>
            </w:r>
          </w:p>
        </w:tc>
      </w:tr>
      <w:tr>
        <w:trPr>
          <w:trHeight w:val="203"/>
        </w:trPr>
        <w:tc>
          <w:tcPr>
            <w:tcW w:w="3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cash flow from operating activities</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147,610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101,989</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69,867</w:t>
            </w:r>
          </w:p>
        </w:tc>
      </w:tr>
      <w:tr>
        <w:trPr>
          <w:trHeight w:val="203"/>
        </w:trPr>
        <w:tc>
          <w:tcPr>
            <w:tcW w:w="3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Investing activities:</w:t>
            </w: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11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(135,011)</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(110,222)</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(72,157)</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Investments in and advances to</w:t>
            </w:r>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affiliated companies.</w:t>
            </w:r>
          </w:p>
        </w:tc>
        <w:tc>
          <w:tcPr>
            <w:tcW w:w="11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(21,618)</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(23,708)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(44,372)</w:t>
            </w:r>
          </w:p>
        </w:tc>
      </w:tr>
      <w:tr>
        <w:trPr>
          <w:trHeight w:val="203"/>
        </w:trPr>
        <w:tc>
          <w:tcPr>
            <w:tcW w:w="4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Advances from affiliated companies</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13,441</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9,447</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5,546</w:t>
            </w:r>
          </w:p>
        </w:tc>
      </w:tr>
      <w:tr>
        <w:trPr>
          <w:trHeight w:val="203"/>
        </w:trPr>
        <w:tc>
          <w:tcPr>
            <w:tcW w:w="4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Proceeds from sale of cable system and</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radio station</w:t>
            </w:r>
          </w:p>
        </w:tc>
        <w:tc>
          <w:tcPr>
            <w:tcW w:w="112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93,739</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Proceeds from sale of investment held at</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cost</w:t>
            </w:r>
          </w:p>
        </w:tc>
        <w:tc>
          <w:tcPr>
            <w:tcW w:w="112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18,140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Proceeds from sale of transponders</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51,000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Acquisitions</w:t>
            </w:r>
          </w:p>
        </w:tc>
        <w:tc>
          <w:tcPr>
            <w:tcW w:w="11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(82,197)</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Deposits on transponders</w:t>
            </w:r>
          </w:p>
        </w:tc>
        <w:tc>
          <w:tcPr>
            <w:tcW w:w="11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(49,934)</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(9,723)</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Payment of deferred merger costs</w:t>
            </w:r>
          </w:p>
        </w:tc>
        <w:tc>
          <w:tcPr>
            <w:tcW w:w="11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(15,382)</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net</w:t>
            </w:r>
          </w:p>
        </w:tc>
        <w:tc>
          <w:tcPr>
            <w:tcW w:w="11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(2,636)</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(4,120)</w:t>
            </w:r>
          </w:p>
        </w:tc>
      </w:tr>
      <w:tr>
        <w:trPr>
          <w:trHeight w:val="203"/>
        </w:trPr>
        <w:tc>
          <w:tcPr>
            <w:tcW w:w="3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cash flow from investing activities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(128,438)</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(116,842)</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(115,103)</w:t>
            </w:r>
          </w:p>
        </w:tc>
      </w:tr>
      <w:tr>
        <w:trPr>
          <w:trHeight w:val="203"/>
        </w:trPr>
        <w:tc>
          <w:tcPr>
            <w:tcW w:w="3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Borrowings from banks under credit</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facilities</w:t>
            </w:r>
          </w:p>
        </w:tc>
        <w:tc>
          <w:tcPr>
            <w:tcW w:w="112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334,291</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8,343,967</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6,695,048</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Repayments to banks under credit</w:t>
            </w:r>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facilities</w:t>
            </w:r>
          </w:p>
        </w:tc>
        <w:tc>
          <w:tcPr>
            <w:tcW w:w="112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(7,968,466) (6,764,593)</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Issuance of notes</w:t>
            </w:r>
          </w:p>
        </w:tc>
        <w:tc>
          <w:tcPr>
            <w:tcW w:w="112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250,000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200,000</w:t>
            </w:r>
          </w:p>
        </w:tc>
      </w:tr>
      <w:tr>
        <w:trPr>
          <w:trHeight w:val="203"/>
        </w:trPr>
        <w:tc>
          <w:tcPr>
            <w:tcW w:w="4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Redemption of notes and debentures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(298,015)</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(549,454)</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(407,580)</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Issuance of Preferred Stock</w:t>
            </w:r>
          </w:p>
        </w:tc>
        <w:tc>
          <w:tcPr>
            <w:tcW w:w="112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1,800,000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Issuance of B Common Stock</w:t>
            </w:r>
          </w:p>
        </w:tc>
        <w:tc>
          <w:tcPr>
            <w:tcW w:w="112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317,987</w:t>
            </w:r>
          </w:p>
        </w:tc>
      </w:tr>
      <w:tr>
        <w:trPr>
          <w:trHeight w:val="203"/>
        </w:trPr>
        <w:tc>
          <w:tcPr>
            <w:tcW w:w="4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Payment of deferred financing costs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(18,106)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(22,659)</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(5,869)</w:t>
            </w:r>
          </w:p>
        </w:tc>
      </w:tr>
      <w:tr>
        <w:trPr>
          <w:trHeight w:val="203"/>
        </w:trPr>
        <w:tc>
          <w:tcPr>
            <w:tcW w:w="4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Payment of premium on redemption of notes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(10,054)</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(19,753)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(4,078)</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net</w:t>
            </w:r>
          </w:p>
        </w:tc>
        <w:tc>
          <w:tcPr>
            <w:tcW w:w="112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6,665</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924</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3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cash flow from financing activities</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1,814,781</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34,559</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30,897</w:t>
            </w:r>
          </w:p>
        </w:tc>
      </w:tr>
      <w:tr>
        <w:trPr>
          <w:trHeight w:val="203"/>
        </w:trPr>
        <w:tc>
          <w:tcPr>
            <w:tcW w:w="3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717" w:right="1440" w:bottom="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20"/>
                <w:szCs w:val="20"/>
                <w:color w:val="auto"/>
              </w:rPr>
            </w:pPr>
            <w:r>
              <w:rPr>
                <w:rFonts w:ascii="Courier New" w:cs="Courier New" w:eastAsia="Courier New" w:hAnsi="Courier New"/>
                <w:sz w:val="18"/>
                <w:szCs w:val="18"/>
                <w:color w:val="auto"/>
              </w:rPr>
              <w:t>Net increase (decrease) in cash and cash</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equivalents</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1,833,953</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19,706</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(14,339)</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year</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48,428</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28,722</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43,061</w:t>
            </w:r>
          </w:p>
        </w:tc>
      </w:tr>
      <w:tr>
        <w:trPr>
          <w:trHeight w:val="203"/>
        </w:trPr>
        <w:tc>
          <w:tcPr>
            <w:tcW w:w="454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year</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$1,882,381</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48,428</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28,722</w:t>
            </w:r>
          </w:p>
        </w:tc>
      </w:tr>
      <w:tr>
        <w:trPr>
          <w:trHeight w:val="203"/>
        </w:trPr>
        <w:tc>
          <w:tcPr>
            <w:tcW w:w="454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II-37</w:t>
      </w:r>
    </w:p>
    <w:p>
      <w:pPr>
        <w:sectPr>
          <w:pgSz w:w="11900" w:h="16838" w:orient="portrait"/>
          <w:cols w:equalWidth="0" w:num="1">
            <w:col w:w="10219"/>
          </w:cols>
          <w:pgMar w:left="240" w:top="339" w:right="1440"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810"/>
        </w:trPr>
        <w:tc>
          <w:tcPr>
            <w:tcW w:w="2580" w:type="dxa"/>
            <w:vAlign w:val="bottom"/>
          </w:tcPr>
          <w:p>
            <w:pPr>
              <w:spacing w:after="0"/>
              <w:rPr>
                <w:sz w:val="24"/>
                <w:szCs w:val="24"/>
                <w:color w:val="auto"/>
              </w:rPr>
            </w:pPr>
          </w:p>
        </w:tc>
        <w:tc>
          <w:tcPr>
            <w:tcW w:w="25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VIACOM INC. AND</w:t>
            </w: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7220" w:type="dxa"/>
            <w:vAlign w:val="bottom"/>
            <w:gridSpan w:val="5"/>
          </w:tcPr>
          <w:p>
            <w:pPr>
              <w:ind w:left="2000"/>
              <w:spacing w:after="0" w:line="203" w:lineRule="exact"/>
              <w:rPr>
                <w:sz w:val="20"/>
                <w:szCs w:val="20"/>
                <w:color w:val="auto"/>
              </w:rPr>
            </w:pPr>
            <w:r>
              <w:rPr>
                <w:rFonts w:ascii="Courier New" w:cs="Courier New" w:eastAsia="Courier New" w:hAnsi="Courier New"/>
                <w:sz w:val="18"/>
                <w:szCs w:val="18"/>
                <w:color w:val="auto"/>
              </w:rPr>
              <w:t>VIACOM INTERNATIONAL INC. AND SUBSIDIARIES</w:t>
            </w: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332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CONSOLIDATED STATEMENTS</w:t>
            </w: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3320" w:type="dxa"/>
            <w:vAlign w:val="bottom"/>
            <w:gridSpan w:val="3"/>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332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OF SHAREHOLDERS' EQUITY</w:t>
            </w: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3320" w:type="dxa"/>
            <w:vAlign w:val="bottom"/>
            <w:gridSpan w:val="3"/>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332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(Thousands of dollars)</w:t>
            </w: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608"/>
        </w:trPr>
        <w:tc>
          <w:tcPr>
            <w:tcW w:w="258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Preferred</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A Common</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Stock</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B Common</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Stock</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Paid-in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5"/>
              </w:rPr>
              <w:t>Accumulated</w:t>
            </w:r>
          </w:p>
        </w:tc>
      </w:tr>
      <w:tr>
        <w:trPr>
          <w:trHeight w:val="203"/>
        </w:trPr>
        <w:tc>
          <w:tcPr>
            <w:tcW w:w="258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Stock</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Shares</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Amount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Shares</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Amount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Capital</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Deficit</w:t>
            </w:r>
          </w:p>
        </w:tc>
      </w:tr>
      <w:tr>
        <w:trPr>
          <w:trHeight w:val="203"/>
        </w:trPr>
        <w:tc>
          <w:tcPr>
            <w:tcW w:w="2580" w:type="dxa"/>
            <w:vAlign w:val="bottom"/>
          </w:tcPr>
          <w:p>
            <w:pPr>
              <w:spacing w:after="0"/>
              <w:rPr>
                <w:sz w:val="17"/>
                <w:szCs w:val="17"/>
                <w:color w:val="auto"/>
              </w:rPr>
            </w:pPr>
          </w:p>
        </w:tc>
        <w:tc>
          <w:tcPr>
            <w:tcW w:w="12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Viacom Inc:</w:t>
            </w: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 - -----------</w:t>
            </w: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December 31, 1990</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53,365,870</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534</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53,365,870</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534</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$526,563</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$(161,468)</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Issuance of B Common</w:t>
            </w: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13,492,484</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382,780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Exercise of stock</w:t>
            </w: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options</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583</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583</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Conversion of 5.75%</w:t>
            </w: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debentures</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700</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700</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(49,657)</w:t>
            </w:r>
          </w:p>
        </w:tc>
      </w:tr>
      <w:tr>
        <w:trPr>
          <w:trHeight w:val="203"/>
        </w:trPr>
        <w:tc>
          <w:tcPr>
            <w:tcW w:w="258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December 31, 1991</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53,367,153</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534</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66,859,637</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669</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909,415</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(211,125)</w:t>
            </w:r>
          </w:p>
        </w:tc>
      </w:tr>
      <w:tr>
        <w:trPr>
          <w:trHeight w:val="203"/>
        </w:trPr>
        <w:tc>
          <w:tcPr>
            <w:tcW w:w="258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B Common Stock issued</w:t>
            </w: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 satisfaction of</w:t>
            </w: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LTIP liability</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177,897</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6,892</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Exercise of stock</w:t>
            </w: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options</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13,187</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32,104</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1,157</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Conversion of 5.75%</w:t>
            </w: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debentures</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48,965</w:t>
            </w:r>
          </w:p>
        </w:tc>
      </w:tr>
      <w:tr>
        <w:trPr>
          <w:trHeight w:val="203"/>
        </w:trPr>
        <w:tc>
          <w:tcPr>
            <w:tcW w:w="258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December 31, 1992</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53,380,390</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534</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67,069,688</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671</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917,466</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(162,160)</w:t>
            </w:r>
          </w:p>
        </w:tc>
      </w:tr>
      <w:tr>
        <w:trPr>
          <w:trHeight w:val="203"/>
        </w:trPr>
        <w:tc>
          <w:tcPr>
            <w:tcW w:w="258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Issuance of Series A</w:t>
            </w: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and Series B Preferred</w:t>
            </w: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$1,800,000</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(5,363)</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Exercise of stock</w:t>
            </w: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options</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68,935</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277,443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8,761</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170,952</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Preferred Stock</w:t>
            </w: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 requirements</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(12,750)</w:t>
            </w:r>
          </w:p>
        </w:tc>
      </w:tr>
      <w:tr>
        <w:trPr>
          <w:trHeight w:val="203"/>
        </w:trPr>
        <w:tc>
          <w:tcPr>
            <w:tcW w:w="258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December 31, 1993</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$1,800,000</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53,449,325</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$535</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67,347,131</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$673</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$920,864</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  (3,958)</w:t>
            </w:r>
          </w:p>
        </w:tc>
      </w:tr>
      <w:tr>
        <w:trPr>
          <w:trHeight w:val="203"/>
        </w:trPr>
        <w:tc>
          <w:tcPr>
            <w:tcW w:w="258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II-38</w:t>
      </w:r>
    </w:p>
    <w:p>
      <w:pPr>
        <w:sectPr>
          <w:pgSz w:w="11900" w:h="16838" w:orient="portrait"/>
          <w:cols w:equalWidth="0" w:num="1">
            <w:col w:w="10220"/>
          </w:cols>
          <w:pgMar w:left="240" w:top="717" w:right="1439" w:bottom="1440" w:gutter="0" w:footer="0" w:header="0"/>
        </w:sectPr>
      </w:pPr>
    </w:p>
    <w:bookmarkStart w:id="89" w:name="page90"/>
    <w:bookmarkEnd w:id="89"/>
    <w:tbl>
      <w:tblPr>
        <w:tblLayout w:type="fixed"/>
        <w:tblInd w:w="1280" w:type="dxa"/>
        <w:tblCellMar>
          <w:top w:w="0" w:type="dxa"/>
          <w:left w:w="0" w:type="dxa"/>
          <w:bottom w:w="0" w:type="dxa"/>
          <w:right w:w="0" w:type="dxa"/>
        </w:tblCellMar>
      </w:tblPr>
      <w:tr>
        <w:trPr>
          <w:trHeight w:val="204"/>
        </w:trPr>
        <w:tc>
          <w:tcPr>
            <w:tcW w:w="2780" w:type="dxa"/>
            <w:vAlign w:val="bottom"/>
          </w:tcPr>
          <w:p>
            <w:pPr>
              <w:jc w:val="right"/>
              <w:spacing w:after="0"/>
              <w:rPr>
                <w:sz w:val="20"/>
                <w:szCs w:val="20"/>
                <w:color w:val="auto"/>
              </w:rPr>
            </w:pPr>
            <w:r>
              <w:rPr>
                <w:rFonts w:ascii="Courier New" w:cs="Courier New" w:eastAsia="Courier New" w:hAnsi="Courier New"/>
                <w:sz w:val="18"/>
                <w:szCs w:val="18"/>
                <w:color w:val="auto"/>
              </w:rPr>
              <w:t>VIACOM</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INC.</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AND</w:t>
            </w:r>
          </w:p>
        </w:tc>
        <w:tc>
          <w:tcPr>
            <w:tcW w:w="1940" w:type="dxa"/>
            <w:vAlign w:val="bottom"/>
          </w:tcPr>
          <w:p>
            <w:pPr>
              <w:spacing w:after="0"/>
              <w:rPr>
                <w:sz w:val="17"/>
                <w:szCs w:val="17"/>
                <w:color w:val="auto"/>
              </w:rPr>
            </w:pPr>
          </w:p>
        </w:tc>
      </w:tr>
      <w:tr>
        <w:trPr>
          <w:trHeight w:val="203"/>
        </w:trPr>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VIACOM INTERNATIONAL</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SUBSIDIARIES</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NOTES TO CONSOLIDATED FINANCIAL</w:t>
            </w:r>
          </w:p>
        </w:tc>
        <w:tc>
          <w:tcPr>
            <w:tcW w:w="2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STATEMENTS (continued)</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SUMMARY OF ACCOUNTING POLICIES</w:t>
      </w:r>
    </w:p>
    <w:p>
      <w:pPr>
        <w:spacing w:after="0" w:line="207" w:lineRule="exact"/>
        <w:rPr>
          <w:sz w:val="20"/>
          <w:szCs w:val="20"/>
          <w:color w:val="auto"/>
        </w:rPr>
      </w:pPr>
    </w:p>
    <w:p>
      <w:pPr>
        <w:ind w:right="2319"/>
        <w:spacing w:after="0" w:line="271" w:lineRule="auto"/>
        <w:rPr>
          <w:sz w:val="20"/>
          <w:szCs w:val="20"/>
          <w:color w:val="auto"/>
        </w:rPr>
      </w:pPr>
      <w:r>
        <w:rPr>
          <w:rFonts w:ascii="Courier New" w:cs="Courier New" w:eastAsia="Courier New" w:hAnsi="Courier New"/>
          <w:sz w:val="16"/>
          <w:szCs w:val="16"/>
          <w:color w:val="auto"/>
        </w:rPr>
        <w:t>Basis of Presentation -Viacom Inc. (together with its consolidated subsidiaries, unless the context otherwise requires, "Viacom Inc.") is a holding company whose principal asset is the common stock of Viacom International Inc. (together with its consolidated subsidiaries, unless the context otherwise requires, the "Company"). The Company is a diversified entertainment and communications company with operations in four principal segments: Networks, Entertainment, Cable Television and Broadcasting.</w:t>
      </w:r>
    </w:p>
    <w:p>
      <w:pPr>
        <w:spacing w:after="0" w:line="188"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The primary differences between Viacom Inc.'s and the Company's financial statements include the following factors: a) the capitalization of the two companies -- the Company's shareholders' equity reflects the contribution to capital of Viacom Inc.'s exchangeable preferred stock, which was exchanged for 15.5% Junior Subordinated Exchange Debentures due 2006 (the "Exchange Debentures") on March 31, 1989 which in turn were fully redeemed during 1991;</w:t>
      </w:r>
    </w:p>
    <w:p>
      <w:pPr>
        <w:spacing w:after="0" w:line="1" w:lineRule="exact"/>
        <w:rPr>
          <w:sz w:val="20"/>
          <w:szCs w:val="20"/>
          <w:color w:val="auto"/>
        </w:rPr>
      </w:pPr>
    </w:p>
    <w:p>
      <w:pPr>
        <w:ind w:right="1999" w:firstLine="8"/>
        <w:spacing w:after="0" w:line="271" w:lineRule="auto"/>
        <w:tabs>
          <w:tab w:leader="none" w:pos="316"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1993, Viacom Inc. issued $1.8 billion of 5% cumulative convertible preferred stock (see Note 6) and declared related preferred stock dividends of $12.8 million, c) certain general and administrative expenses recorded by Viacom Inc. of $5.0 million (1993), $9.0 million (1992) and $12.9 million (1991), which include transactions associated with the long-term deferred incentive compensation plans; and d) Viacom Inc. recorded net interest income of $3.1 million (1993) and net interest expense of $45.2 million (1991).</w:t>
      </w:r>
    </w:p>
    <w:p>
      <w:pPr>
        <w:spacing w:after="0" w:line="188"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Certain amounts reported on the balance sheet and statements of cash flows for prior years have been reclassified to conform with the current presentation.</w:t>
      </w:r>
    </w:p>
    <w:p>
      <w:pPr>
        <w:spacing w:after="0" w:line="17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Principles of Consolidation - The consolidated financial statements include the accounts of Viacom Inc., the Company and all investments of more than 50% in subsidiaries and other entities. All significant intercompany transactions have been eliminated. Investments in affiliated companies of more than 20% but less than or equal to 50% are accounted for under the equity method. Investments of 20% or less are accounted for under the cost method. In 1993, the fiscal year end for certain foreign operations was changed from October 31 to December 31.</w:t>
      </w:r>
    </w:p>
    <w:p>
      <w:pPr>
        <w:spacing w:after="0" w:line="212"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Cash Equivalents - Cash equivalents are defined as short-term (3 months or less) highly liquid investments.</w:t>
      </w:r>
    </w:p>
    <w:p>
      <w:pPr>
        <w:spacing w:after="0" w:line="208"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Program Rights - The Company acquires rights to exhibit programming on its broadcast stations or cable networks, and produces its own programs. The costs incurred in acquiring and producing programs are capitalized and amortized over the license period or over the estimated exhibition life of the program. Costs related to the production of programs are either charged to earnings or capitalized to the extent they are estimated to be recoverable from future revenue. Program rights and the related liabilities are recorded at the gross amount of the liabilities when the license period has begun, the cost of the program is determinable and the program is accepted and available for airing.</w:t>
      </w:r>
    </w:p>
    <w:p>
      <w:pPr>
        <w:spacing w:after="0" w:line="18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Program Distribution - Fees for distributing television shows and feature films are recognized upon billing over contractual periods generally ranging from one to five years, except that such fees for internally produced programs are recognized when such programs are delivered and fees for barter advertising revenue are recognized when the programs are available and a noncancellable contract has been executed. Receivables reflect gross billings, which include the owners' share. Amounts due to owners are recorded as liabilities in "Owners' share of distribution revenue" or are deducted from "Distribution fees advanced and committed, current."</w:t>
      </w:r>
    </w:p>
    <w:p>
      <w:pPr>
        <w:spacing w:after="0" w:line="21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Minimum guarantees to owners are recorded as liabilities and are liquidated by payments in accordance with contract terms. A corresponding asset is recorded as "Distribution fees advanced and committed" and is reduced by the owners' share of billings until fully recovered or amortized as operating expenses against the Company's share of total estimated billings based on the ratio of total estimated costs to total estimated billings.</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Prepaid distribution costs incurred on behalf of the owners are recovered from the owners' share of billings or amortized as operating expenses against the Company's share of total estimated billings based on the ratio of total estimated costs to total estimated billings.</w:t>
      </w:r>
    </w:p>
    <w:p>
      <w:pPr>
        <w:sectPr>
          <w:pgSz w:w="11900" w:h="16838" w:orient="portrait"/>
          <w:cols w:equalWidth="0" w:num="1">
            <w:col w:w="10219"/>
          </w:cols>
          <w:pgMar w:left="240" w:top="717" w:right="1440" w:bottom="160" w:gutter="0" w:footer="0" w:header="0"/>
        </w:sectPr>
      </w:pPr>
    </w:p>
    <w:bookmarkStart w:id="90" w:name="page91"/>
    <w:bookmarkEnd w:id="90"/>
    <w:p>
      <w:pPr>
        <w:ind w:left="2820"/>
        <w:spacing w:after="0"/>
        <w:rPr>
          <w:sz w:val="20"/>
          <w:szCs w:val="20"/>
          <w:color w:val="auto"/>
        </w:rPr>
      </w:pPr>
      <w:r>
        <w:rPr>
          <w:rFonts w:ascii="Courier New" w:cs="Courier New" w:eastAsia="Courier New" w:hAnsi="Courier New"/>
          <w:sz w:val="16"/>
          <w:szCs w:val="16"/>
          <w:color w:val="auto"/>
        </w:rPr>
        <w:t>II-39</w:t>
      </w:r>
    </w:p>
    <w:p>
      <w:pPr>
        <w:sectPr>
          <w:pgSz w:w="11900" w:h="16838" w:orient="portrait"/>
          <w:cols w:equalWidth="0" w:num="1">
            <w:col w:w="9019"/>
          </w:cols>
          <w:pgMar w:left="1440" w:top="142" w:right="1440" w:bottom="1440" w:gutter="0" w:footer="0" w:header="0"/>
        </w:sectPr>
      </w:pPr>
    </w:p>
    <w:bookmarkStart w:id="91" w:name="page92"/>
    <w:bookmarkEnd w:id="91"/>
    <w:tbl>
      <w:tblPr>
        <w:tblLayout w:type="fixed"/>
        <w:tblInd w:w="1280" w:type="dxa"/>
        <w:tblCellMar>
          <w:top w:w="0" w:type="dxa"/>
          <w:left w:w="0" w:type="dxa"/>
          <w:bottom w:w="0" w:type="dxa"/>
          <w:right w:w="0" w:type="dxa"/>
        </w:tblCellMar>
      </w:tblPr>
      <w:tr>
        <w:trPr>
          <w:trHeight w:val="204"/>
        </w:trPr>
        <w:tc>
          <w:tcPr>
            <w:tcW w:w="2780" w:type="dxa"/>
            <w:vAlign w:val="bottom"/>
          </w:tcPr>
          <w:p>
            <w:pPr>
              <w:jc w:val="right"/>
              <w:spacing w:after="0"/>
              <w:rPr>
                <w:sz w:val="20"/>
                <w:szCs w:val="20"/>
                <w:color w:val="auto"/>
              </w:rPr>
            </w:pPr>
            <w:r>
              <w:rPr>
                <w:rFonts w:ascii="Courier New" w:cs="Courier New" w:eastAsia="Courier New" w:hAnsi="Courier New"/>
                <w:sz w:val="18"/>
                <w:szCs w:val="18"/>
                <w:color w:val="auto"/>
              </w:rPr>
              <w:t>VIACOM</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INC.</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AND</w:t>
            </w:r>
          </w:p>
        </w:tc>
        <w:tc>
          <w:tcPr>
            <w:tcW w:w="1940" w:type="dxa"/>
            <w:vAlign w:val="bottom"/>
          </w:tcPr>
          <w:p>
            <w:pPr>
              <w:spacing w:after="0"/>
              <w:rPr>
                <w:sz w:val="17"/>
                <w:szCs w:val="17"/>
                <w:color w:val="auto"/>
              </w:rPr>
            </w:pPr>
          </w:p>
        </w:tc>
      </w:tr>
      <w:tr>
        <w:trPr>
          <w:trHeight w:val="203"/>
        </w:trPr>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VIACOM INTERNATIONAL</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SUBSIDIARIES</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NOTES TO CONSOLIDATED FINANCIAL</w:t>
            </w:r>
          </w:p>
        </w:tc>
        <w:tc>
          <w:tcPr>
            <w:tcW w:w="2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STATEMENTS (continued)</w:t>
            </w:r>
          </w:p>
        </w:tc>
      </w:tr>
    </w:tbl>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All amortization estimates are reviewed periodically by management and are adjusted prospectively. Minimum guarantees or other costs estimated not to be recoverable from total estimated billings are expensed in the period any shortfall is determined.</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Depreciation and Amortization - Depreciation is computed principally by the straight-line method over estimated useful lives ranging principally from 3 to 15 years. Capitalized lease amortization of $5.5 million (1993) and $3.0 million (1992) is included in depreciation expense. Depreciation expense was $92.8 million (1993), $81.5 million (1992) and $70.1 million (1991).</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Intangibles resulting from business acquisitions are generally amortized over 40 years. Accumulated amortization relating to intangibles at December 31 was $412.5 million (1993) and $361.1 million (1992) .</w:t>
      </w:r>
    </w:p>
    <w:p>
      <w:pPr>
        <w:spacing w:after="0" w:line="209"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Equity in Loss of Affiliated Companies - Equity in loss of affiliated companies is primarily comprised of the Company's one-third interest in Lifetime, the 50% interest in Comedy Central, the 50% interest in Nickelodeon (UK) during 1993 and the 49.99% interest in MTV EUROPE prior to August 30, 1991. (See Note 3.)</w:t>
      </w:r>
    </w:p>
    <w:p>
      <w:pPr>
        <w:spacing w:after="0" w:line="182"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Provision for Doubtful Accounts - The provision for doubtful accounts charged to expense was $16.7 million (1993), $9.4 million (1992) and $15.9 million (1991).</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Net Earnings (Loss) per Common Share - Earnings (loss) per share is calculated based on the weighted average number of shares outstanding during the year. The effect of the assumed exercise of stock options and conversion of convertible debentures is not material for each of the years presented. For 1993, the assumed conversion of the Preferred Stock (as defined in Note 2) would have an antidilutive effect on fully-diluted earnings per common share. Therefore, the effects of such assumption are not reflected in net earnings (loss) per common share.</w:t>
      </w: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Interest Rate Protection Agreements - The amount to be paid or received is accrued as interest rates change and is recognized over the life of the agreements as an adjustment to interest expense.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SUBSEQUENT EVENTS</w:t>
      </w:r>
    </w:p>
    <w:p>
      <w:pPr>
        <w:spacing w:after="0" w:line="207"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On March 11, 1994, Viacom Inc. acquired, pursuant to a tender offer (the "Paramount Offer"), 61,657,432 shares of Paramount common stock, constituting a majority of the shares outstanding, at a price of $107 per share in cash. The Paramount Offer was financed by (i) the sale of Preferred Stock (see "Note 6"), proceeds of which are reflected as cash and cash equivalents on the balance sheet as of December 31, 1993, (ii) the sale of Viacom Class B Common Stock to Blockbuster and (iii) borrowings under a credit agreement (as described below). The Paramount Offer was made pursuant to the Amended and Restated Agreement and Plan of Merger dated as of February 4, 1994 (the "Paramount Merger Agreement") between Viacom Inc. and Paramount. Paramount will become a wholly owned subsidiary of Viacom Inc. (the "Paramount Merger") at the effective time of a merger between Paramount and a subsidiary of Viacom Inc. (the "Paramount Effective Time") which is expected to occur in the second quarter of 1994. Pursuant to the Paramount Merger Agreement, each share of Paramount common stock outstanding at the time of such merger (other than shares held in the treasury of Paramount or owned by Viacom Inc. and other than shares held by any stockholders who shall have demanded and perfected appraisal rights) will be converted into the right to receive (i) 0.93065 of a share of Viacom</w:t>
      </w:r>
    </w:p>
    <w:p>
      <w:pPr>
        <w:spacing w:after="0" w:line="193"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Class B Common Stock, (ii) $17.50 principal amount of 8% exchangeable subordinated debentures of Viacom Inc., (iii) 0.93065 of a contingent value right ("CVR"), (iv) 0.5 of a warrant to purchase one share of Viacom Class B Common Stock at any time prior to the third anniversary of the Paramount Merger at a price of $60 per share, and (v) 0.3 of a warrant to purchase one share of Viacom Class B Common Stock at any time prior to the fifth anniversary of the Paramount Merger at a price of $70 per share. If the debentures are issued prior to the completion of the purposed merger of Viacom Inc. and Blockbuster, the debentures will be exchangeable, at the option of Viacom Inc., into 5% exchangeable preferred stock of Viacom Inc. on or after January 1, 1995 if the proposed merger with Blockbuster has not previously been consummated.</w:t>
      </w:r>
    </w:p>
    <w:p>
      <w:pPr>
        <w:spacing w:after="0" w:line="200" w:lineRule="exact"/>
        <w:rPr>
          <w:sz w:val="20"/>
          <w:szCs w:val="20"/>
          <w:color w:val="auto"/>
        </w:rPr>
      </w:pPr>
    </w:p>
    <w:p>
      <w:pPr>
        <w:spacing w:after="0" w:line="38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II-40</w:t>
      </w:r>
    </w:p>
    <w:p>
      <w:pPr>
        <w:sectPr>
          <w:pgSz w:w="11900" w:h="16838" w:orient="portrait"/>
          <w:cols w:equalWidth="0" w:num="1">
            <w:col w:w="10219"/>
          </w:cols>
          <w:pgMar w:left="240" w:top="717" w:right="1440" w:bottom="0" w:gutter="0" w:footer="0" w:header="0"/>
        </w:sectPr>
      </w:pPr>
    </w:p>
    <w:bookmarkStart w:id="92" w:name="page93"/>
    <w:bookmarkEnd w:id="92"/>
    <w:tbl>
      <w:tblPr>
        <w:tblLayout w:type="fixed"/>
        <w:tblInd w:w="1280" w:type="dxa"/>
        <w:tblCellMar>
          <w:top w:w="0" w:type="dxa"/>
          <w:left w:w="0" w:type="dxa"/>
          <w:bottom w:w="0" w:type="dxa"/>
          <w:right w:w="0" w:type="dxa"/>
        </w:tblCellMar>
      </w:tblPr>
      <w:tr>
        <w:trPr>
          <w:trHeight w:val="204"/>
        </w:trPr>
        <w:tc>
          <w:tcPr>
            <w:tcW w:w="2780" w:type="dxa"/>
            <w:vAlign w:val="bottom"/>
          </w:tcPr>
          <w:p>
            <w:pPr>
              <w:jc w:val="right"/>
              <w:spacing w:after="0"/>
              <w:rPr>
                <w:sz w:val="20"/>
                <w:szCs w:val="20"/>
                <w:color w:val="auto"/>
              </w:rPr>
            </w:pPr>
            <w:r>
              <w:rPr>
                <w:rFonts w:ascii="Courier New" w:cs="Courier New" w:eastAsia="Courier New" w:hAnsi="Courier New"/>
                <w:sz w:val="18"/>
                <w:szCs w:val="18"/>
                <w:color w:val="auto"/>
              </w:rPr>
              <w:t>VIACOM</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INC.</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AND</w:t>
            </w:r>
          </w:p>
        </w:tc>
        <w:tc>
          <w:tcPr>
            <w:tcW w:w="1940" w:type="dxa"/>
            <w:vAlign w:val="bottom"/>
          </w:tcPr>
          <w:p>
            <w:pPr>
              <w:spacing w:after="0"/>
              <w:rPr>
                <w:sz w:val="17"/>
                <w:szCs w:val="17"/>
                <w:color w:val="auto"/>
              </w:rPr>
            </w:pPr>
          </w:p>
        </w:tc>
      </w:tr>
      <w:tr>
        <w:trPr>
          <w:trHeight w:val="203"/>
        </w:trPr>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VIACOM INTERNATIONAL</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SUBSIDIARIES</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NOTES TO CONSOLIDATED FINANCIAL</w:t>
            </w:r>
          </w:p>
        </w:tc>
        <w:tc>
          <w:tcPr>
            <w:tcW w:w="2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STATEMENTS (continued)</w:t>
            </w:r>
          </w:p>
        </w:tc>
      </w:tr>
    </w:tbl>
    <w:p>
      <w:pPr>
        <w:spacing w:after="0" w:line="200" w:lineRule="exact"/>
        <w:rPr>
          <w:sz w:val="20"/>
          <w:szCs w:val="20"/>
          <w:color w:val="auto"/>
        </w:rPr>
      </w:pP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Each CVR will represent the right to receive the amount, if any, by which the Target Price exceeds the greater of the Current Market Value and the Minimum Price (see defined terms in following paragraph). The CVRs will mature on the first anniversary of the Paramount Effective Time (the "Maturity Date"); provided, however, that Viacom Inc. may, at its option, (i) extend the Maturity Date to the second anniversary of the Paramount Effective Time (the "First Extended Maturity Date") or (ii) extend the First Extended Maturity Date to the third anniversary or the Paramount Effective Time (the "Second Extended Maturity Date"). Viacom Inc., at its option, may pay any amount due under the terms of the CVRs in cash or in the equivalent value of registered securities of Viacom Inc., including without limitation, common stock, preferred stock, notes, or other securities.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"Minimum Price" means (a) at the Maturity Date, $36, (b) at the First Extended Maturity Date, $37 and (c) at the Second Extended Maturity Date, $38. Target Price means (a) at the Maturity Date, $48, (b) at the First Extended Maturity Date, $51, and (c) at the Second Extended Maturity Date, $55. The "Current Market Value" means the average market price of Viacom Class B Common Stock for a specified period.</w:t>
      </w:r>
    </w:p>
    <w:p>
      <w:pPr>
        <w:spacing w:after="0" w:line="210"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On January 7, 1994, Viacom Inc. and Blockbuster entered into an agreement and plan of merger (the "Blockbuster Merger Agreement") pursuant to which Blockbuster will be merged with and into Viacom Inc. (the "Blockbuster Merger") subject to approval. At the effective time of the Blockbuster Merger, each share of Blockbuster common stock outstanding at the time of the Blockbuster Merger (other than shares held in the treasury of Blockbuster or owned by Viacom Inc. and other than shares held by any stockholders who shall have demanded and perfected appraisal rights, if available) will be converted into the right to receive (i) 0.08 of a share of Viacom Class A Common Stock,</w:t>
      </w:r>
    </w:p>
    <w:p>
      <w:pPr>
        <w:spacing w:after="0" w:line="2" w:lineRule="exact"/>
        <w:rPr>
          <w:sz w:val="20"/>
          <w:szCs w:val="20"/>
          <w:color w:val="auto"/>
        </w:rPr>
      </w:pPr>
    </w:p>
    <w:p>
      <w:pPr>
        <w:ind w:right="2199" w:firstLine="8"/>
        <w:spacing w:after="0" w:line="271" w:lineRule="auto"/>
        <w:tabs>
          <w:tab w:leader="none" w:pos="527"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0.60615 of a share of Viacom Class B Common Stock, and (iii) up to an additional 0.13829 of a share of Viacom Class B Common Stock, with the exact fraction of a share being dependent on the market prices of Viacom Class B Common Stock during the year following the effective time of the Blockbuster Merger, and with the right to receive such additional fraction of a share to be evidenced by one variable common right ("VCR"). The VCRs mature on the first anniversary of the Blockbuster Merger ("VCR Conversion Date").</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mergers pursuant to the Paramount Merger Agreement and Blockbuster Merger Agreement (collectively, the "Mergers") have been unanimously approved by the Boards of Directors of each of the respective companies. The obligations of Viacom Inc., Blockbuster and Paramount to consummate the mergers are subject to various conditions, including obtaining requisite stockholder approvals.</w:t>
      </w:r>
    </w:p>
    <w:p>
      <w:pPr>
        <w:spacing w:after="0" w:line="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Viacom Inc. intends to vote its shares of Paramount in favor of the merger and NAI has agreed to vote its shares of Viacom Inc. in favor of the Mergers; therefore, stockholder approval of the Paramount Merger is assured, and approval by Viacom Inc. of the Blockbuster Merger is also assured.</w:t>
      </w:r>
    </w:p>
    <w:p>
      <w:pPr>
        <w:spacing w:after="0" w:line="207"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The Mergers will be accounted for under the purchase method of accounting. The unaudited condensed pro forma data for the year ended or at December 31, 1993 presented below assumes the Mergers occurred on January 1, 1993 for statement of operations data or at December 31, 1993 for balance sheet data. Intangible assets are expected to be amortized over 40 years on a straight-line basis.</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unaudited pro forma information is not necessarily indicative of the combined results of operations or financial position of Viacom Inc., Paramount and Blockbuster (the "Combined Company") following the Mergers that would have occurred if the completion of the Mergers had occurred on the dates previously indicated nor are they necessarily indicative of future operating results of the Combined Company.</w:t>
      </w: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II-41</w:t>
      </w:r>
    </w:p>
    <w:p>
      <w:pPr>
        <w:sectPr>
          <w:pgSz w:w="11900" w:h="16838" w:orient="portrait"/>
          <w:cols w:equalWidth="0" w:num="1">
            <w:col w:w="10219"/>
          </w:cols>
          <w:pgMar w:left="240" w:top="717" w:right="1440" w:bottom="1440" w:gutter="0" w:footer="0" w:header="0"/>
        </w:sectPr>
      </w:pPr>
    </w:p>
    <w:bookmarkStart w:id="93" w:name="page94"/>
    <w:bookmarkEnd w:id="93"/>
    <w:p>
      <w:pPr>
        <w:jc w:val="center"/>
        <w:ind w:right="1879"/>
        <w:spacing w:after="0"/>
        <w:rPr>
          <w:sz w:val="20"/>
          <w:szCs w:val="20"/>
          <w:color w:val="auto"/>
        </w:rPr>
      </w:pPr>
      <w:r>
        <w:rPr>
          <w:rFonts w:ascii="Courier New" w:cs="Courier New" w:eastAsia="Courier New" w:hAnsi="Courier New"/>
          <w:sz w:val="18"/>
          <w:szCs w:val="18"/>
          <w:color w:val="auto"/>
        </w:rPr>
        <w:t>VIACOM INC. AND</w:t>
      </w:r>
    </w:p>
    <w:p>
      <w:pPr>
        <w:jc w:val="center"/>
        <w:ind w:right="1979"/>
        <w:spacing w:after="0" w:line="238" w:lineRule="auto"/>
        <w:rPr>
          <w:sz w:val="20"/>
          <w:szCs w:val="20"/>
          <w:color w:val="auto"/>
        </w:rPr>
      </w:pPr>
      <w:r>
        <w:rPr>
          <w:rFonts w:ascii="Courier New" w:cs="Courier New" w:eastAsia="Courier New" w:hAnsi="Courier New"/>
          <w:sz w:val="18"/>
          <w:szCs w:val="18"/>
          <w:color w:val="auto"/>
        </w:rPr>
        <w:t>VIACOM INTERNATIONAL INC. AND SUBSIDIARIES</w:t>
      </w:r>
    </w:p>
    <w:p>
      <w:pPr>
        <w:jc w:val="center"/>
        <w:ind w:right="19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tcPr>
          <w:p>
            <w:pPr>
              <w:spacing w:after="0"/>
              <w:rPr>
                <w:sz w:val="17"/>
                <w:szCs w:val="17"/>
                <w:color w:val="auto"/>
              </w:rPr>
            </w:pPr>
          </w:p>
        </w:tc>
        <w:tc>
          <w:tcPr>
            <w:tcW w:w="200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w w:val="96"/>
              </w:rPr>
              <w:t>Year Ended or at</w:t>
            </w:r>
          </w:p>
        </w:tc>
      </w:tr>
      <w:tr>
        <w:trPr>
          <w:trHeight w:val="203"/>
        </w:trPr>
        <w:tc>
          <w:tcPr>
            <w:tcW w:w="6120" w:type="dxa"/>
            <w:vAlign w:val="bottom"/>
          </w:tcPr>
          <w:p>
            <w:pPr>
              <w:spacing w:after="0"/>
              <w:rPr>
                <w:sz w:val="17"/>
                <w:szCs w:val="17"/>
                <w:color w:val="auto"/>
              </w:rPr>
            </w:pPr>
          </w:p>
        </w:tc>
        <w:tc>
          <w:tcPr>
            <w:tcW w:w="2000" w:type="dxa"/>
            <w:vAlign w:val="bottom"/>
            <w:gridSpan w:val="2"/>
          </w:tcPr>
          <w:p>
            <w:pPr>
              <w:jc w:val="center"/>
              <w:ind w:right="132"/>
              <w:spacing w:after="0" w:line="203" w:lineRule="exact"/>
              <w:rPr>
                <w:sz w:val="20"/>
                <w:szCs w:val="20"/>
                <w:color w:val="auto"/>
              </w:rPr>
            </w:pPr>
            <w:r>
              <w:rPr>
                <w:rFonts w:ascii="Courier New" w:cs="Courier New" w:eastAsia="Courier New" w:hAnsi="Courier New"/>
                <w:sz w:val="18"/>
                <w:szCs w:val="18"/>
                <w:color w:val="auto"/>
                <w:w w:val="96"/>
              </w:rPr>
              <w:t>December 31, 1993</w:t>
            </w:r>
          </w:p>
        </w:tc>
      </w:tr>
      <w:tr>
        <w:trPr>
          <w:trHeight w:val="203"/>
        </w:trPr>
        <w:tc>
          <w:tcPr>
            <w:tcW w:w="6120" w:type="dxa"/>
            <w:vAlign w:val="bottom"/>
          </w:tcPr>
          <w:p>
            <w:pPr>
              <w:spacing w:after="0"/>
              <w:rPr>
                <w:sz w:val="17"/>
                <w:szCs w:val="17"/>
                <w:color w:val="auto"/>
              </w:rPr>
            </w:pPr>
          </w:p>
        </w:tc>
        <w:tc>
          <w:tcPr>
            <w:tcW w:w="2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120" w:type="dxa"/>
            <w:vAlign w:val="bottom"/>
            <w:gridSpan w:val="3"/>
          </w:tcPr>
          <w:p>
            <w:pPr>
              <w:jc w:val="center"/>
              <w:ind w:left="5812"/>
              <w:spacing w:after="0" w:line="203" w:lineRule="exact"/>
              <w:rPr>
                <w:sz w:val="20"/>
                <w:szCs w:val="20"/>
                <w:color w:val="auto"/>
              </w:rPr>
            </w:pPr>
            <w:r>
              <w:rPr>
                <w:rFonts w:ascii="Courier New" w:cs="Courier New" w:eastAsia="Courier New" w:hAnsi="Courier New"/>
                <w:sz w:val="18"/>
                <w:szCs w:val="18"/>
                <w:color w:val="auto"/>
                <w:w w:val="97"/>
              </w:rPr>
              <w:t>(Millions of dollars)</w:t>
            </w:r>
          </w:p>
        </w:tc>
      </w:tr>
      <w:tr>
        <w:trPr>
          <w:trHeight w:val="203"/>
        </w:trPr>
        <w:tc>
          <w:tcPr>
            <w:tcW w:w="6120" w:type="dxa"/>
            <w:vAlign w:val="bottom"/>
          </w:tcPr>
          <w:p>
            <w:pPr>
              <w:spacing w:after="0"/>
              <w:rPr>
                <w:sz w:val="17"/>
                <w:szCs w:val="17"/>
                <w:color w:val="auto"/>
              </w:rPr>
            </w:pPr>
          </w:p>
        </w:tc>
        <w:tc>
          <w:tcPr>
            <w:tcW w:w="2000" w:type="dxa"/>
            <w:vAlign w:val="bottom"/>
            <w:gridSpan w:val="2"/>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(Unaudited)</w:t>
            </w: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Results of operations data:</w:t>
            </w: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20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$9,624.1</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from operations</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887.9</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Net earnings before extraordinary items, cumulative effect</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of changes in accounting principles and preferred stock</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135.6</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 attributable to common stock before</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extraordinary items and cumulative effect of changes in</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accounting principles</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75.6</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Primary earnings per common share before</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extraordinary items and cumulative effect of changes in</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accounting principles</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.18</w:t>
            </w: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Balance sheet data:</w:t>
            </w: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20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$24,377.3</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including current maturities</w:t>
            </w:r>
          </w:p>
        </w:tc>
        <w:tc>
          <w:tcPr>
            <w:tcW w:w="20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$ 9,998.8</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w:t>
            </w:r>
          </w:p>
        </w:tc>
        <w:tc>
          <w:tcPr>
            <w:tcW w:w="20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$ 1,200.0</w:t>
            </w: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w:t>
            </w:r>
          </w:p>
        </w:tc>
        <w:tc>
          <w:tcPr>
            <w:tcW w:w="20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$ 8,844.8</w:t>
            </w:r>
          </w:p>
        </w:tc>
      </w:tr>
    </w:tbl>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March 10, 1994, Blockbuster purchased approximately 22.7 million shares of Viacom Class B Common Stock for an aggregate purchase price of $1.25 billion, or $55 per share. If (with certain exceptions) the Blockbuster Merger Agreement is terminated and in the event that Viacom Class B Common Stock trades (for a specified period) at a level below $55 per share during the one year period after such termination, Viacom Inc. may be obligated to make certain payments of up to a maximum of $275 million, at its option, in cash or securities, or to sell certain assets to Blockbuster. The Viacom Class B Common Stock purchased by Blockbuster will be canceled upon consummation of the Blockbuster Merger.</w:t>
      </w: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February 15, 1994, Blockbuster entered into a credit agreement with certain financial institutions named therein, pursuant to which such financial institutions have advanced to Blockbuster, on an unsecured basis, an aggregate of $1.0 billion to finance a portion of the purchase of the shares under the Subscription Agreement (the "Blockbuster Facility"). The Blockbuster Facility contains certain events of default, including a change of control default, which will require either a waiver in connection with the Blockbuster Merger or the refinancing of the indebtedness incurred by Blockbuster under the Blockbuster Facility.</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March 11, 1994, Viacom Inc. borrowed $3.7 billion under a credit agreement dated as of November 19, 1993, as amended on January 4, 1994 and February 15, 1994, among Viacom Inc., the banks named therein, and The Bank of New York, Citibank, N.A. and Morgan Guaranty Trust Company of New York, as Managing Agents (the "Merger Credit Agreement").</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Merger Credit Agreement provides that, in order to pay for the Paramount Offer and related expenses, up to $3.7 billion may be borrowed, repaid and reborrowed until November 18, 1994, at which time all amounts outstanding will become due and payable.</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Merger Credit Agreement provides that Viacom Inc. may elect to borrow at either the Base Rate or the Eurodollar Rate (each as defined below), subject to certain limitations. The "Base Rate" will be the higher of (i) the Citibank N.A., Base Rate and (ii) the Federal Funds Rate plus 0.50%. The "Eurodollar Rate" will be the London Interbank Offered Rate plus (i) 0.9375%, until Viacom Inc.'s senior unsecured long-term debt is rated by Standard &amp; Poor's Corporation or Moody's Investors Service, Inc., and (ii) thereafter, a variable</w:t>
      </w:r>
    </w:p>
    <w:p>
      <w:pPr>
        <w:spacing w:after="0" w:line="38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II-42</w:t>
      </w:r>
    </w:p>
    <w:p>
      <w:pPr>
        <w:sectPr>
          <w:pgSz w:w="11900" w:h="16838" w:orient="portrait"/>
          <w:cols w:equalWidth="0" w:num="1">
            <w:col w:w="10219"/>
          </w:cols>
          <w:pgMar w:left="240" w:top="717" w:right="1440" w:bottom="564" w:gutter="0" w:footer="0" w:header="0"/>
        </w:sectPr>
      </w:pPr>
    </w:p>
    <w:bookmarkStart w:id="94" w:name="page95"/>
    <w:bookmarkEnd w:id="94"/>
    <w:tbl>
      <w:tblPr>
        <w:tblLayout w:type="fixed"/>
        <w:tblInd w:w="1280" w:type="dxa"/>
        <w:tblCellMar>
          <w:top w:w="0" w:type="dxa"/>
          <w:left w:w="0" w:type="dxa"/>
          <w:bottom w:w="0" w:type="dxa"/>
          <w:right w:w="0" w:type="dxa"/>
        </w:tblCellMar>
      </w:tblPr>
      <w:tr>
        <w:trPr>
          <w:trHeight w:val="204"/>
        </w:trPr>
        <w:tc>
          <w:tcPr>
            <w:tcW w:w="2780" w:type="dxa"/>
            <w:vAlign w:val="bottom"/>
          </w:tcPr>
          <w:p>
            <w:pPr>
              <w:jc w:val="right"/>
              <w:spacing w:after="0"/>
              <w:rPr>
                <w:sz w:val="20"/>
                <w:szCs w:val="20"/>
                <w:color w:val="auto"/>
              </w:rPr>
            </w:pPr>
            <w:r>
              <w:rPr>
                <w:rFonts w:ascii="Courier New" w:cs="Courier New" w:eastAsia="Courier New" w:hAnsi="Courier New"/>
                <w:sz w:val="18"/>
                <w:szCs w:val="18"/>
                <w:color w:val="auto"/>
              </w:rPr>
              <w:t>VIACOM</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INC.</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AND</w:t>
            </w:r>
          </w:p>
        </w:tc>
        <w:tc>
          <w:tcPr>
            <w:tcW w:w="1940" w:type="dxa"/>
            <w:vAlign w:val="bottom"/>
          </w:tcPr>
          <w:p>
            <w:pPr>
              <w:spacing w:after="0"/>
              <w:rPr>
                <w:sz w:val="17"/>
                <w:szCs w:val="17"/>
                <w:color w:val="auto"/>
              </w:rPr>
            </w:pPr>
          </w:p>
        </w:tc>
      </w:tr>
      <w:tr>
        <w:trPr>
          <w:trHeight w:val="203"/>
        </w:trPr>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VIACOM INTERNATIONAL</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SUBSIDIARIES</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NOTES TO CONSOLIDATED FINANCIAL</w:t>
            </w:r>
          </w:p>
        </w:tc>
        <w:tc>
          <w:tcPr>
            <w:tcW w:w="2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STATEMENTS (continued)</w:t>
            </w:r>
          </w:p>
        </w:tc>
      </w:tr>
    </w:tbl>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rate ranging from 0.25% to 0.9375% dependent on the senior unsecured long-term debt rating assigned to Viacom Inc. The Merger Credit Agreement provides that Viacom Inc. will pay each bank a facility fee on such bank's commitment until November 18, 1994.</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Merger Credit Agreement contains certain covenants which, among other things require Viacom Inc. to meet certain financial ratios.</w:t>
      </w:r>
    </w:p>
    <w:p>
      <w:pPr>
        <w:spacing w:after="0" w:line="208"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As of December 31, 1993, Viacom Inc. has promissory notes outstanding in the aggregate amount of $26 million, in order to finance expenses associated with the Mergers and expects to obtain additional financing as required to finance such expenses.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ACQUISITIONS AND VENTURES</w:t>
      </w:r>
    </w:p>
    <w:p>
      <w:pPr>
        <w:spacing w:after="0" w:line="207"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On November 1, 1993, the Company exchanged KIKK-AM/FM, Houston, Texas, for Westinghouse Broadcasting Company, Inc.'s WCXR-FM and WCPT-AM, Washington, D.C., and cash.</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On June 16, 1993, the Company purchased KXEZ-FM (formerly KQLZ-FM), Los Angeles, California from Westwood One Stations Group-LA, Inc. for $40 million in cash and certain other consideration. The Company sold KXEZ-FM to Viacom Inc. in exchange for a $40 million promissory note.</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On May 5, 1993, the Company completed the purchase of privately held ICOM Simulations, Inc.</w:t>
      </w:r>
    </w:p>
    <w:p>
      <w:pPr>
        <w:spacing w:after="0" w:line="208"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On March 31, 1993, the Company increased its percentage of ownership in StarSight Telecast Inc. ("StarSight"). On August 5, 1993, StarSight completed an initial public offering of 3,105,000 shares of common stock. On September 16, 1993, the Company exercised a warrant to purchase 833,333 shares of StarSight common stock at a cost of $5.625 per share. In November 1993, the Company transferred its ownership percentage in StarSight to a consolidated affiliate of the Company. As a result of these transactions, the affiliate's of the Company's percentage ownership of StarSight is approximately 21%. The investment in StarSight is accounted for under the equity method.</w:t>
      </w:r>
    </w:p>
    <w:p>
      <w:pPr>
        <w:spacing w:after="0" w:line="18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December 1992, the Company entered into a 50-50 joint venture called Nickelodeon (UK) with a subsidiary of British Sky Broadcasting Limited. Nickelodeon (UK) began airing on September 1, 1993. The Company's investment is accounted for under the equity method.</w:t>
      </w:r>
    </w:p>
    <w:p>
      <w:pPr>
        <w:spacing w:after="0" w:line="207"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The Company exchanged KHOW-AM and FM, Denver, Colorado for Noble Broadcast Group, Inc.'s KNDD-FM, Seattle, Washington effective December 28, 1992.</w:t>
      </w:r>
    </w:p>
    <w:p>
      <w:pPr>
        <w:spacing w:after="0" w:line="170"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On August 30, 1991, Viacom Inc. increased its interest in MTV EUROPE to 100% through the purchase of the 50.01% interest held by an affiliate of Mirror Group Newspapers. The approximate value of the purchase was $65.0 million, which included intangibles of approximately $61.6 million. As consideration for the sale, Viacom Inc. issued 2,210,884 shares of Viacom Class B Common Stock (See Note 6).</w:t>
      </w: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II-43</w:t>
      </w:r>
    </w:p>
    <w:p>
      <w:pPr>
        <w:sectPr>
          <w:pgSz w:w="11900" w:h="16838" w:orient="portrait"/>
          <w:cols w:equalWidth="0" w:num="1">
            <w:col w:w="10219"/>
          </w:cols>
          <w:pgMar w:left="240" w:top="717" w:right="1440" w:bottom="1440" w:gutter="0" w:footer="0" w:header="0"/>
        </w:sectPr>
      </w:pPr>
    </w:p>
    <w:bookmarkStart w:id="95" w:name="page96"/>
    <w:bookmarkEnd w:id="95"/>
    <w:tbl>
      <w:tblPr>
        <w:tblLayout w:type="fixed"/>
        <w:tblInd w:w="1280" w:type="dxa"/>
        <w:tblCellMar>
          <w:top w:w="0" w:type="dxa"/>
          <w:left w:w="0" w:type="dxa"/>
          <w:bottom w:w="0" w:type="dxa"/>
          <w:right w:w="0" w:type="dxa"/>
        </w:tblCellMar>
      </w:tblPr>
      <w:tr>
        <w:trPr>
          <w:trHeight w:val="204"/>
        </w:trPr>
        <w:tc>
          <w:tcPr>
            <w:tcW w:w="2780" w:type="dxa"/>
            <w:vAlign w:val="bottom"/>
          </w:tcPr>
          <w:p>
            <w:pPr>
              <w:jc w:val="right"/>
              <w:spacing w:after="0"/>
              <w:rPr>
                <w:sz w:val="20"/>
                <w:szCs w:val="20"/>
                <w:color w:val="auto"/>
              </w:rPr>
            </w:pPr>
            <w:r>
              <w:rPr>
                <w:rFonts w:ascii="Courier New" w:cs="Courier New" w:eastAsia="Courier New" w:hAnsi="Courier New"/>
                <w:sz w:val="18"/>
                <w:szCs w:val="18"/>
                <w:color w:val="auto"/>
              </w:rPr>
              <w:t>VIACOM</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INC.</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AND</w:t>
            </w:r>
          </w:p>
        </w:tc>
        <w:tc>
          <w:tcPr>
            <w:tcW w:w="1940" w:type="dxa"/>
            <w:vAlign w:val="bottom"/>
          </w:tcPr>
          <w:p>
            <w:pPr>
              <w:spacing w:after="0"/>
              <w:rPr>
                <w:sz w:val="17"/>
                <w:szCs w:val="17"/>
                <w:color w:val="auto"/>
              </w:rPr>
            </w:pPr>
          </w:p>
        </w:tc>
      </w:tr>
      <w:tr>
        <w:trPr>
          <w:trHeight w:val="203"/>
        </w:trPr>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VIACOM INTERNATIONAL</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SUBSIDIARIES</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NOTES TO CONSOLIDATED FINANCIAL</w:t>
            </w:r>
          </w:p>
        </w:tc>
        <w:tc>
          <w:tcPr>
            <w:tcW w:w="2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STATEMENTS (continued)</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BANK FINANCING AND DEBT</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Total debt, which includes short-term and long-term debt, consists of the following:</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December 31,</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7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1993</w:t>
            </w: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1992</w:t>
            </w:r>
          </w:p>
        </w:tc>
      </w:tr>
      <w:tr>
        <w:trPr>
          <w:trHeight w:val="203"/>
        </w:trPr>
        <w:tc>
          <w:tcPr>
            <w:tcW w:w="7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(Thousands of dollars)</w:t>
            </w:r>
          </w:p>
        </w:tc>
      </w:tr>
      <w:tr>
        <w:trPr>
          <w:trHeight w:val="405"/>
        </w:trPr>
        <w:tc>
          <w:tcPr>
            <w:tcW w:w="4900" w:type="dxa"/>
            <w:vAlign w:val="bottom"/>
            <w:gridSpan w:val="2"/>
          </w:tcPr>
          <w:p>
            <w:pPr>
              <w:spacing w:after="0"/>
              <w:rPr>
                <w:sz w:val="20"/>
                <w:szCs w:val="20"/>
                <w:color w:val="auto"/>
              </w:rPr>
            </w:pPr>
            <w:r>
              <w:rPr>
                <w:rFonts w:ascii="Courier New" w:cs="Courier New" w:eastAsia="Courier New" w:hAnsi="Courier New"/>
                <w:sz w:val="18"/>
                <w:szCs w:val="18"/>
                <w:color w:val="auto"/>
              </w:rPr>
              <w:t>Notes payable to banks (a)</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$1,983,275</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$1,648,984</w:t>
            </w:r>
          </w:p>
        </w:tc>
      </w:tr>
      <w:tr>
        <w:trPr>
          <w:trHeight w:val="203"/>
        </w:trPr>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11.80%</w:t>
            </w:r>
          </w:p>
        </w:tc>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Senior Subordinated Notes due 1998</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298,000</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9.125%</w:t>
            </w:r>
          </w:p>
        </w:tc>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Senior Subordinated Notes due 1999 (b)</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150,000</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150,000</w:t>
            </w:r>
          </w:p>
        </w:tc>
      </w:tr>
      <w:tr>
        <w:trPr>
          <w:trHeight w:val="203"/>
        </w:trPr>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8.75%</w:t>
            </w:r>
          </w:p>
        </w:tc>
        <w:tc>
          <w:tcPr>
            <w:tcW w:w="5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Senior Subordinated Reset Notesdue 2001 (c) 100,000</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100,000</w:t>
            </w:r>
          </w:p>
        </w:tc>
      </w:tr>
      <w:tr>
        <w:trPr>
          <w:trHeight w:val="203"/>
        </w:trPr>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10.25%</w:t>
            </w:r>
          </w:p>
        </w:tc>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Senior Subordinated Notes due 2001 (d)</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200,000</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200,000</w:t>
            </w:r>
          </w:p>
        </w:tc>
      </w:tr>
      <w:tr>
        <w:trPr>
          <w:trHeight w:val="203"/>
        </w:trPr>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5.75%</w:t>
            </w:r>
          </w:p>
        </w:tc>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Convertible Subordinated Debentures</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90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due 2001</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7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2,433,290</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2,397,014</w:t>
            </w:r>
          </w:p>
        </w:tc>
      </w:tr>
      <w:tr>
        <w:trPr>
          <w:trHeight w:val="203"/>
        </w:trPr>
        <w:tc>
          <w:tcPr>
            <w:tcW w:w="4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Less current portion</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55,004</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$2,378,286</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$2,397,014</w:t>
            </w:r>
          </w:p>
        </w:tc>
      </w:tr>
      <w:tr>
        <w:trPr>
          <w:trHeight w:val="203"/>
        </w:trPr>
        <w:tc>
          <w:tcPr>
            <w:tcW w:w="7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2099" w:firstLine="1061"/>
        <w:spacing w:after="0" w:line="270" w:lineRule="auto"/>
        <w:tabs>
          <w:tab w:leader="none" w:pos="1475"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At December 31, 1993, there were aggregate borrowing facilities of $1.9 billion and $300 million under (i) an unsecured credit agreement guaranteed by Viacom Inc. (amended and restated as of January 17, 1992, (as amended, the "Credit Agreement") among the Company the named banks ("Banks"), Citibank, N.A. ("Citibank") as agent and The Bank of New York ("BONY") as co-agent and (ii) an unsecured credit agreement, dated June 2, 1993, among the Company and the named banks and BONY and Citibank as agents (the "Loan Facility Agreement"). The Loan Facility Agreement has a 364-day term and is identical to the Credit Agreement in all other material terms and conditions. Borrowings of $1.765 billion were outstanding under the Credit Agreement as of December 31, 1993, including $274 million aggregate principal amount assumed by five subsidiaries of the Company ("Subsidiary Obligors"). Borrowings of $150 million were outstanding under the Loan Facility Agreement as of December 31, 1993, $135 million of which were classified as long-term.</w:t>
      </w:r>
    </w:p>
    <w:p>
      <w:pPr>
        <w:spacing w:after="0" w:line="388"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following is a summary description of the amended and restated Credit Agreement. The description does not purport to be complete and should be read in conjunction with the Credit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Credit Agreement provides for three facilities:</w:t>
      </w:r>
    </w:p>
    <w:p>
      <w:pPr>
        <w:spacing w:after="0" w:line="201"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Facility A</w:t>
            </w:r>
          </w:p>
        </w:tc>
        <w:tc>
          <w:tcPr>
            <w:tcW w:w="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$700</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w w:val="99"/>
              </w:rPr>
              <w:t>million under a</w:t>
            </w:r>
          </w:p>
        </w:tc>
        <w:tc>
          <w:tcPr>
            <w:tcW w:w="1060" w:type="dxa"/>
            <w:vAlign w:val="bottom"/>
          </w:tcPr>
          <w:p>
            <w:pPr>
              <w:ind w:left="40"/>
              <w:spacing w:after="0"/>
              <w:rPr>
                <w:sz w:val="20"/>
                <w:szCs w:val="20"/>
                <w:color w:val="auto"/>
              </w:rPr>
            </w:pPr>
            <w:r>
              <w:rPr>
                <w:rFonts w:ascii="Courier New" w:cs="Courier New" w:eastAsia="Courier New" w:hAnsi="Courier New"/>
                <w:sz w:val="18"/>
                <w:szCs w:val="18"/>
                <w:color w:val="auto"/>
              </w:rPr>
              <w:t>term loan</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having a</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final</w:t>
            </w:r>
          </w:p>
        </w:tc>
      </w:tr>
      <w:tr>
        <w:trPr>
          <w:trHeight w:val="203"/>
        </w:trPr>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maturity of June 30,</w:t>
            </w:r>
          </w:p>
        </w:tc>
        <w:tc>
          <w:tcPr>
            <w:tcW w:w="1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1999;</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Facility B</w:t>
            </w:r>
          </w:p>
        </w:tc>
        <w:tc>
          <w:tcPr>
            <w:tcW w:w="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$926</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w w:val="99"/>
              </w:rPr>
              <w:t>million under a</w:t>
            </w:r>
          </w:p>
        </w:tc>
        <w:tc>
          <w:tcPr>
            <w:tcW w:w="1060" w:type="dxa"/>
            <w:vAlign w:val="bottom"/>
          </w:tcPr>
          <w:p>
            <w:pPr>
              <w:ind w:left="40"/>
              <w:spacing w:after="0"/>
              <w:rPr>
                <w:sz w:val="20"/>
                <w:szCs w:val="20"/>
                <w:color w:val="auto"/>
              </w:rPr>
            </w:pPr>
            <w:r>
              <w:rPr>
                <w:rFonts w:ascii="Courier New" w:cs="Courier New" w:eastAsia="Courier New" w:hAnsi="Courier New"/>
                <w:sz w:val="18"/>
                <w:szCs w:val="18"/>
                <w:color w:val="auto"/>
              </w:rPr>
              <w:t>revolver,</w:t>
            </w:r>
          </w:p>
        </w:tc>
        <w:tc>
          <w:tcPr>
            <w:tcW w:w="18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6"/>
              </w:rPr>
              <w:t>which converts on</w:t>
            </w:r>
          </w:p>
        </w:tc>
      </w:tr>
      <w:tr>
        <w:trPr>
          <w:trHeight w:val="203"/>
        </w:trPr>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January 1, 1995 into</w:t>
            </w:r>
          </w:p>
        </w:tc>
        <w:tc>
          <w:tcPr>
            <w:tcW w:w="2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a term loan having</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final</w:t>
            </w:r>
          </w:p>
        </w:tc>
      </w:tr>
      <w:tr>
        <w:trPr>
          <w:trHeight w:val="203"/>
        </w:trPr>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maturity of June 30,</w:t>
            </w:r>
          </w:p>
        </w:tc>
        <w:tc>
          <w:tcPr>
            <w:tcW w:w="1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1999; and</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16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w w:val="96"/>
              </w:rPr>
              <w:t>Facility B-1 -</w:t>
            </w:r>
          </w:p>
        </w:tc>
        <w:tc>
          <w:tcPr>
            <w:tcW w:w="700" w:type="dxa"/>
            <w:vAlign w:val="bottom"/>
          </w:tcPr>
          <w:p>
            <w:pPr>
              <w:ind w:left="220"/>
              <w:spacing w:after="0"/>
              <w:rPr>
                <w:sz w:val="20"/>
                <w:szCs w:val="20"/>
                <w:color w:val="auto"/>
              </w:rPr>
            </w:pPr>
            <w:r>
              <w:rPr>
                <w:rFonts w:ascii="Courier New" w:cs="Courier New" w:eastAsia="Courier New" w:hAnsi="Courier New"/>
                <w:sz w:val="18"/>
                <w:szCs w:val="18"/>
                <w:color w:val="auto"/>
              </w:rPr>
              <w:t>$274</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w w:val="99"/>
              </w:rPr>
              <w:t>million under a</w:t>
            </w:r>
          </w:p>
        </w:tc>
        <w:tc>
          <w:tcPr>
            <w:tcW w:w="1060" w:type="dxa"/>
            <w:vAlign w:val="bottom"/>
          </w:tcPr>
          <w:p>
            <w:pPr>
              <w:ind w:left="40"/>
              <w:spacing w:after="0"/>
              <w:rPr>
                <w:sz w:val="20"/>
                <w:szCs w:val="20"/>
                <w:color w:val="auto"/>
              </w:rPr>
            </w:pPr>
            <w:r>
              <w:rPr>
                <w:rFonts w:ascii="Courier New" w:cs="Courier New" w:eastAsia="Courier New" w:hAnsi="Courier New"/>
                <w:sz w:val="18"/>
                <w:szCs w:val="18"/>
                <w:color w:val="auto"/>
              </w:rPr>
              <w:t>term loan</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having a</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final</w:t>
            </w:r>
          </w:p>
        </w:tc>
      </w:tr>
      <w:tr>
        <w:trPr>
          <w:trHeight w:val="203"/>
        </w:trPr>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maturity of June 30,</w:t>
            </w:r>
          </w:p>
        </w:tc>
        <w:tc>
          <w:tcPr>
            <w:tcW w:w="1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1999.</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The interest rate on all loans made under the three facilities is based upon Citibank, N.A.'s base rate, the domestic certificate of deposit rate or the London Interbank Offered Rate and is affected by the Company's leverage ratio. At December 31, 1993, the London Interbank Offered Rates (upon which the Company's borrowing rate was based) for borrowing periods of one month and two months were 3.25% and 3.3125%, respectively. The Company is permitted to issue commercial paper with a maturity at the time of issuance not to exceed nine months, provided that following each issuance of commercial paper, (i) the aggregate face amount of commercial paper outstanding shall not exceed $500 million less the aggregate amount of competitive bid rate borrowings (described</w:t>
      </w:r>
    </w:p>
    <w:p>
      <w:pPr>
        <w:spacing w:after="0" w:line="38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II-44</w:t>
      </w:r>
    </w:p>
    <w:p>
      <w:pPr>
        <w:sectPr>
          <w:pgSz w:w="11900" w:h="16838" w:orient="portrait"/>
          <w:cols w:equalWidth="0" w:num="1">
            <w:col w:w="10219"/>
          </w:cols>
          <w:pgMar w:left="240" w:top="717" w:right="1440" w:bottom="362" w:gutter="0" w:footer="0" w:header="0"/>
        </w:sectPr>
      </w:pPr>
    </w:p>
    <w:bookmarkStart w:id="96" w:name="page97"/>
    <w:bookmarkEnd w:id="96"/>
    <w:p>
      <w:pPr>
        <w:jc w:val="center"/>
        <w:ind w:right="1879"/>
        <w:spacing w:after="0"/>
        <w:rPr>
          <w:sz w:val="20"/>
          <w:szCs w:val="20"/>
          <w:color w:val="auto"/>
        </w:rPr>
      </w:pPr>
      <w:r>
        <w:rPr>
          <w:rFonts w:ascii="Courier New" w:cs="Courier New" w:eastAsia="Courier New" w:hAnsi="Courier New"/>
          <w:sz w:val="18"/>
          <w:szCs w:val="18"/>
          <w:color w:val="auto"/>
        </w:rPr>
        <w:t>VIACOM INC. AND</w:t>
      </w:r>
    </w:p>
    <w:p>
      <w:pPr>
        <w:jc w:val="center"/>
        <w:ind w:right="1999"/>
        <w:spacing w:after="0" w:line="238" w:lineRule="auto"/>
        <w:rPr>
          <w:sz w:val="20"/>
          <w:szCs w:val="20"/>
          <w:color w:val="auto"/>
        </w:rPr>
      </w:pPr>
      <w:r>
        <w:rPr>
          <w:rFonts w:ascii="Courier New" w:cs="Courier New" w:eastAsia="Courier New" w:hAnsi="Courier New"/>
          <w:sz w:val="18"/>
          <w:szCs w:val="18"/>
          <w:color w:val="auto"/>
        </w:rPr>
        <w:t>VIACOM INTERNATIONAL INC. AND SUBSIDIARIES</w:t>
      </w:r>
    </w:p>
    <w:p>
      <w:pPr>
        <w:jc w:val="center"/>
        <w:ind w:right="199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0" w:lineRule="exact"/>
        <w:rPr>
          <w:sz w:val="20"/>
          <w:szCs w:val="20"/>
          <w:color w:val="auto"/>
        </w:rPr>
      </w:pPr>
    </w:p>
    <w:p>
      <w:pPr>
        <w:spacing w:after="0" w:line="209"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below), outstanding at such time and (ii) the aggregate amount of all Facility B loans and competitive bid rate loans outstanding, together with the aggregate face amount of commercial paper outstanding, shall not exceed $926 million.</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is also permitted to make short-term competitive bid rate borrowings from the Banks until December 1, 1994, provided that following the making of each proposed competitive bid rate borrowing, (i) the aggregate amount of the competitive bid rate loans outstanding shall not exceed $500 million less the aggregate face amount of commercial paper outstanding and (ii) the aggregate amount of all Facility B loans and competitive bid rate loans outstanding, together with the aggregate face amount of commercial paper outstanding, shall not exceed $926 million.</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and Subsidiary Obligors are required to repay the principal outstanding under the Credit Agreement in quarterly payments equal to percentages of the original aggregate principal amount with respect to the Facility A loans and Facility B-1 loans, and of the outstanding principal amount with respect to the Facility B loans, under the Credit Agreement, in the amount of 5% for the period commencing January 2, 1995 through and including January 2, 1999; and 7.5% on April 1, 1999 and on June 30, 1999.</w:t>
      </w:r>
    </w:p>
    <w:p>
      <w:pPr>
        <w:spacing w:after="0" w:line="211"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The Company may prepay at any time a portion or all of the principal outstanding under the Credit Agreement. Any such optional prepayments shall be applied to the remaining installments of Facility A and Facility B loans in the order that the Company designates. The Company is required to make mandatory prepayments upon receipt of net cash sale proceeds in connection with permitted sales of assets not in the ordinary course of business. All such prepayments shall be applied until December 31, 1994 to reduce the Facility B loans outstanding; provided, however, that any amounts so repaid may be reborrowed prior to December 31, 1994. All such prepayments after December 31, 1994 shall be applied pro rata against the remaining installments of first, the Facility A loans and second, the Facility B loans. In the event of a sale of the stock or substantially all of the assets of any Subsidiary Obligor, the Facility B-1 loan of such Subsidiary Obligor shall be repaid in full; provided, however, that upon such prepayment prior to December 31, 1994, the Facility B commitment of each Facility B Bank shall be increased by an amount equal to the principal amount of such Facility B Bank's Facility B-1 loan prepaid as a result of such prepayment and such amounts may be borrowed by the Company prior to December 31, 1994. The Company is required to prepay principal outstanding under the Credit Agreement with the proceeds of certain issuances of unsecured senior debt in an amount equal to the proceeds so received, together with accrued interest to the date of such prepayment on the principal amount prepaid, with such prepayments applied against remaining installments of first, the Facility A loans and second, the Facility B loans.</w:t>
      </w:r>
    </w:p>
    <w:p>
      <w:pPr>
        <w:spacing w:after="0" w:line="200" w:lineRule="exact"/>
        <w:rPr>
          <w:sz w:val="20"/>
          <w:szCs w:val="20"/>
          <w:color w:val="auto"/>
        </w:rPr>
      </w:pPr>
    </w:p>
    <w:p>
      <w:pPr>
        <w:spacing w:after="0" w:line="39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Credit Agreement contains certain covenants which, among other things, require the Company to maintain certain financial ratios and impose on the Company and its subsidiaries certain limitations on (i) the incurrence of indebtedness or the guarantee or assumption of indebtedness of another; (ii) the creation or incurrence of mortgages, pledges or security interests on the property or assets of the Company or any of its subsidiaries in order to secure debt or the sale of assets of the Company or its subsidiaries; (iii) the merger or consolidation of the Company with any person or other entity; (iv) the incurrence of capitalized leases and purchase money indebtedness; (v) the payment of cash dividends or the redemption or repurchase of any capital stock of the Company; and (vi) investments and acquisitions.</w:t>
      </w:r>
    </w:p>
    <w:p>
      <w:pPr>
        <w:spacing w:after="0" w:line="216"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Credit Agreement also contains certain customary events of default. The Credit Agreement also provides that it is an event of default if National Amusements, Inc. ("NAI") fails to own at least 51% of the outstanding voting stock of Viacom Inc. or Viacom Inc. fails to own at least 67% of the outstanding voting stock of the Company.</w:t>
      </w:r>
    </w:p>
    <w:p>
      <w:pPr>
        <w:spacing w:after="0" w:line="209"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Under the restrictions contained in the Credit Agreement, the Company is prohibited from (i) paying any dividends on its stock to Viacom Inc. for the purpose of enabling Viacom Inc. to pay any dividend on its common stock, or</w:t>
      </w:r>
    </w:p>
    <w:p>
      <w:pPr>
        <w:spacing w:after="0" w:line="1" w:lineRule="exact"/>
        <w:rPr>
          <w:sz w:val="20"/>
          <w:szCs w:val="20"/>
          <w:color w:val="auto"/>
        </w:rPr>
      </w:pPr>
    </w:p>
    <w:p>
      <w:pPr>
        <w:ind w:right="1999" w:firstLine="8"/>
        <w:spacing w:after="0" w:line="237" w:lineRule="auto"/>
        <w:tabs>
          <w:tab w:leader="none" w:pos="527"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making any other dividend payments to Viacom Inc. (other than for certain limited specified purposes, including the satisfaction of Viacom Inc.'s obligations under the LTIP), unless its total leverage ratio is less than a specified amount.</w:t>
      </w:r>
    </w:p>
    <w:p>
      <w:pPr>
        <w:spacing w:after="0" w:line="207"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The Company is required to pay a commitment fee based on the aggregate average daily unborrowed portion of the Facility B commitment, with any amounts outstanding under competitive bid rate loans and commercial paper being deemed</w:t>
      </w:r>
    </w:p>
    <w:p>
      <w:pPr>
        <w:sectPr>
          <w:pgSz w:w="11900" w:h="16838" w:orient="portrait"/>
          <w:cols w:equalWidth="0" w:num="1">
            <w:col w:w="10219"/>
          </w:cols>
          <w:pgMar w:left="240" w:top="717" w:right="1440" w:bottom="0" w:gutter="0" w:footer="0" w:header="0"/>
        </w:sectPr>
      </w:pPr>
    </w:p>
    <w:bookmarkStart w:id="97" w:name="page98"/>
    <w:bookmarkEnd w:id="97"/>
    <w:p>
      <w:pPr>
        <w:jc w:val="both"/>
        <w:ind w:right="1879"/>
        <w:spacing w:after="0" w:line="236" w:lineRule="auto"/>
        <w:rPr>
          <w:sz w:val="20"/>
          <w:szCs w:val="20"/>
          <w:color w:val="auto"/>
        </w:rPr>
      </w:pPr>
      <w:r>
        <w:rPr>
          <w:rFonts w:ascii="Courier New" w:cs="Courier New" w:eastAsia="Courier New" w:hAnsi="Courier New"/>
          <w:sz w:val="18"/>
          <w:szCs w:val="18"/>
          <w:color w:val="auto"/>
        </w:rPr>
        <w:t>unborrowed for the purpose of calculating the commitment fee. The Company also is required to pay certain agency fees to the agent. The Credit Agreement does not require compensating balances.</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II-45</w:t>
      </w:r>
    </w:p>
    <w:p>
      <w:pPr>
        <w:sectPr>
          <w:pgSz w:w="11900" w:h="16838" w:orient="portrait"/>
          <w:cols w:equalWidth="0" w:num="1">
            <w:col w:w="10219"/>
          </w:cols>
          <w:pgMar w:left="240" w:top="142" w:right="1440" w:bottom="1440" w:gutter="0" w:footer="0" w:header="0"/>
        </w:sectPr>
      </w:pPr>
    </w:p>
    <w:bookmarkStart w:id="98" w:name="page99"/>
    <w:bookmarkEnd w:id="98"/>
    <w:p>
      <w:pPr>
        <w:jc w:val="center"/>
        <w:ind w:right="1879"/>
        <w:spacing w:after="0"/>
        <w:rPr>
          <w:sz w:val="20"/>
          <w:szCs w:val="20"/>
          <w:color w:val="auto"/>
        </w:rPr>
      </w:pPr>
      <w:r>
        <w:rPr>
          <w:rFonts w:ascii="Courier New" w:cs="Courier New" w:eastAsia="Courier New" w:hAnsi="Courier New"/>
          <w:sz w:val="18"/>
          <w:szCs w:val="18"/>
          <w:color w:val="auto"/>
        </w:rPr>
        <w:t>VIACOM INC. AND</w:t>
      </w:r>
    </w:p>
    <w:p>
      <w:pPr>
        <w:jc w:val="center"/>
        <w:ind w:right="1999"/>
        <w:spacing w:after="0" w:line="238" w:lineRule="auto"/>
        <w:rPr>
          <w:sz w:val="20"/>
          <w:szCs w:val="20"/>
          <w:color w:val="auto"/>
        </w:rPr>
      </w:pPr>
      <w:r>
        <w:rPr>
          <w:rFonts w:ascii="Courier New" w:cs="Courier New" w:eastAsia="Courier New" w:hAnsi="Courier New"/>
          <w:sz w:val="18"/>
          <w:szCs w:val="18"/>
          <w:color w:val="auto"/>
        </w:rPr>
        <w:t>VIACOM INTERNATIONAL INC. AND SUBSIDIARIES</w:t>
      </w:r>
    </w:p>
    <w:p>
      <w:pPr>
        <w:jc w:val="center"/>
        <w:ind w:right="199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January 4, 1993, Viacom Inc. borrowed $42.2 million from BONY pursuant to the Term Loan Agreement. The interest rate in the Term Loan Agreement is based upon BONY's prime rate or the London Interbank Offered Rate. Viacom Inc. repaid $13.9 million of debt under the Term Loan Agreement on January 15, 1994, the first scheduled maturity date. The remaining $28.3 million under the Term Loan Agreement matures on January 15, 1995.</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Viacom Inc. may prepay at any time a portion or all of the principal amount outstanding under the Term Loan Agreement. Any such optional prepayments shall be applied to reduce the principal installment due January 1995 and shall include all accrued interest on the amount of principal prepaid. Viacom Inc. shall be obligated to prepay the loan in the amount of any dividends received from the Company.</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Term Loan Agreement contains certain covenants which impose certain limitations on (i) the incurrence of indebtedness and (ii) payment of cash dividends or the redemption or repurchase of any capital stock of Viacom. The Term Loan Agreement also contains certain customary events of default. The Term Loan Agreement has been amended to allow Viacom Inc. to complete the Paramount Offer and the Paramount Merger.</w:t>
      </w:r>
    </w:p>
    <w:p>
      <w:pPr>
        <w:spacing w:after="0" w:line="210"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The indebtedness under the Credit Agreement, Loan Facility Agreement and Term Loan Agreement bear interest at floating rates, causing the Company to be sensitive to changes in prevailing interest rates. The Company enters into interest rate protection agreements with off-balance sheet risk in order</w:t>
      </w:r>
    </w:p>
    <w:p>
      <w:pPr>
        <w:spacing w:after="0" w:line="1"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to reduce its exposure to changes in interest rates on its variable rate long-term debt. These interest rate protection agreements include interest rate swaps and interest rate caps. At December 31, 1993, the Company and Viacom Inc. had interest rate protection agreements outstanding with commercial banks, with respect to $1.1 billion of indebtedness under the Credit Agreement and $42.2 million under the Term Loan Agreement. These agreements effectively change the Company's interest exposure under the Credit Agreement to a ceiling of 5.64% on the interest rate caps, and under the Term Loan Agreement to a fixed weighted average rate of 6.65% on interest rate swaps. The interest rate protection agreements are in effect for a fixed period of time. The Company is exposed to credit loss in the event of nonperformance by the counterparties to the agreements. However, the Company does not anticipate nonperformance by the counterparties.</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Company had commercial paper outstanding of $60.9 million as of December 31, 1993.</w:t>
      </w:r>
    </w:p>
    <w:p>
      <w:pPr>
        <w:spacing w:after="0" w:line="20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Company also has aggregate money market facilities of $40 million, all of which was available at December 31, 1993.</w:t>
      </w:r>
    </w:p>
    <w:p>
      <w:pPr>
        <w:spacing w:after="0" w:line="208" w:lineRule="exact"/>
        <w:rPr>
          <w:sz w:val="20"/>
          <w:szCs w:val="20"/>
          <w:color w:val="auto"/>
        </w:rPr>
      </w:pPr>
    </w:p>
    <w:p>
      <w:pPr>
        <w:ind w:right="1879" w:firstLine="1061"/>
        <w:spacing w:after="0" w:line="237" w:lineRule="auto"/>
        <w:tabs>
          <w:tab w:leader="none" w:pos="147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On March 4, 1992, the Company issued $150 million aggregate principal amount of 9.125% Senior Subordinated Notes ("9.125% Notes") due August 15, 1999. Interest is payable semiannually on February 15 and August 15, commencing August 15, 1992. The 9.125% Notes may not be redeemed prior to February 15, 1997. They are redeemable at the option of the Company, in whole or in part, during the 12 month period beginning February 15, 1997 at a redemption price of 102.607% of the principal amount, during the 12 month period beginning February 15, 1998 at 101.304% of the principal amount, and on or after February 15, 1999 at 100% of the principal amount. Any such redemption will include accrued interest to the redemption date. The 9.125% Notes are not subject to any sinking fund requirements.</w:t>
      </w:r>
    </w:p>
    <w:p>
      <w:pPr>
        <w:spacing w:after="0" w:line="215" w:lineRule="exact"/>
        <w:rPr>
          <w:rFonts w:ascii="Courier New" w:cs="Courier New" w:eastAsia="Courier New" w:hAnsi="Courier New"/>
          <w:sz w:val="18"/>
          <w:szCs w:val="18"/>
          <w:color w:val="auto"/>
        </w:rPr>
      </w:pPr>
    </w:p>
    <w:p>
      <w:pPr>
        <w:ind w:right="1879" w:firstLine="1061"/>
        <w:spacing w:after="0" w:line="269" w:lineRule="auto"/>
        <w:tabs>
          <w:tab w:leader="none" w:pos="147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On May 28, 1992, the Company issued $100 million aggregate principal amount of 8.75% Senior Subordinated Reset Notes ("8.75% Reset Notes") due on May 15, 2001. Interest is payable semiannually on May 15 and November 15, commencing November 15, 1992. On May 15, 1995 and May 15, 1998, unless a notice of redemption of the 8.75% Reset Notes on such date has been given by the Company, the interest rate on the 8.75% Reset Notes will, if necessary, be adjusted from the rate then in effect to a rate to be determined on the basis of market rates in effect on May 5, 1995 and on May 5, 1998, respectively, as the rate the 8.75% Reset Notes should bear in order to have a market value of 101% of principal amount immediately after the resetting of the rate. In no event will the interest rate be lower than 8.75% or higher than the average three year treasury rate (as defined in the indenture) multiplied by two. The interest rate reset on May 15, 1995 will remain in effect on the 8.75% Reset Notes through and including May 15, 1998 and the interest rate reset on May 15, 1998 will remain in effect on the 8.75% Reset Notes thereafter. The 8.75% Reset Notes are redeemable at the option of the Company, in whole but not in</w:t>
      </w:r>
    </w:p>
    <w:p>
      <w:pPr>
        <w:sectPr>
          <w:pgSz w:w="11900" w:h="16838" w:orient="portrait"/>
          <w:cols w:equalWidth="0" w:num="1">
            <w:col w:w="10219"/>
          </w:cols>
          <w:pgMar w:left="240" w:top="717" w:right="1440" w:bottom="0" w:gutter="0" w:footer="0" w:header="0"/>
        </w:sectPr>
      </w:pPr>
    </w:p>
    <w:bookmarkStart w:id="99" w:name="page100"/>
    <w:bookmarkEnd w:id="99"/>
    <w:p>
      <w:pPr>
        <w:spacing w:after="0"/>
        <w:rPr>
          <w:sz w:val="20"/>
          <w:szCs w:val="20"/>
          <w:color w:val="auto"/>
        </w:rPr>
      </w:pPr>
      <w:r>
        <w:rPr>
          <w:rFonts w:ascii="Courier New" w:cs="Courier New" w:eastAsia="Courier New" w:hAnsi="Courier New"/>
          <w:sz w:val="16"/>
          <w:szCs w:val="16"/>
          <w:color w:val="auto"/>
        </w:rPr>
        <w:t>part, on May 15, 1995 or May 15, 1998, at a redemption price of 101% of</w:t>
      </w:r>
    </w:p>
    <w:p>
      <w:pPr>
        <w:sectPr>
          <w:pgSz w:w="11900" w:h="16838" w:orient="portrait"/>
          <w:cols w:equalWidth="0" w:num="1">
            <w:col w:w="10219"/>
          </w:cols>
          <w:pgMar w:left="240" w:top="142" w:right="1440" w:bottom="1440" w:gutter="0" w:footer="0" w:header="0"/>
        </w:sectPr>
      </w:pPr>
    </w:p>
    <w:p>
      <w:pPr>
        <w:spacing w:after="0" w:line="22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II-46</w:t>
      </w:r>
    </w:p>
    <w:p>
      <w:pPr>
        <w:sectPr>
          <w:pgSz w:w="11900" w:h="16838" w:orient="portrait"/>
          <w:cols w:equalWidth="0" w:num="1">
            <w:col w:w="10219"/>
          </w:cols>
          <w:pgMar w:left="240" w:top="142" w:right="1440" w:bottom="1440" w:gutter="0" w:footer="0" w:header="0"/>
          <w:type w:val="continuous"/>
        </w:sectPr>
      </w:pPr>
    </w:p>
    <w:bookmarkStart w:id="100" w:name="page101"/>
    <w:bookmarkEnd w:id="100"/>
    <w:tbl>
      <w:tblPr>
        <w:tblLayout w:type="fixed"/>
        <w:tblInd w:w="1280" w:type="dxa"/>
        <w:tblCellMar>
          <w:top w:w="0" w:type="dxa"/>
          <w:left w:w="0" w:type="dxa"/>
          <w:bottom w:w="0" w:type="dxa"/>
          <w:right w:w="0" w:type="dxa"/>
        </w:tblCellMar>
      </w:tblPr>
      <w:tr>
        <w:trPr>
          <w:trHeight w:val="204"/>
        </w:trPr>
        <w:tc>
          <w:tcPr>
            <w:tcW w:w="2780" w:type="dxa"/>
            <w:vAlign w:val="bottom"/>
          </w:tcPr>
          <w:p>
            <w:pPr>
              <w:jc w:val="right"/>
              <w:spacing w:after="0"/>
              <w:rPr>
                <w:sz w:val="20"/>
                <w:szCs w:val="20"/>
                <w:color w:val="auto"/>
              </w:rPr>
            </w:pPr>
            <w:r>
              <w:rPr>
                <w:rFonts w:ascii="Courier New" w:cs="Courier New" w:eastAsia="Courier New" w:hAnsi="Courier New"/>
                <w:sz w:val="18"/>
                <w:szCs w:val="18"/>
                <w:color w:val="auto"/>
              </w:rPr>
              <w:t>VIACOM</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INC.</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AND</w:t>
            </w:r>
          </w:p>
        </w:tc>
        <w:tc>
          <w:tcPr>
            <w:tcW w:w="1940" w:type="dxa"/>
            <w:vAlign w:val="bottom"/>
          </w:tcPr>
          <w:p>
            <w:pPr>
              <w:spacing w:after="0"/>
              <w:rPr>
                <w:sz w:val="17"/>
                <w:szCs w:val="17"/>
                <w:color w:val="auto"/>
              </w:rPr>
            </w:pPr>
          </w:p>
        </w:tc>
      </w:tr>
      <w:tr>
        <w:trPr>
          <w:trHeight w:val="203"/>
        </w:trPr>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VIACOM INTERNATIONAL</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SUBSIDIARIES</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NOTES TO CONSOLIDATED FINANCIAL</w:t>
            </w:r>
          </w:p>
        </w:tc>
        <w:tc>
          <w:tcPr>
            <w:tcW w:w="2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STATEMENTS (continued)</w:t>
            </w:r>
          </w:p>
        </w:tc>
      </w:tr>
    </w:tbl>
    <w:p>
      <w:pPr>
        <w:spacing w:after="0" w:line="200" w:lineRule="exact"/>
        <w:rPr>
          <w:sz w:val="20"/>
          <w:szCs w:val="20"/>
          <w:color w:val="auto"/>
        </w:rPr>
      </w:pPr>
    </w:p>
    <w:p>
      <w:pPr>
        <w:spacing w:after="0" w:line="209"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principal amount plus accrued interest to, but not including, the date of redemption. The 8.75% Reset Notes are not subject to any sinking fund requirements.</w:t>
      </w:r>
    </w:p>
    <w:p>
      <w:pPr>
        <w:spacing w:after="0" w:line="209" w:lineRule="exact"/>
        <w:rPr>
          <w:sz w:val="20"/>
          <w:szCs w:val="20"/>
          <w:color w:val="auto"/>
        </w:rPr>
      </w:pPr>
    </w:p>
    <w:p>
      <w:pPr>
        <w:ind w:right="1879" w:firstLine="1061"/>
        <w:spacing w:after="0" w:line="237" w:lineRule="auto"/>
        <w:tabs>
          <w:tab w:leader="none" w:pos="1475"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On September 15, 1991, the Company issued $200 million aggregate principal amount of 10.25% Senior Subordinated Notes ("10.25% Notes") due September 15, 2001. Interest is payable semiannually on March 15 and September 15, commencing March 15, 1992. The 10.25% Notes are not redeemable by the Company prior to maturity and are not subject to any sinking fund requirements.</w:t>
      </w: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II-47</w:t>
      </w:r>
    </w:p>
    <w:p>
      <w:pPr>
        <w:sectPr>
          <w:pgSz w:w="11900" w:h="16838" w:orient="portrait"/>
          <w:cols w:equalWidth="0" w:num="1">
            <w:col w:w="10219"/>
          </w:cols>
          <w:pgMar w:left="240" w:top="717" w:right="1440" w:bottom="1440" w:gutter="0" w:footer="0" w:header="0"/>
        </w:sectPr>
      </w:pPr>
    </w:p>
    <w:bookmarkStart w:id="101" w:name="page102"/>
    <w:bookmarkEnd w:id="101"/>
    <w:tbl>
      <w:tblPr>
        <w:tblLayout w:type="fixed"/>
        <w:tblInd w:w="1280" w:type="dxa"/>
        <w:tblCellMar>
          <w:top w:w="0" w:type="dxa"/>
          <w:left w:w="0" w:type="dxa"/>
          <w:bottom w:w="0" w:type="dxa"/>
          <w:right w:w="0" w:type="dxa"/>
        </w:tblCellMar>
      </w:tblPr>
      <w:tr>
        <w:trPr>
          <w:trHeight w:val="204"/>
        </w:trPr>
        <w:tc>
          <w:tcPr>
            <w:tcW w:w="2780" w:type="dxa"/>
            <w:vAlign w:val="bottom"/>
          </w:tcPr>
          <w:p>
            <w:pPr>
              <w:jc w:val="right"/>
              <w:spacing w:after="0"/>
              <w:rPr>
                <w:sz w:val="20"/>
                <w:szCs w:val="20"/>
                <w:color w:val="auto"/>
              </w:rPr>
            </w:pPr>
            <w:r>
              <w:rPr>
                <w:rFonts w:ascii="Courier New" w:cs="Courier New" w:eastAsia="Courier New" w:hAnsi="Courier New"/>
                <w:sz w:val="18"/>
                <w:szCs w:val="18"/>
                <w:color w:val="auto"/>
              </w:rPr>
              <w:t>VIACOM</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INC.</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AND</w:t>
            </w:r>
          </w:p>
        </w:tc>
        <w:tc>
          <w:tcPr>
            <w:tcW w:w="1940" w:type="dxa"/>
            <w:vAlign w:val="bottom"/>
          </w:tcPr>
          <w:p>
            <w:pPr>
              <w:spacing w:after="0"/>
              <w:rPr>
                <w:sz w:val="17"/>
                <w:szCs w:val="17"/>
                <w:color w:val="auto"/>
              </w:rPr>
            </w:pPr>
          </w:p>
        </w:tc>
      </w:tr>
      <w:tr>
        <w:trPr>
          <w:trHeight w:val="203"/>
        </w:trPr>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VIACOM INTERNATIONAL</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SUBSIDIARIES</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NOTES TO CONSOLIDATED FINANCIAL</w:t>
            </w:r>
          </w:p>
        </w:tc>
        <w:tc>
          <w:tcPr>
            <w:tcW w:w="2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STATEMENTS (continued)</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extraordinary losses and related tax benefits associated with the extinguishment of certain debt of Viacom Inc. and the Company are summarized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11.50%</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11.80%</w:t>
            </w:r>
          </w:p>
        </w:tc>
        <w:tc>
          <w:tcPr>
            <w:tcW w:w="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Reset</w:t>
            </w:r>
          </w:p>
        </w:tc>
        <w:tc>
          <w:tcPr>
            <w:tcW w:w="1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Discount</w:t>
            </w:r>
          </w:p>
        </w:tc>
        <w:tc>
          <w:tcPr>
            <w:tcW w:w="1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Exchange</w:t>
            </w:r>
          </w:p>
        </w:tc>
        <w:tc>
          <w:tcPr>
            <w:tcW w:w="74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Notes</w:t>
            </w:r>
          </w:p>
        </w:tc>
        <w:tc>
          <w:tcPr>
            <w:tcW w:w="220" w:type="dxa"/>
            <w:vAlign w:val="bottom"/>
          </w:tcPr>
          <w:p>
            <w:pPr>
              <w:spacing w:after="0"/>
              <w:rPr>
                <w:sz w:val="17"/>
                <w:szCs w:val="17"/>
                <w:color w:val="auto"/>
              </w:rPr>
            </w:pPr>
          </w:p>
        </w:tc>
        <w:tc>
          <w:tcPr>
            <w:tcW w:w="348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7"/>
              </w:rPr>
              <w:t>Notes Debentures Debentures Total</w:t>
            </w:r>
          </w:p>
        </w:tc>
      </w:tr>
      <w:tr>
        <w:trPr>
          <w:trHeight w:val="203"/>
        </w:trPr>
        <w:tc>
          <w:tcPr>
            <w:tcW w:w="3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370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 ---------- ---------- -----</w:t>
            </w:r>
          </w:p>
        </w:tc>
      </w:tr>
      <w:tr>
        <w:trPr>
          <w:trHeight w:val="203"/>
        </w:trPr>
        <w:tc>
          <w:tcPr>
            <w:tcW w:w="3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w w:val="96"/>
              </w:rPr>
              <w:t>(Thousands of dollars)</w:t>
            </w: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Year ended December 31, 1993:</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 - ----------------------------</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Extraordinary loss (a)</w:t>
            </w:r>
          </w:p>
        </w:tc>
        <w:tc>
          <w:tcPr>
            <w:tcW w:w="10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$14,953</w:t>
            </w:r>
          </w:p>
        </w:tc>
        <w:tc>
          <w:tcPr>
            <w:tcW w:w="220" w:type="dxa"/>
            <w:vAlign w:val="bottom"/>
          </w:tcPr>
          <w:p>
            <w:pPr>
              <w:ind w:left="100"/>
              <w:spacing w:after="0"/>
              <w:rPr>
                <w:sz w:val="20"/>
                <w:szCs w:val="20"/>
                <w:color w:val="auto"/>
              </w:rPr>
            </w:pPr>
            <w:r>
              <w:rPr>
                <w:rFonts w:ascii="Courier New" w:cs="Courier New" w:eastAsia="Courier New" w:hAnsi="Courier New"/>
                <w:sz w:val="18"/>
                <w:szCs w:val="18"/>
                <w:color w:val="auto"/>
                <w:w w:val="92"/>
              </w:rPr>
              <w:t>$</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460" w:type="dxa"/>
            <w:vAlign w:val="bottom"/>
          </w:tcPr>
          <w:p>
            <w:pPr>
              <w:ind w:left="140"/>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$14,953</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Tax benefit</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6,086</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6,086</w:t>
            </w:r>
          </w:p>
        </w:tc>
      </w:tr>
      <w:tr>
        <w:trPr>
          <w:trHeight w:val="203"/>
        </w:trPr>
        <w:tc>
          <w:tcPr>
            <w:tcW w:w="3580" w:type="dxa"/>
            <w:vAlign w:val="bottom"/>
          </w:tcPr>
          <w:p>
            <w:pPr>
              <w:spacing w:after="0"/>
              <w:rPr>
                <w:sz w:val="17"/>
                <w:szCs w:val="17"/>
                <w:color w:val="auto"/>
              </w:rPr>
            </w:pP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Extraordinary loss, net of tax</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$ 8,867</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$ 8,867</w:t>
            </w:r>
          </w:p>
        </w:tc>
      </w:tr>
      <w:tr>
        <w:trPr>
          <w:trHeight w:val="203"/>
        </w:trPr>
        <w:tc>
          <w:tcPr>
            <w:tcW w:w="3580" w:type="dxa"/>
            <w:vAlign w:val="bottom"/>
          </w:tcPr>
          <w:p>
            <w:pPr>
              <w:spacing w:after="0"/>
              <w:rPr>
                <w:sz w:val="17"/>
                <w:szCs w:val="17"/>
                <w:color w:val="auto"/>
              </w:rPr>
            </w:pP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Year ended December 31, 1992:</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 - ----------------------------</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Extraordinary loss (b)</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$5,800</w:t>
            </w:r>
          </w:p>
        </w:tc>
        <w:tc>
          <w:tcPr>
            <w:tcW w:w="112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$22,600</w:t>
            </w:r>
          </w:p>
        </w:tc>
        <w:tc>
          <w:tcPr>
            <w:tcW w:w="460" w:type="dxa"/>
            <w:vAlign w:val="bottom"/>
          </w:tcPr>
          <w:p>
            <w:pPr>
              <w:ind w:left="140"/>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$28,400</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Tax benefit</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2,361</w:t>
            </w:r>
          </w:p>
        </w:tc>
        <w:tc>
          <w:tcPr>
            <w:tcW w:w="260" w:type="dxa"/>
            <w:vAlign w:val="bottom"/>
          </w:tcPr>
          <w:p>
            <w:pPr>
              <w:spacing w:after="0"/>
              <w:rPr>
                <w:sz w:val="17"/>
                <w:szCs w:val="17"/>
                <w:color w:val="auto"/>
              </w:rPr>
            </w:pP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8,919</w:t>
            </w:r>
          </w:p>
        </w:tc>
        <w:tc>
          <w:tcPr>
            <w:tcW w:w="46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11,280</w:t>
            </w:r>
          </w:p>
        </w:tc>
      </w:tr>
      <w:tr>
        <w:trPr>
          <w:trHeight w:val="203"/>
        </w:trPr>
        <w:tc>
          <w:tcPr>
            <w:tcW w:w="3580" w:type="dxa"/>
            <w:vAlign w:val="bottom"/>
          </w:tcPr>
          <w:p>
            <w:pPr>
              <w:spacing w:after="0"/>
              <w:rPr>
                <w:sz w:val="17"/>
                <w:szCs w:val="17"/>
                <w:color w:val="auto"/>
              </w:rPr>
            </w:pP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Extraordinary loss, net of tax</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$3,439</w:t>
            </w:r>
          </w:p>
        </w:tc>
        <w:tc>
          <w:tcPr>
            <w:tcW w:w="11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$13,681</w:t>
            </w:r>
          </w:p>
        </w:tc>
        <w:tc>
          <w:tcPr>
            <w:tcW w:w="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$17,120</w:t>
            </w:r>
          </w:p>
        </w:tc>
      </w:tr>
      <w:tr>
        <w:trPr>
          <w:trHeight w:val="203"/>
        </w:trPr>
        <w:tc>
          <w:tcPr>
            <w:tcW w:w="3580" w:type="dxa"/>
            <w:vAlign w:val="bottom"/>
          </w:tcPr>
          <w:p>
            <w:pPr>
              <w:spacing w:after="0"/>
              <w:rPr>
                <w:sz w:val="17"/>
                <w:szCs w:val="17"/>
                <w:color w:val="auto"/>
              </w:rPr>
            </w:pP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Year ended December 31, 1991:</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 - ----------------------------</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Extraordinary loss (c)</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ind w:left="100"/>
              <w:spacing w:after="0"/>
              <w:rPr>
                <w:sz w:val="20"/>
                <w:szCs w:val="20"/>
                <w:color w:val="auto"/>
              </w:rPr>
            </w:pPr>
            <w:r>
              <w:rPr>
                <w:rFonts w:ascii="Courier New" w:cs="Courier New" w:eastAsia="Courier New" w:hAnsi="Courier New"/>
                <w:sz w:val="18"/>
                <w:szCs w:val="18"/>
                <w:color w:val="auto"/>
                <w:w w:val="92"/>
              </w:rPr>
              <w:t>$</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$ 3,761</w:t>
            </w:r>
          </w:p>
        </w:tc>
        <w:tc>
          <w:tcPr>
            <w:tcW w:w="460" w:type="dxa"/>
            <w:vAlign w:val="bottom"/>
          </w:tcPr>
          <w:p>
            <w:pPr>
              <w:ind w:left="140"/>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947</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$ 4,708</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Tax benefit</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1,284</w:t>
            </w:r>
          </w:p>
        </w:tc>
        <w:tc>
          <w:tcPr>
            <w:tcW w:w="46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323</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1,607</w:t>
            </w:r>
          </w:p>
        </w:tc>
      </w:tr>
      <w:tr>
        <w:trPr>
          <w:trHeight w:val="203"/>
        </w:trPr>
        <w:tc>
          <w:tcPr>
            <w:tcW w:w="3580" w:type="dxa"/>
            <w:vAlign w:val="bottom"/>
          </w:tcPr>
          <w:p>
            <w:pPr>
              <w:spacing w:after="0"/>
              <w:rPr>
                <w:sz w:val="17"/>
                <w:szCs w:val="17"/>
                <w:color w:val="auto"/>
              </w:rPr>
            </w:pP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Extraordinary loss, net of tax</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ind w:left="100"/>
              <w:spacing w:after="0"/>
              <w:rPr>
                <w:sz w:val="20"/>
                <w:szCs w:val="20"/>
                <w:color w:val="auto"/>
              </w:rPr>
            </w:pPr>
            <w:r>
              <w:rPr>
                <w:rFonts w:ascii="Courier New" w:cs="Courier New" w:eastAsia="Courier New" w:hAnsi="Courier New"/>
                <w:sz w:val="18"/>
                <w:szCs w:val="18"/>
                <w:color w:val="auto"/>
                <w:w w:val="92"/>
              </w:rPr>
              <w:t>$</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$ 2,477</w:t>
            </w:r>
          </w:p>
        </w:tc>
        <w:tc>
          <w:tcPr>
            <w:tcW w:w="460" w:type="dxa"/>
            <w:vAlign w:val="bottom"/>
          </w:tcPr>
          <w:p>
            <w:pPr>
              <w:ind w:left="140"/>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624</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$ 3,101</w:t>
            </w:r>
          </w:p>
        </w:tc>
      </w:tr>
      <w:tr>
        <w:trPr>
          <w:trHeight w:val="203"/>
        </w:trPr>
        <w:tc>
          <w:tcPr>
            <w:tcW w:w="3580" w:type="dxa"/>
            <w:vAlign w:val="bottom"/>
          </w:tcPr>
          <w:p>
            <w:pPr>
              <w:spacing w:after="0"/>
              <w:rPr>
                <w:sz w:val="17"/>
                <w:szCs w:val="17"/>
                <w:color w:val="auto"/>
              </w:rPr>
            </w:pP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7" w:lineRule="exact"/>
        <w:rPr>
          <w:sz w:val="20"/>
          <w:szCs w:val="20"/>
          <w:color w:val="auto"/>
        </w:rPr>
      </w:pPr>
    </w:p>
    <w:p>
      <w:pPr>
        <w:ind w:right="2099" w:firstLine="1061"/>
        <w:spacing w:after="0" w:line="237" w:lineRule="auto"/>
        <w:tabs>
          <w:tab w:leader="none" w:pos="1475"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July 15, 1993, the Company redeemed all of the $298 million principal amount outstanding of the 11.80% Senior Subordinated Notes ("11.80% Notes") at a redemption price equal to 103.37% of the principal amount plus accrued interest to July 15,1993.</w:t>
      </w:r>
    </w:p>
    <w:p>
      <w:pPr>
        <w:spacing w:after="0" w:line="207" w:lineRule="exact"/>
        <w:rPr>
          <w:rFonts w:ascii="Courier New" w:cs="Courier New" w:eastAsia="Courier New" w:hAnsi="Courier New"/>
          <w:sz w:val="18"/>
          <w:szCs w:val="18"/>
          <w:color w:val="auto"/>
        </w:rPr>
      </w:pPr>
    </w:p>
    <w:p>
      <w:pPr>
        <w:ind w:right="1999" w:firstLine="1061"/>
        <w:spacing w:after="0" w:line="237" w:lineRule="auto"/>
        <w:tabs>
          <w:tab w:leader="none" w:pos="1475"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June 18, 1992, the Company redeemed all of the $356.5 million principal amount outstanding of the 14.75% Senior Subordinated Discount Debentures ("Discount Debentures") at a redemption price equal to 105% of the principal amount plus accrued interest to June 18, 1992.</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On March 10, 1992, the Company redeemed all of the $193 million principal amount outstanding of its 11.50% Senior Subordinated Extendible Reset Notes ("11.50% Reset Notes") at a redemption price equal to 101% of the principal amount plus accrued interest to the redemption date.</w:t>
      </w:r>
    </w:p>
    <w:p>
      <w:pPr>
        <w:spacing w:after="0" w:line="207" w:lineRule="exact"/>
        <w:rPr>
          <w:sz w:val="20"/>
          <w:szCs w:val="20"/>
          <w:color w:val="auto"/>
        </w:rPr>
      </w:pPr>
    </w:p>
    <w:p>
      <w:pPr>
        <w:ind w:right="2099" w:firstLine="1061"/>
        <w:spacing w:after="0" w:line="236" w:lineRule="auto"/>
        <w:tabs>
          <w:tab w:leader="none" w:pos="15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December 1991, the Company purchased $43 million of Discount Debentures at an average price of 107.375% of their principal amount plus accrued interest.</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On August 30, 1991 and October 31, 1991, Viacom Inc. redeemed $250 million and $152 million, respectively, constituting the entire principal amount of the Exchange Debentures.</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Company borrowed the funds necessary for each of these redemptions under its bank credit facilities existing in the respective periods.</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_____________________</w:t>
      </w:r>
    </w:p>
    <w:p>
      <w:pPr>
        <w:spacing w:after="0" w:line="207"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NAI, Sumner M. Redstone and the Company each have purchased on the open market and may in the future continue to purchase on the open market or in privately negotiated transactions certain debt securities of the Company. During 1993, there were no purchases of debt securities made by NAI, Sumner M. Redstone or the Company. During 1992, Sumner M. Redstone purchased directly and beneficially $350,000, $605,000, $15,000 and $200,000 of 11.50% Senior</w:t>
      </w:r>
    </w:p>
    <w:p>
      <w:pPr>
        <w:sectPr>
          <w:pgSz w:w="11900" w:h="16838" w:orient="portrait"/>
          <w:cols w:equalWidth="0" w:num="1">
            <w:col w:w="10219"/>
          </w:cols>
          <w:pgMar w:left="240" w:top="717" w:right="1440" w:bottom="0" w:gutter="0" w:footer="0" w:header="0"/>
        </w:sectPr>
      </w:pPr>
    </w:p>
    <w:bookmarkStart w:id="102" w:name="page103"/>
    <w:bookmarkEnd w:id="102"/>
    <w:p>
      <w:pPr>
        <w:ind w:left="2700"/>
        <w:spacing w:after="0"/>
        <w:rPr>
          <w:sz w:val="20"/>
          <w:szCs w:val="20"/>
          <w:color w:val="auto"/>
        </w:rPr>
      </w:pPr>
      <w:r>
        <w:rPr>
          <w:rFonts w:ascii="Courier New" w:cs="Courier New" w:eastAsia="Courier New" w:hAnsi="Courier New"/>
          <w:sz w:val="16"/>
          <w:szCs w:val="16"/>
          <w:color w:val="auto"/>
        </w:rPr>
        <w:t>II-48</w:t>
      </w:r>
    </w:p>
    <w:p>
      <w:pPr>
        <w:sectPr>
          <w:pgSz w:w="11900" w:h="16838" w:orient="portrait"/>
          <w:cols w:equalWidth="0" w:num="1">
            <w:col w:w="9019"/>
          </w:cols>
          <w:pgMar w:left="1440" w:top="344" w:right="1440" w:bottom="1440" w:gutter="0" w:footer="0" w:header="0"/>
        </w:sectPr>
      </w:pPr>
    </w:p>
    <w:bookmarkStart w:id="103" w:name="page104"/>
    <w:bookmarkEnd w:id="103"/>
    <w:tbl>
      <w:tblPr>
        <w:tblLayout w:type="fixed"/>
        <w:tblInd w:w="1280" w:type="dxa"/>
        <w:tblCellMar>
          <w:top w:w="0" w:type="dxa"/>
          <w:left w:w="0" w:type="dxa"/>
          <w:bottom w:w="0" w:type="dxa"/>
          <w:right w:w="0" w:type="dxa"/>
        </w:tblCellMar>
      </w:tblPr>
      <w:tr>
        <w:trPr>
          <w:trHeight w:val="204"/>
        </w:trPr>
        <w:tc>
          <w:tcPr>
            <w:tcW w:w="2780" w:type="dxa"/>
            <w:vAlign w:val="bottom"/>
          </w:tcPr>
          <w:p>
            <w:pPr>
              <w:jc w:val="right"/>
              <w:spacing w:after="0"/>
              <w:rPr>
                <w:sz w:val="20"/>
                <w:szCs w:val="20"/>
                <w:color w:val="auto"/>
              </w:rPr>
            </w:pPr>
            <w:r>
              <w:rPr>
                <w:rFonts w:ascii="Courier New" w:cs="Courier New" w:eastAsia="Courier New" w:hAnsi="Courier New"/>
                <w:sz w:val="18"/>
                <w:szCs w:val="18"/>
                <w:color w:val="auto"/>
              </w:rPr>
              <w:t>VIACOM</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INC.</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AND</w:t>
            </w:r>
          </w:p>
        </w:tc>
        <w:tc>
          <w:tcPr>
            <w:tcW w:w="1940" w:type="dxa"/>
            <w:vAlign w:val="bottom"/>
          </w:tcPr>
          <w:p>
            <w:pPr>
              <w:spacing w:after="0"/>
              <w:rPr>
                <w:sz w:val="17"/>
                <w:szCs w:val="17"/>
                <w:color w:val="auto"/>
              </w:rPr>
            </w:pPr>
          </w:p>
        </w:tc>
      </w:tr>
      <w:tr>
        <w:trPr>
          <w:trHeight w:val="203"/>
        </w:trPr>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VIACOM INTERNATIONAL</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SUBSIDIARIES</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NOTES TO CONSOLIDATED FINANCIAL</w:t>
            </w:r>
          </w:p>
        </w:tc>
        <w:tc>
          <w:tcPr>
            <w:tcW w:w="2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STATEMENTS (continued)</w:t>
            </w:r>
          </w:p>
        </w:tc>
      </w:tr>
    </w:tbl>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Subordinated Extendible Reset Notes, 9.125% Senior Subordinated Notes, 10.25% Senior Subordinated Notes and 8.75% Senior Subordinated Reset Notes, respectively. During 1991, NAI and Sumner M. Redstone purchased $3,110,000 and $869,000 of 11.80% Senior Subordinated Notes, respectively. During 1991, NAI purchased $311,000 of the 11.50% Senior Subordinated Extendible Reset Notes. During December 1991, the Company purchased $43 million of Discount Debentures at an average price of 107.375% of their principal amount plus accrued interest.</w:t>
      </w:r>
    </w:p>
    <w:p>
      <w:pPr>
        <w:spacing w:after="0" w:line="21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Interest costs incurred, interest income and capitalized interest are summarized below:</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Year Ended December 31,</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tabs>
          <w:tab w:leader="none" w:pos="4840" w:val="left"/>
          <w:tab w:leader="none" w:pos="6000" w:val="left"/>
        </w:tabs>
        <w:rPr>
          <w:sz w:val="20"/>
          <w:szCs w:val="20"/>
          <w:color w:val="auto"/>
        </w:rPr>
      </w:pPr>
      <w:r>
        <w:rPr>
          <w:rFonts w:ascii="Courier New" w:cs="Courier New" w:eastAsia="Courier New" w:hAnsi="Courier New"/>
          <w:sz w:val="18"/>
          <w:szCs w:val="18"/>
          <w:color w:val="auto"/>
        </w:rPr>
        <w:t>1993</w:t>
      </w:r>
      <w:r>
        <w:rPr>
          <w:sz w:val="20"/>
          <w:szCs w:val="20"/>
          <w:color w:val="auto"/>
        </w:rPr>
        <w:tab/>
      </w:r>
      <w:r>
        <w:rPr>
          <w:rFonts w:ascii="Courier New" w:cs="Courier New" w:eastAsia="Courier New" w:hAnsi="Courier New"/>
          <w:sz w:val="18"/>
          <w:szCs w:val="18"/>
          <w:color w:val="auto"/>
        </w:rPr>
        <w:t>1992</w:t>
      </w:r>
      <w:r>
        <w:rPr>
          <w:sz w:val="20"/>
          <w:szCs w:val="20"/>
          <w:color w:val="auto"/>
        </w:rPr>
        <w:tab/>
      </w:r>
      <w:r>
        <w:rPr>
          <w:rFonts w:ascii="Courier New" w:cs="Courier New" w:eastAsia="Courier New" w:hAnsi="Courier New"/>
          <w:sz w:val="16"/>
          <w:szCs w:val="16"/>
          <w:color w:val="auto"/>
        </w:rPr>
        <w:t>1991</w:t>
      </w:r>
    </w:p>
    <w:p>
      <w:pPr>
        <w:ind w:left="3800"/>
        <w:spacing w:after="0"/>
        <w:tabs>
          <w:tab w:leader="none" w:pos="4840" w:val="left"/>
          <w:tab w:leader="none" w:pos="6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203"/>
        </w:trPr>
        <w:tc>
          <w:tcPr>
            <w:tcW w:w="2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w w:val="95"/>
              </w:rPr>
              <w:t>(Thousands of dollars)</w:t>
            </w:r>
          </w:p>
        </w:tc>
        <w:tc>
          <w:tcPr>
            <w:tcW w:w="2020" w:type="dxa"/>
            <w:vAlign w:val="bottom"/>
          </w:tcPr>
          <w:p>
            <w:pPr>
              <w:spacing w:after="0"/>
              <w:rPr>
                <w:sz w:val="17"/>
                <w:szCs w:val="17"/>
                <w:color w:val="auto"/>
              </w:rPr>
            </w:pPr>
          </w:p>
        </w:tc>
      </w:tr>
      <w:tr>
        <w:trPr>
          <w:trHeight w:val="405"/>
        </w:trPr>
        <w:tc>
          <w:tcPr>
            <w:tcW w:w="2160" w:type="dxa"/>
            <w:vAlign w:val="bottom"/>
          </w:tcPr>
          <w:p>
            <w:pPr>
              <w:ind w:left="1280"/>
              <w:spacing w:after="0"/>
              <w:rPr>
                <w:sz w:val="20"/>
                <w:szCs w:val="20"/>
                <w:color w:val="auto"/>
              </w:rPr>
            </w:pPr>
            <w:r>
              <w:rPr>
                <w:rFonts w:ascii="Courier New" w:cs="Courier New" w:eastAsia="Courier New" w:hAnsi="Courier New"/>
                <w:sz w:val="18"/>
                <w:szCs w:val="18"/>
                <w:color w:val="auto"/>
                <w:w w:val="99"/>
              </w:rPr>
              <w:t>Interest</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Incurred</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$154,509</w:t>
            </w:r>
          </w:p>
        </w:tc>
        <w:tc>
          <w:tcPr>
            <w:tcW w:w="11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w w:val="99"/>
              </w:rPr>
              <w:t>$195,725</w:t>
            </w:r>
          </w:p>
        </w:tc>
        <w:tc>
          <w:tcPr>
            <w:tcW w:w="2600" w:type="dxa"/>
            <w:vAlign w:val="bottom"/>
            <w:gridSpan w:val="2"/>
          </w:tcPr>
          <w:p>
            <w:pPr>
              <w:jc w:val="right"/>
              <w:ind w:right="1612"/>
              <w:spacing w:after="0"/>
              <w:rPr>
                <w:sz w:val="20"/>
                <w:szCs w:val="20"/>
                <w:color w:val="auto"/>
              </w:rPr>
            </w:pPr>
            <w:r>
              <w:rPr>
                <w:rFonts w:ascii="Courier New" w:cs="Courier New" w:eastAsia="Courier New" w:hAnsi="Courier New"/>
                <w:sz w:val="18"/>
                <w:szCs w:val="18"/>
                <w:color w:val="auto"/>
              </w:rPr>
              <w:t>$298,591</w:t>
            </w:r>
          </w:p>
        </w:tc>
      </w:tr>
      <w:tr>
        <w:trPr>
          <w:trHeight w:val="405"/>
        </w:trPr>
        <w:tc>
          <w:tcPr>
            <w:tcW w:w="2160" w:type="dxa"/>
            <w:vAlign w:val="bottom"/>
          </w:tcPr>
          <w:p>
            <w:pPr>
              <w:ind w:left="1280"/>
              <w:spacing w:after="0"/>
              <w:rPr>
                <w:sz w:val="20"/>
                <w:szCs w:val="20"/>
                <w:color w:val="auto"/>
              </w:rPr>
            </w:pPr>
            <w:r>
              <w:rPr>
                <w:rFonts w:ascii="Courier New" w:cs="Courier New" w:eastAsia="Courier New" w:hAnsi="Courier New"/>
                <w:sz w:val="18"/>
                <w:szCs w:val="18"/>
                <w:color w:val="auto"/>
                <w:w w:val="99"/>
              </w:rPr>
              <w:t>Interest</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Income</w:t>
            </w:r>
          </w:p>
        </w:tc>
        <w:tc>
          <w:tcPr>
            <w:tcW w:w="260" w:type="dxa"/>
            <w:vAlign w:val="bottom"/>
          </w:tcPr>
          <w:p>
            <w:pPr>
              <w:ind w:left="40"/>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9,184</w:t>
            </w:r>
          </w:p>
        </w:tc>
        <w:tc>
          <w:tcPr>
            <w:tcW w:w="260" w:type="dxa"/>
            <w:vAlign w:val="bottom"/>
          </w:tcPr>
          <w:p>
            <w:pPr>
              <w:ind w:left="40"/>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1,119</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2020" w:type="dxa"/>
            <w:vAlign w:val="bottom"/>
          </w:tcPr>
          <w:p>
            <w:pPr>
              <w:jc w:val="right"/>
              <w:ind w:right="1612"/>
              <w:spacing w:after="0"/>
              <w:rPr>
                <w:sz w:val="20"/>
                <w:szCs w:val="20"/>
                <w:color w:val="auto"/>
              </w:rPr>
            </w:pPr>
            <w:r>
              <w:rPr>
                <w:rFonts w:ascii="Courier New" w:cs="Courier New" w:eastAsia="Courier New" w:hAnsi="Courier New"/>
                <w:sz w:val="18"/>
                <w:szCs w:val="18"/>
                <w:color w:val="auto"/>
                <w:w w:val="92"/>
              </w:rPr>
              <w:t>626</w:t>
            </w:r>
          </w:p>
        </w:tc>
      </w:tr>
      <w:tr>
        <w:trPr>
          <w:trHeight w:val="405"/>
        </w:trPr>
        <w:tc>
          <w:tcPr>
            <w:tcW w:w="3540" w:type="dxa"/>
            <w:vAlign w:val="bottom"/>
            <w:gridSpan w:val="2"/>
          </w:tcPr>
          <w:p>
            <w:pPr>
              <w:ind w:left="1280"/>
              <w:spacing w:after="0"/>
              <w:rPr>
                <w:sz w:val="20"/>
                <w:szCs w:val="20"/>
                <w:color w:val="auto"/>
              </w:rPr>
            </w:pPr>
            <w:r>
              <w:rPr>
                <w:rFonts w:ascii="Courier New" w:cs="Courier New" w:eastAsia="Courier New" w:hAnsi="Courier New"/>
                <w:sz w:val="18"/>
                <w:szCs w:val="18"/>
                <w:color w:val="auto"/>
              </w:rPr>
              <w:t>Capitalized Interest</w:t>
            </w:r>
          </w:p>
        </w:tc>
        <w:tc>
          <w:tcPr>
            <w:tcW w:w="260" w:type="dxa"/>
            <w:vAlign w:val="bottom"/>
          </w:tcPr>
          <w:p>
            <w:pPr>
              <w:ind w:left="40"/>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372</w:t>
            </w:r>
          </w:p>
        </w:tc>
        <w:tc>
          <w:tcPr>
            <w:tcW w:w="260" w:type="dxa"/>
            <w:vAlign w:val="bottom"/>
          </w:tcPr>
          <w:p>
            <w:pPr>
              <w:ind w:left="40"/>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502</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2020" w:type="dxa"/>
            <w:vAlign w:val="bottom"/>
          </w:tcPr>
          <w:p>
            <w:pPr>
              <w:jc w:val="right"/>
              <w:ind w:right="1612"/>
              <w:spacing w:after="0"/>
              <w:rPr>
                <w:sz w:val="20"/>
                <w:szCs w:val="20"/>
                <w:color w:val="auto"/>
              </w:rPr>
            </w:pPr>
            <w:r>
              <w:rPr>
                <w:rFonts w:ascii="Courier New" w:cs="Courier New" w:eastAsia="Courier New" w:hAnsi="Courier New"/>
                <w:sz w:val="18"/>
                <w:szCs w:val="18"/>
                <w:color w:val="auto"/>
                <w:w w:val="92"/>
              </w:rPr>
              <w:t>513</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w w:val="99"/>
              </w:rPr>
              <w:t>Scheduled maturities</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of long-term</w:t>
            </w:r>
          </w:p>
        </w:tc>
        <w:tc>
          <w:tcPr>
            <w:tcW w:w="4800" w:type="dxa"/>
            <w:vAlign w:val="bottom"/>
            <w:gridSpan w:val="6"/>
          </w:tcPr>
          <w:p>
            <w:pPr>
              <w:ind w:left="40"/>
              <w:spacing w:after="0"/>
              <w:rPr>
                <w:sz w:val="20"/>
                <w:szCs w:val="20"/>
                <w:color w:val="auto"/>
              </w:rPr>
            </w:pPr>
            <w:r>
              <w:rPr>
                <w:rFonts w:ascii="Courier New" w:cs="Courier New" w:eastAsia="Courier New" w:hAnsi="Courier New"/>
                <w:sz w:val="18"/>
                <w:szCs w:val="18"/>
                <w:color w:val="auto"/>
              </w:rPr>
              <w:t>debt of the Company through December 31,</w:t>
            </w:r>
          </w:p>
        </w:tc>
      </w:tr>
      <w:tr>
        <w:trPr>
          <w:trHeight w:val="203"/>
        </w:trPr>
        <w:tc>
          <w:tcPr>
            <w:tcW w:w="46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1998, assuming full utilization of the $1.9</w:t>
            </w:r>
          </w:p>
        </w:tc>
        <w:tc>
          <w:tcPr>
            <w:tcW w:w="3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7"/>
              </w:rPr>
              <w:t>billion commitment under the Credit</w:t>
            </w:r>
          </w:p>
        </w:tc>
      </w:tr>
      <w:tr>
        <w:trPr>
          <w:trHeight w:val="203"/>
        </w:trPr>
        <w:tc>
          <w:tcPr>
            <w:tcW w:w="46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Agreement and $300 million commitment under</w:t>
            </w:r>
          </w:p>
        </w:tc>
        <w:tc>
          <w:tcPr>
            <w:tcW w:w="3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7"/>
              </w:rPr>
              <w:t>the Loan Facility, are $300 million</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(1994), $380 million</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 $380</w:t>
            </w:r>
          </w:p>
        </w:tc>
        <w:tc>
          <w:tcPr>
            <w:tcW w:w="22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million (1996), $380</w:t>
            </w:r>
          </w:p>
        </w:tc>
        <w:tc>
          <w:tcPr>
            <w:tcW w:w="26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million (1997) and $380</w:t>
            </w:r>
          </w:p>
        </w:tc>
      </w:tr>
      <w:tr>
        <w:trPr>
          <w:trHeight w:val="203"/>
        </w:trPr>
        <w:tc>
          <w:tcPr>
            <w:tcW w:w="574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8"/>
              </w:rPr>
              <w:t>million (1998). Scheduled maturities of debt of Viacom</w:t>
            </w:r>
          </w:p>
        </w:tc>
        <w:tc>
          <w:tcPr>
            <w:tcW w:w="26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Inc. under the Term Loan</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Agreement  are $13.9</w:t>
            </w:r>
          </w:p>
        </w:tc>
        <w:tc>
          <w:tcPr>
            <w:tcW w:w="6180" w:type="dxa"/>
            <w:vAlign w:val="bottom"/>
            <w:gridSpan w:val="7"/>
          </w:tcPr>
          <w:p>
            <w:pPr>
              <w:ind w:left="60"/>
              <w:spacing w:after="0" w:line="203" w:lineRule="exact"/>
              <w:rPr>
                <w:sz w:val="20"/>
                <w:szCs w:val="20"/>
                <w:color w:val="auto"/>
              </w:rPr>
            </w:pPr>
            <w:r>
              <w:rPr>
                <w:rFonts w:ascii="Courier New" w:cs="Courier New" w:eastAsia="Courier New" w:hAnsi="Courier New"/>
                <w:sz w:val="18"/>
                <w:szCs w:val="18"/>
                <w:color w:val="auto"/>
              </w:rPr>
              <w:t>million (repaid on January 15, 1994) and $28.3 million</w:t>
            </w:r>
          </w:p>
        </w:tc>
      </w:tr>
    </w:tbl>
    <w:p>
      <w:pPr>
        <w:spacing w:after="0" w:line="4" w:lineRule="exact"/>
        <w:rPr>
          <w:sz w:val="20"/>
          <w:szCs w:val="20"/>
          <w:color w:val="auto"/>
        </w:rPr>
      </w:pPr>
    </w:p>
    <w:p>
      <w:pPr>
        <w:jc w:val="both"/>
        <w:ind w:right="1879"/>
        <w:spacing w:after="0" w:line="235" w:lineRule="auto"/>
        <w:rPr>
          <w:sz w:val="20"/>
          <w:szCs w:val="20"/>
          <w:color w:val="auto"/>
        </w:rPr>
      </w:pPr>
      <w:r>
        <w:rPr>
          <w:rFonts w:ascii="Courier New" w:cs="Courier New" w:eastAsia="Courier New" w:hAnsi="Courier New"/>
          <w:sz w:val="18"/>
          <w:szCs w:val="18"/>
          <w:color w:val="auto"/>
        </w:rPr>
        <w:t>(1995). (See Note 2 regarding Paramount Merger financing and scheduled maturity of debt.)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FAIR VALUE OF FINANCIAL INSTRUMENTS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Company's carrying value of the financial instruments approximates fair value, except for differences with respect to the senior subordinated debt and certain differences related to other financial instruments which are not significant. The carrying value of the senior subordinated debt is $450 million and the fair value, which is estimated based on quoted market prices, is $486 million.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SHAREHOLDERS' EQUITY</w:t>
      </w:r>
    </w:p>
    <w:p>
      <w:pPr>
        <w:spacing w:after="0" w:line="207"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On October 22, 1993, Blockbuster purchased 24 million shares of cumulative convertible preferred stock, par value $.01 per share, of Viacom Inc. ("Series A Preferred Stock") for $600 million. On November 19, 1993, NYNEX Corporation ("NYNEX") purchased 24 million shares of cumulative convertible preferred stock, par value $.01 per share, of Viacom Inc. ("Series B Preferred Stock," collectively with the Series A Preferred Stock, "Preferred Stock") for $1.2 billion. Series A Preferred Stock and Series B Preferred Stock have liquidation preferences of $25 per share and $50 per share, respectively. The Preferred Stock has an annual dividend rate of 5%, is convertible into shares of Viacom Class B Common Stock at a conversion price of $70 and does not have voting rights other than those required by law. The Preferred Stock is redeemable by Viacom Inc. at declining premiums after five years. The Preferred Stock purchased by Blockbuster will be canceled upon consummation of the Blockbuster Merger.</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On August 30, 1991, Viacom Inc. issued 2,210,884 shares of Viacom Class B Common Stock to an affiliate of Mirror Group Newspapers in exchange for the remaining 50.01% interest in MTV EUROPE (See Note 3). On September 17, 1991, all such shares of B Common Stock were sold by Mirror Group Newspapers in an underwritten public offering.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II-49</w:t>
      </w:r>
    </w:p>
    <w:p>
      <w:pPr>
        <w:sectPr>
          <w:pgSz w:w="11900" w:h="16838" w:orient="portrait"/>
          <w:cols w:equalWidth="0" w:num="1">
            <w:col w:w="10219"/>
          </w:cols>
          <w:pgMar w:left="240" w:top="717" w:right="1440" w:bottom="362" w:gutter="0" w:footer="0" w:header="0"/>
        </w:sectPr>
      </w:pPr>
    </w:p>
    <w:bookmarkStart w:id="104" w:name="page105"/>
    <w:bookmarkEnd w:id="104"/>
    <w:tbl>
      <w:tblPr>
        <w:tblLayout w:type="fixed"/>
        <w:tblInd w:w="1280" w:type="dxa"/>
        <w:tblCellMar>
          <w:top w:w="0" w:type="dxa"/>
          <w:left w:w="0" w:type="dxa"/>
          <w:bottom w:w="0" w:type="dxa"/>
          <w:right w:w="0" w:type="dxa"/>
        </w:tblCellMar>
      </w:tblPr>
      <w:tr>
        <w:trPr>
          <w:trHeight w:val="204"/>
        </w:trPr>
        <w:tc>
          <w:tcPr>
            <w:tcW w:w="2780" w:type="dxa"/>
            <w:vAlign w:val="bottom"/>
          </w:tcPr>
          <w:p>
            <w:pPr>
              <w:jc w:val="right"/>
              <w:spacing w:after="0"/>
              <w:rPr>
                <w:sz w:val="20"/>
                <w:szCs w:val="20"/>
                <w:color w:val="auto"/>
              </w:rPr>
            </w:pPr>
            <w:r>
              <w:rPr>
                <w:rFonts w:ascii="Courier New" w:cs="Courier New" w:eastAsia="Courier New" w:hAnsi="Courier New"/>
                <w:sz w:val="18"/>
                <w:szCs w:val="18"/>
                <w:color w:val="auto"/>
              </w:rPr>
              <w:t>VIACOM</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INC.</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AND</w:t>
            </w:r>
          </w:p>
        </w:tc>
        <w:tc>
          <w:tcPr>
            <w:tcW w:w="1940" w:type="dxa"/>
            <w:vAlign w:val="bottom"/>
          </w:tcPr>
          <w:p>
            <w:pPr>
              <w:spacing w:after="0"/>
              <w:rPr>
                <w:sz w:val="17"/>
                <w:szCs w:val="17"/>
                <w:color w:val="auto"/>
              </w:rPr>
            </w:pPr>
          </w:p>
        </w:tc>
      </w:tr>
      <w:tr>
        <w:trPr>
          <w:trHeight w:val="203"/>
        </w:trPr>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VIACOM INTERNATIONAL</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SUBSIDIARIES</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NOTES TO CONSOLIDATED FINANCIAL</w:t>
            </w:r>
          </w:p>
        </w:tc>
        <w:tc>
          <w:tcPr>
            <w:tcW w:w="2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STATEMENTS (continued)</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June 11, 1991, Viacom Inc. completed the sale of 10,781,600 shares of Viacom</w:t>
      </w:r>
    </w:p>
    <w:p>
      <w:pPr>
        <w:spacing w:after="0" w:line="2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Class B Common Stock in a registered public offering and the private placement of an additional 500,000 shares of Viacom Class B Common Stock with NAI. Viacom Inc. realized proceeds, net of underwriting discounts and other related expenses, of approximately $317.7 million from the sale and private placement.</w:t>
      </w: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NAI holds approximately 76.3% and the public holds approximately 23.7% of outstanding Viacom Inc. Common Stock as of December 31, 1993. NAI's percentage of ownership consists of 85.2% of the outstanding Viacom Class A Common Stock and 69.1% of the outstanding Viacom Class B Common Stock, as of December 31, 1993. Pursuant to a purchase program initiated in August 1987, NAI announced its intention to buy, from time to time, up to an additional 3,000,000 shares of Viacom Class A Common Stock and 2,423,700 shares of Viacom Class B Common Stock. As of December 31, 1993, NAI had acquired an aggregate of 3,374,300 shares of Common Stock, consisting of 1,466,200 shares of Viacom Class A Common Stock and 1,908,100 shares of Viacom Class B Common Stock, pursuant to this buying program. On August 20, 1993, NAI ceased making purchases of Common Stock.</w:t>
      </w:r>
    </w:p>
    <w:p>
      <w:pPr>
        <w:spacing w:after="0" w:line="207"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Under the restrictions contained in the Credit Agreement, the Company is prohibited from (i) paying any dividends on its stock to Viacom Inc. for the purpose of enabling Viacom Inc. to pay any dividend on its common stock, or</w:t>
      </w:r>
    </w:p>
    <w:p>
      <w:pPr>
        <w:spacing w:after="0" w:line="1" w:lineRule="exact"/>
        <w:rPr>
          <w:sz w:val="20"/>
          <w:szCs w:val="20"/>
          <w:color w:val="auto"/>
        </w:rPr>
      </w:pPr>
    </w:p>
    <w:p>
      <w:pPr>
        <w:ind w:right="1999" w:firstLine="8"/>
        <w:spacing w:after="0" w:line="236" w:lineRule="auto"/>
        <w:tabs>
          <w:tab w:leader="none" w:pos="527"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making any other dividend payments to Viacom Inc. (other than for certain limited specified purposes), unless its total leverage ratio is less than a specified amount.</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Long-Term Incentive Plans - The purpose of the Long-Term Incentive Plans (the "Plans"), which consist of the Long-Term Incentive Plan ("LTIP") and the Long-Term Management Incentive Plan ("LTMIP"), is to benefit and advance the interests of Viacom Inc. by rewarding certain key employees for their contributions to the financial success of the Company and thereby motivating them to continue to make such contributions in the future. The Plans provide for grants of equity-based interests pursuant to awards of phantom shares, stock options, stock appreciation rights, restricted shares or other equity-based interests ("Awards"), and for subsequent payments of cash with respect to phantom shares or stock appreciation rights based, subject to certain limits, on their appreciation in value over stated periods of time.</w:t>
      </w:r>
    </w:p>
    <w:p>
      <w:pPr>
        <w:spacing w:after="0" w:line="216"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During December 1992, a significant portion of the liability associated with the LTIP was satisfied through the cash payment of $68.6 million and the issuance of 177,897 shares of Viacom Class B Common Stock valued at $6.9 million.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LTMIP provides that an aggregate of 7,000,000 Awards may be granted over five years. As of December 31, 1993, there were 1,994,020 Awards available for future grant, and 4,616,155 Awards outstanding consisting of phantom shares for 643,098 shares of common stock at an average grant price of $29 and vesting over three years from the date of grant, and stock options for 3,973,057 shares of common stock with exercise prices ranging from $20.75 to $55.25 and vesting over four years from the date of grant. The stock options expire 10 years after the date of grant.</w:t>
      </w: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II-50</w:t>
      </w:r>
    </w:p>
    <w:p>
      <w:pPr>
        <w:sectPr>
          <w:pgSz w:w="11900" w:h="16838" w:orient="portrait"/>
          <w:cols w:equalWidth="0" w:num="1">
            <w:col w:w="10219"/>
          </w:cols>
          <w:pgMar w:left="240" w:top="717" w:right="1440" w:bottom="1440" w:gutter="0" w:footer="0" w:header="0"/>
        </w:sectPr>
      </w:pPr>
    </w:p>
    <w:bookmarkStart w:id="105" w:name="page106"/>
    <w:bookmarkEnd w:id="105"/>
    <w:tbl>
      <w:tblPr>
        <w:tblLayout w:type="fixed"/>
        <w:tblInd w:w="1280" w:type="dxa"/>
        <w:tblCellMar>
          <w:top w:w="0" w:type="dxa"/>
          <w:left w:w="0" w:type="dxa"/>
          <w:bottom w:w="0" w:type="dxa"/>
          <w:right w:w="0" w:type="dxa"/>
        </w:tblCellMar>
      </w:tblPr>
      <w:tr>
        <w:trPr>
          <w:trHeight w:val="204"/>
        </w:trPr>
        <w:tc>
          <w:tcPr>
            <w:tcW w:w="2780" w:type="dxa"/>
            <w:vAlign w:val="bottom"/>
          </w:tcPr>
          <w:p>
            <w:pPr>
              <w:jc w:val="right"/>
              <w:spacing w:after="0"/>
              <w:rPr>
                <w:sz w:val="20"/>
                <w:szCs w:val="20"/>
                <w:color w:val="auto"/>
              </w:rPr>
            </w:pPr>
            <w:r>
              <w:rPr>
                <w:rFonts w:ascii="Courier New" w:cs="Courier New" w:eastAsia="Courier New" w:hAnsi="Courier New"/>
                <w:sz w:val="18"/>
                <w:szCs w:val="18"/>
                <w:color w:val="auto"/>
              </w:rPr>
              <w:t>VIACOM</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INC.</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AND</w:t>
            </w:r>
          </w:p>
        </w:tc>
        <w:tc>
          <w:tcPr>
            <w:tcW w:w="1940" w:type="dxa"/>
            <w:vAlign w:val="bottom"/>
          </w:tcPr>
          <w:p>
            <w:pPr>
              <w:spacing w:after="0"/>
              <w:rPr>
                <w:sz w:val="17"/>
                <w:szCs w:val="17"/>
                <w:color w:val="auto"/>
              </w:rPr>
            </w:pPr>
          </w:p>
        </w:tc>
      </w:tr>
      <w:tr>
        <w:trPr>
          <w:trHeight w:val="203"/>
        </w:trPr>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VIACOM INTERNATIONAL</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SUBSIDIARIES</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NOTES TO CONSOLIDATED FINANCIAL</w:t>
            </w:r>
          </w:p>
        </w:tc>
        <w:tc>
          <w:tcPr>
            <w:tcW w:w="2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STATEMENTS (continued)</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summary of stock option activity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960" w:type="dxa"/>
            <w:vAlign w:val="bottom"/>
          </w:tcPr>
          <w:p>
            <w:pPr>
              <w:ind w:left="740"/>
              <w:spacing w:after="0"/>
              <w:rPr>
                <w:sz w:val="20"/>
                <w:szCs w:val="20"/>
                <w:color w:val="auto"/>
              </w:rPr>
            </w:pPr>
            <w:r>
              <w:rPr>
                <w:rFonts w:ascii="Courier New" w:cs="Courier New" w:eastAsia="Courier New" w:hAnsi="Courier New"/>
                <w:sz w:val="18"/>
                <w:szCs w:val="18"/>
                <w:color w:val="auto"/>
              </w:rPr>
              <w:t>Number of</w:t>
            </w:r>
          </w:p>
        </w:tc>
        <w:tc>
          <w:tcPr>
            <w:tcW w:w="130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Option</w:t>
            </w:r>
          </w:p>
        </w:tc>
        <w:tc>
          <w:tcPr>
            <w:tcW w:w="74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9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Shares</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Price</w:t>
            </w:r>
          </w:p>
        </w:tc>
        <w:tc>
          <w:tcPr>
            <w:tcW w:w="1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range</w:t>
            </w:r>
          </w:p>
        </w:tc>
      </w:tr>
      <w:tr>
        <w:trPr>
          <w:trHeight w:val="203"/>
        </w:trPr>
        <w:tc>
          <w:tcPr>
            <w:tcW w:w="11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gridSpan w:val="3"/>
          </w:tcPr>
          <w:p>
            <w:pPr>
              <w:ind w:left="36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160" w:type="dxa"/>
            <w:vAlign w:val="bottom"/>
          </w:tcPr>
          <w:p>
            <w:pPr>
              <w:spacing w:after="0"/>
              <w:rPr>
                <w:sz w:val="20"/>
                <w:szCs w:val="20"/>
                <w:color w:val="auto"/>
              </w:rPr>
            </w:pPr>
            <w:r>
              <w:rPr>
                <w:rFonts w:ascii="Courier New" w:cs="Courier New" w:eastAsia="Courier New" w:hAnsi="Courier New"/>
                <w:sz w:val="18"/>
                <w:szCs w:val="18"/>
                <w:color w:val="auto"/>
              </w:rPr>
              <w:t>Balance at</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December 31, 1991</w:t>
            </w:r>
          </w:p>
        </w:tc>
        <w:tc>
          <w:tcPr>
            <w:tcW w:w="19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3,148,357</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$20.75</w:t>
            </w:r>
          </w:p>
        </w:tc>
        <w:tc>
          <w:tcPr>
            <w:tcW w:w="1040" w:type="dxa"/>
            <w:vAlign w:val="bottom"/>
            <w:gridSpan w:val="2"/>
          </w:tcPr>
          <w:p>
            <w:pPr>
              <w:spacing w:after="0"/>
              <w:rPr>
                <w:sz w:val="20"/>
                <w:szCs w:val="20"/>
                <w:color w:val="auto"/>
              </w:rPr>
            </w:pPr>
            <w:r>
              <w:rPr>
                <w:rFonts w:ascii="Courier New" w:cs="Courier New" w:eastAsia="Courier New" w:hAnsi="Courier New"/>
                <w:sz w:val="18"/>
                <w:szCs w:val="18"/>
                <w:color w:val="auto"/>
                <w:w w:val="94"/>
              </w:rPr>
              <w:t>to $29.375</w:t>
            </w:r>
          </w:p>
        </w:tc>
      </w:tr>
      <w:tr>
        <w:trPr>
          <w:trHeight w:val="203"/>
        </w:trPr>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Granted</w:t>
            </w:r>
          </w:p>
        </w:tc>
        <w:tc>
          <w:tcPr>
            <w:tcW w:w="2320" w:type="dxa"/>
            <w:vAlign w:val="bottom"/>
          </w:tcPr>
          <w:p>
            <w:pPr>
              <w:spacing w:after="0"/>
              <w:rPr>
                <w:sz w:val="17"/>
                <w:szCs w:val="17"/>
                <w:color w:val="auto"/>
              </w:rPr>
            </w:pP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643,740</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5"/>
              </w:rPr>
              <w:t>31.875</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Exercised</w:t>
            </w:r>
          </w:p>
        </w:tc>
        <w:tc>
          <w:tcPr>
            <w:tcW w:w="2320" w:type="dxa"/>
            <w:vAlign w:val="bottom"/>
          </w:tcPr>
          <w:p>
            <w:pPr>
              <w:spacing w:after="0"/>
              <w:rPr>
                <w:sz w:val="17"/>
                <w:szCs w:val="17"/>
                <w:color w:val="auto"/>
              </w:rPr>
            </w:pPr>
          </w:p>
        </w:tc>
        <w:tc>
          <w:tcPr>
            <w:tcW w:w="1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(45,291)</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20.75</w:t>
            </w:r>
          </w:p>
        </w:tc>
        <w:tc>
          <w:tcPr>
            <w:tcW w:w="30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29.00</w:t>
            </w:r>
          </w:p>
        </w:tc>
      </w:tr>
      <w:tr>
        <w:trPr>
          <w:trHeight w:val="203"/>
        </w:trPr>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Canceled</w:t>
            </w:r>
          </w:p>
        </w:tc>
        <w:tc>
          <w:tcPr>
            <w:tcW w:w="2320" w:type="dxa"/>
            <w:vAlign w:val="bottom"/>
          </w:tcPr>
          <w:p>
            <w:pPr>
              <w:spacing w:after="0"/>
              <w:rPr>
                <w:sz w:val="17"/>
                <w:szCs w:val="17"/>
                <w:color w:val="auto"/>
              </w:rPr>
            </w:pPr>
          </w:p>
        </w:tc>
        <w:tc>
          <w:tcPr>
            <w:tcW w:w="1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(189,215)</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20.75</w:t>
            </w:r>
          </w:p>
        </w:tc>
        <w:tc>
          <w:tcPr>
            <w:tcW w:w="30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29.375</w:t>
            </w:r>
          </w:p>
        </w:tc>
      </w:tr>
      <w:tr>
        <w:trPr>
          <w:trHeight w:val="203"/>
        </w:trPr>
        <w:tc>
          <w:tcPr>
            <w:tcW w:w="11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at</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31, 1992</w:t>
            </w: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3,557,591</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20.75</w:t>
            </w:r>
          </w:p>
        </w:tc>
        <w:tc>
          <w:tcPr>
            <w:tcW w:w="30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31.875</w:t>
            </w:r>
          </w:p>
        </w:tc>
      </w:tr>
      <w:tr>
        <w:trPr>
          <w:trHeight w:val="203"/>
        </w:trPr>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Granted</w:t>
            </w:r>
          </w:p>
        </w:tc>
        <w:tc>
          <w:tcPr>
            <w:tcW w:w="2320" w:type="dxa"/>
            <w:vAlign w:val="bottom"/>
          </w:tcPr>
          <w:p>
            <w:pPr>
              <w:spacing w:after="0"/>
              <w:rPr>
                <w:sz w:val="17"/>
                <w:szCs w:val="17"/>
                <w:color w:val="auto"/>
              </w:rPr>
            </w:pP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856,990</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43.25</w:t>
            </w:r>
          </w:p>
        </w:tc>
        <w:tc>
          <w:tcPr>
            <w:tcW w:w="30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55.25</w:t>
            </w:r>
          </w:p>
        </w:tc>
      </w:tr>
      <w:tr>
        <w:trPr>
          <w:trHeight w:val="203"/>
        </w:trPr>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Exercised</w:t>
            </w:r>
          </w:p>
        </w:tc>
        <w:tc>
          <w:tcPr>
            <w:tcW w:w="2320" w:type="dxa"/>
            <w:vAlign w:val="bottom"/>
          </w:tcPr>
          <w:p>
            <w:pPr>
              <w:spacing w:after="0"/>
              <w:rPr>
                <w:sz w:val="17"/>
                <w:szCs w:val="17"/>
                <w:color w:val="auto"/>
              </w:rPr>
            </w:pPr>
          </w:p>
        </w:tc>
        <w:tc>
          <w:tcPr>
            <w:tcW w:w="1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(346,378)</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20.75</w:t>
            </w:r>
          </w:p>
        </w:tc>
        <w:tc>
          <w:tcPr>
            <w:tcW w:w="30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31.875</w:t>
            </w:r>
          </w:p>
        </w:tc>
      </w:tr>
      <w:tr>
        <w:trPr>
          <w:trHeight w:val="203"/>
        </w:trPr>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Canceled</w:t>
            </w:r>
          </w:p>
        </w:tc>
        <w:tc>
          <w:tcPr>
            <w:tcW w:w="2320" w:type="dxa"/>
            <w:vAlign w:val="bottom"/>
          </w:tcPr>
          <w:p>
            <w:pPr>
              <w:spacing w:after="0"/>
              <w:rPr>
                <w:sz w:val="17"/>
                <w:szCs w:val="17"/>
                <w:color w:val="auto"/>
              </w:rPr>
            </w:pPr>
          </w:p>
        </w:tc>
        <w:tc>
          <w:tcPr>
            <w:tcW w:w="1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(95,146)</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20.75</w:t>
            </w:r>
          </w:p>
        </w:tc>
        <w:tc>
          <w:tcPr>
            <w:tcW w:w="30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55.25</w:t>
            </w:r>
          </w:p>
        </w:tc>
      </w:tr>
      <w:tr>
        <w:trPr>
          <w:trHeight w:val="203"/>
        </w:trPr>
        <w:tc>
          <w:tcPr>
            <w:tcW w:w="11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at</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31, 1993</w:t>
            </w: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3,973,057</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$20.75</w:t>
            </w:r>
          </w:p>
        </w:tc>
        <w:tc>
          <w:tcPr>
            <w:tcW w:w="30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$55.25</w:t>
            </w:r>
          </w:p>
        </w:tc>
      </w:tr>
      <w:tr>
        <w:trPr>
          <w:trHeight w:val="203"/>
        </w:trPr>
        <w:tc>
          <w:tcPr>
            <w:tcW w:w="11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3480" w:type="dxa"/>
            <w:vAlign w:val="bottom"/>
            <w:gridSpan w:val="2"/>
          </w:tcPr>
          <w:p>
            <w:pPr>
              <w:spacing w:after="0"/>
              <w:rPr>
                <w:sz w:val="20"/>
                <w:szCs w:val="20"/>
                <w:color w:val="auto"/>
              </w:rPr>
            </w:pPr>
            <w:r>
              <w:rPr>
                <w:rFonts w:ascii="Courier New" w:cs="Courier New" w:eastAsia="Courier New" w:hAnsi="Courier New"/>
                <w:sz w:val="18"/>
                <w:szCs w:val="18"/>
                <w:color w:val="auto"/>
              </w:rPr>
              <w:t>Available for future grant:</w:t>
            </w:r>
          </w:p>
        </w:tc>
        <w:tc>
          <w:tcPr>
            <w:tcW w:w="1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December</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31, 1993</w:t>
            </w: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1,994,020</w:t>
            </w: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December</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31, 1992</w:t>
            </w: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2,752,854</w:t>
            </w: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Exercisable:</w:t>
            </w:r>
          </w:p>
        </w:tc>
        <w:tc>
          <w:tcPr>
            <w:tcW w:w="1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December</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31, 1993</w:t>
            </w: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1,448,570</w:t>
            </w: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December</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31, 1992</w:t>
            </w: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775,040</w:t>
            </w: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Viacom Inc. has reserved 224,410 shares of Viacom Class A Common Stock and 29,462,933 shares of Viacom Class B Common Stock, principally for exercise of stock options and the conversion of the Preferred Stock.</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INCOME TAXES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provision for income taxes shown below for the years ended December 31, 1993, 1992 and 1991 represents federal, state and foreign income taxes on earnings before income taxes. The tax benefits relating to losses accounted for under the equity method of accounting, which are shown net of tax on the Company's statement of operations, are $.6 million (1993), $2.2 million (1992) and $6.4 million (1991). See Note 4 for tax benefits relating to the Extraordinary Losses.</w:t>
      </w:r>
    </w:p>
    <w:p>
      <w:pPr>
        <w:spacing w:after="0" w:line="211" w:lineRule="exact"/>
        <w:rPr>
          <w:sz w:val="20"/>
          <w:szCs w:val="20"/>
          <w:color w:val="auto"/>
        </w:rPr>
      </w:pPr>
    </w:p>
    <w:p>
      <w:pPr>
        <w:jc w:val="both"/>
        <w:ind w:right="2099"/>
        <w:spacing w:after="0" w:line="273" w:lineRule="auto"/>
        <w:rPr>
          <w:sz w:val="20"/>
          <w:szCs w:val="20"/>
          <w:color w:val="auto"/>
        </w:rPr>
      </w:pPr>
      <w:r>
        <w:rPr>
          <w:rFonts w:ascii="Courier New" w:cs="Courier New" w:eastAsia="Courier New" w:hAnsi="Courier New"/>
          <w:sz w:val="16"/>
          <w:szCs w:val="16"/>
          <w:color w:val="auto"/>
        </w:rPr>
        <w:t>During the first quarter of 1993, the Company adopted Statement of Financial Accounting Standards No. 109, "Accounting for Income Taxes" ("SFAS 109") on a prospective basis and recognized an increase to earnings of $10.3 million in 1993 as the cumulative effect of a change in accounting principle. SFAS 109 mandates the liability method for computing deferred income taxes.</w:t>
      </w:r>
    </w:p>
    <w:p>
      <w:pPr>
        <w:spacing w:after="0" w:line="3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II-51</w:t>
      </w:r>
    </w:p>
    <w:p>
      <w:pPr>
        <w:sectPr>
          <w:pgSz w:w="11900" w:h="16838" w:orient="portrait"/>
          <w:cols w:equalWidth="0" w:num="1">
            <w:col w:w="10219"/>
          </w:cols>
          <w:pgMar w:left="240" w:top="717" w:right="1440" w:bottom="1440" w:gutter="0" w:footer="0" w:header="0"/>
        </w:sectPr>
      </w:pPr>
    </w:p>
    <w:bookmarkStart w:id="106" w:name="page107"/>
    <w:bookmarkEnd w:id="106"/>
    <w:tbl>
      <w:tblPr>
        <w:tblLayout w:type="fixed"/>
        <w:tblInd w:w="1280" w:type="dxa"/>
        <w:tblCellMar>
          <w:top w:w="0" w:type="dxa"/>
          <w:left w:w="0" w:type="dxa"/>
          <w:bottom w:w="0" w:type="dxa"/>
          <w:right w:w="0" w:type="dxa"/>
        </w:tblCellMar>
      </w:tblPr>
      <w:tr>
        <w:trPr>
          <w:trHeight w:val="204"/>
        </w:trPr>
        <w:tc>
          <w:tcPr>
            <w:tcW w:w="2780" w:type="dxa"/>
            <w:vAlign w:val="bottom"/>
          </w:tcPr>
          <w:p>
            <w:pPr>
              <w:jc w:val="right"/>
              <w:spacing w:after="0"/>
              <w:rPr>
                <w:sz w:val="20"/>
                <w:szCs w:val="20"/>
                <w:color w:val="auto"/>
              </w:rPr>
            </w:pPr>
            <w:r>
              <w:rPr>
                <w:rFonts w:ascii="Courier New" w:cs="Courier New" w:eastAsia="Courier New" w:hAnsi="Courier New"/>
                <w:sz w:val="18"/>
                <w:szCs w:val="18"/>
                <w:color w:val="auto"/>
              </w:rPr>
              <w:t>VIACOM</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INC.</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AND</w:t>
            </w:r>
          </w:p>
        </w:tc>
        <w:tc>
          <w:tcPr>
            <w:tcW w:w="1940" w:type="dxa"/>
            <w:vAlign w:val="bottom"/>
          </w:tcPr>
          <w:p>
            <w:pPr>
              <w:spacing w:after="0"/>
              <w:rPr>
                <w:sz w:val="17"/>
                <w:szCs w:val="17"/>
                <w:color w:val="auto"/>
              </w:rPr>
            </w:pPr>
          </w:p>
        </w:tc>
      </w:tr>
      <w:tr>
        <w:trPr>
          <w:trHeight w:val="203"/>
        </w:trPr>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VIACOM INTERNATIONAL</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SUBSIDIARIES</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NOTES TO CONSOLIDATED FINANCIAL</w:t>
            </w:r>
          </w:p>
        </w:tc>
        <w:tc>
          <w:tcPr>
            <w:tcW w:w="2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STATEMENTS (continued)</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before income taxes are attributable to the following jurisdictions:</w:t>
      </w:r>
    </w:p>
    <w:p>
      <w:pPr>
        <w:spacing w:after="0" w:line="218"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1840" w:type="dxa"/>
            <w:vAlign w:val="bottom"/>
          </w:tcPr>
          <w:p>
            <w:pPr>
              <w:spacing w:after="0"/>
              <w:rPr>
                <w:sz w:val="17"/>
                <w:szCs w:val="17"/>
                <w:color w:val="auto"/>
              </w:rPr>
            </w:pPr>
          </w:p>
        </w:tc>
        <w:tc>
          <w:tcPr>
            <w:tcW w:w="438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Year Ended December 31,</w:t>
            </w:r>
          </w:p>
        </w:tc>
      </w:tr>
      <w:tr>
        <w:trPr>
          <w:trHeight w:val="203"/>
        </w:trPr>
        <w:tc>
          <w:tcPr>
            <w:tcW w:w="1840" w:type="dxa"/>
            <w:vAlign w:val="bottom"/>
          </w:tcPr>
          <w:p>
            <w:pPr>
              <w:spacing w:after="0"/>
              <w:rPr>
                <w:sz w:val="17"/>
                <w:szCs w:val="17"/>
                <w:color w:val="auto"/>
              </w:rPr>
            </w:pPr>
          </w:p>
        </w:tc>
        <w:tc>
          <w:tcPr>
            <w:tcW w:w="4380" w:type="dxa"/>
            <w:vAlign w:val="bottom"/>
            <w:gridSpan w:val="3"/>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4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1993</w:t>
            </w:r>
          </w:p>
        </w:tc>
        <w:tc>
          <w:tcPr>
            <w:tcW w:w="178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rPr>
              <w:t>1991</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1992</w:t>
            </w:r>
          </w:p>
        </w:tc>
      </w:tr>
      <w:tr>
        <w:trPr>
          <w:trHeight w:val="203"/>
        </w:trPr>
        <w:tc>
          <w:tcPr>
            <w:tcW w:w="184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0" w:type="dxa"/>
            <w:vAlign w:val="bottom"/>
            <w:gridSpan w:val="2"/>
          </w:tcPr>
          <w:p>
            <w:pPr>
              <w:jc w:val="center"/>
              <w:ind w:right="512"/>
              <w:spacing w:after="0" w:line="203" w:lineRule="exact"/>
              <w:rPr>
                <w:sz w:val="20"/>
                <w:szCs w:val="20"/>
                <w:color w:val="auto"/>
              </w:rPr>
            </w:pPr>
            <w:r>
              <w:rPr>
                <w:rFonts w:ascii="Courier New" w:cs="Courier New" w:eastAsia="Courier New" w:hAnsi="Courier New"/>
                <w:sz w:val="18"/>
                <w:szCs w:val="18"/>
                <w:color w:val="auto"/>
                <w:w w:val="97"/>
              </w:rPr>
              <w:t>(Thousands of dollars)</w:t>
            </w:r>
          </w:p>
        </w:tc>
      </w:tr>
      <w:tr>
        <w:trPr>
          <w:trHeight w:val="405"/>
        </w:trPr>
        <w:tc>
          <w:tcPr>
            <w:tcW w:w="1840" w:type="dxa"/>
            <w:vAlign w:val="bottom"/>
          </w:tcPr>
          <w:p>
            <w:pPr>
              <w:spacing w:after="0"/>
              <w:rPr>
                <w:sz w:val="20"/>
                <w:szCs w:val="20"/>
                <w:color w:val="auto"/>
              </w:rPr>
            </w:pPr>
            <w:r>
              <w:rPr>
                <w:rFonts w:ascii="Courier New" w:cs="Courier New" w:eastAsia="Courier New" w:hAnsi="Courier New"/>
                <w:sz w:val="18"/>
                <w:szCs w:val="18"/>
                <w:color w:val="auto"/>
              </w:rPr>
              <w:t>United States</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$267,804</w:t>
            </w:r>
          </w:p>
        </w:tc>
        <w:tc>
          <w:tcPr>
            <w:tcW w:w="1780" w:type="dxa"/>
            <w:vAlign w:val="bottom"/>
          </w:tcPr>
          <w:p>
            <w:pPr>
              <w:jc w:val="center"/>
              <w:ind w:left="332"/>
              <w:spacing w:after="0"/>
              <w:rPr>
                <w:sz w:val="20"/>
                <w:szCs w:val="20"/>
                <w:color w:val="auto"/>
              </w:rPr>
            </w:pPr>
            <w:r>
              <w:rPr>
                <w:rFonts w:ascii="Courier New" w:cs="Courier New" w:eastAsia="Courier New" w:hAnsi="Courier New"/>
                <w:sz w:val="18"/>
                <w:szCs w:val="18"/>
                <w:color w:val="auto"/>
                <w:w w:val="97"/>
              </w:rPr>
              <w:t>$138,215</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 (2,716)</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Foreign</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34,012</w:t>
            </w: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17,364</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10,963</w:t>
            </w:r>
          </w:p>
        </w:tc>
      </w:tr>
      <w:tr>
        <w:trPr>
          <w:trHeight w:val="203"/>
        </w:trPr>
        <w:tc>
          <w:tcPr>
            <w:tcW w:w="184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84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$301,816</w:t>
            </w:r>
          </w:p>
        </w:tc>
        <w:tc>
          <w:tcPr>
            <w:tcW w:w="1780" w:type="dxa"/>
            <w:vAlign w:val="bottom"/>
          </w:tcPr>
          <w:p>
            <w:pPr>
              <w:jc w:val="center"/>
              <w:ind w:left="332"/>
              <w:spacing w:after="0"/>
              <w:rPr>
                <w:sz w:val="20"/>
                <w:szCs w:val="20"/>
                <w:color w:val="auto"/>
              </w:rPr>
            </w:pPr>
            <w:r>
              <w:rPr>
                <w:rFonts w:ascii="Courier New" w:cs="Courier New" w:eastAsia="Courier New" w:hAnsi="Courier New"/>
                <w:sz w:val="18"/>
                <w:szCs w:val="18"/>
                <w:color w:val="auto"/>
                <w:w w:val="97"/>
              </w:rPr>
              <w:t>$155,579</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8,247</w:t>
            </w:r>
          </w:p>
        </w:tc>
      </w:tr>
      <w:tr>
        <w:trPr>
          <w:trHeight w:val="203"/>
        </w:trPr>
        <w:tc>
          <w:tcPr>
            <w:tcW w:w="184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Components of the provision for income taxes on earnings before income taxes are as follows:</w:t>
      </w:r>
    </w:p>
    <w:p>
      <w:pPr>
        <w:spacing w:after="0" w:line="203"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2000" w:type="dxa"/>
            <w:vAlign w:val="bottom"/>
          </w:tcPr>
          <w:p>
            <w:pPr>
              <w:spacing w:after="0"/>
              <w:rPr>
                <w:sz w:val="17"/>
                <w:szCs w:val="17"/>
                <w:color w:val="auto"/>
              </w:rPr>
            </w:pPr>
          </w:p>
        </w:tc>
        <w:tc>
          <w:tcPr>
            <w:tcW w:w="3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Year Ended December</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31,</w:t>
            </w:r>
          </w:p>
        </w:tc>
      </w:tr>
      <w:tr>
        <w:trPr>
          <w:trHeight w:val="203"/>
        </w:trPr>
        <w:tc>
          <w:tcPr>
            <w:tcW w:w="2000" w:type="dxa"/>
            <w:vAlign w:val="bottom"/>
          </w:tcPr>
          <w:p>
            <w:pPr>
              <w:spacing w:after="0"/>
              <w:rPr>
                <w:sz w:val="17"/>
                <w:szCs w:val="17"/>
                <w:color w:val="auto"/>
              </w:rPr>
            </w:pPr>
          </w:p>
        </w:tc>
        <w:tc>
          <w:tcPr>
            <w:tcW w:w="390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1993</w:t>
            </w: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1992</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1991</w:t>
            </w:r>
          </w:p>
        </w:tc>
      </w:tr>
      <w:tr>
        <w:trPr>
          <w:trHeight w:val="203"/>
        </w:trPr>
        <w:tc>
          <w:tcPr>
            <w:tcW w:w="20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spacing w:after="0"/>
              <w:rPr>
                <w:sz w:val="17"/>
                <w:szCs w:val="17"/>
                <w:color w:val="auto"/>
              </w:rPr>
            </w:pPr>
          </w:p>
        </w:tc>
        <w:tc>
          <w:tcPr>
            <w:tcW w:w="390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(Thousands of dollars)</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w:t>
            </w: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Federal</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$89,484</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$47,347</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$29,039</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State and local</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10,357</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17,851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16,618</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Foreign</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5,610</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4,582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5,159</w:t>
            </w:r>
          </w:p>
        </w:tc>
      </w:tr>
      <w:tr>
        <w:trPr>
          <w:trHeight w:val="203"/>
        </w:trPr>
        <w:tc>
          <w:tcPr>
            <w:tcW w:w="200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105,451</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69,780</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50,816</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Deferred</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24,364</w:t>
            </w:r>
          </w:p>
        </w:tc>
        <w:tc>
          <w:tcPr>
            <w:tcW w:w="15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15,068</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(8,756)</w:t>
            </w:r>
          </w:p>
        </w:tc>
      </w:tr>
      <w:tr>
        <w:trPr>
          <w:trHeight w:val="203"/>
        </w:trPr>
        <w:tc>
          <w:tcPr>
            <w:tcW w:w="20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00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$129,815</w:t>
            </w:r>
          </w:p>
        </w:tc>
        <w:tc>
          <w:tcPr>
            <w:tcW w:w="15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$84,848</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$42,060</w:t>
            </w:r>
          </w:p>
        </w:tc>
      </w:tr>
      <w:tr>
        <w:trPr>
          <w:trHeight w:val="203"/>
        </w:trPr>
        <w:tc>
          <w:tcPr>
            <w:tcW w:w="200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000" w:type="dxa"/>
            <w:vAlign w:val="bottom"/>
          </w:tcPr>
          <w:p>
            <w:pPr>
              <w:spacing w:after="0"/>
              <w:rPr>
                <w:sz w:val="24"/>
                <w:szCs w:val="24"/>
                <w:color w:val="auto"/>
              </w:rPr>
            </w:pPr>
          </w:p>
        </w:tc>
        <w:tc>
          <w:tcPr>
            <w:tcW w:w="1480" w:type="dxa"/>
            <w:vAlign w:val="bottom"/>
          </w:tcPr>
          <w:p>
            <w:pPr>
              <w:ind w:left="740"/>
              <w:spacing w:after="0"/>
              <w:rPr>
                <w:sz w:val="20"/>
                <w:szCs w:val="20"/>
                <w:color w:val="auto"/>
              </w:rPr>
            </w:pPr>
            <w:r>
              <w:rPr>
                <w:rFonts w:ascii="Courier New" w:cs="Courier New" w:eastAsia="Courier New" w:hAnsi="Courier New"/>
                <w:sz w:val="18"/>
                <w:szCs w:val="18"/>
                <w:color w:val="auto"/>
              </w:rPr>
              <w:t>II-52</w:t>
            </w:r>
          </w:p>
        </w:tc>
        <w:tc>
          <w:tcPr>
            <w:tcW w:w="15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107" w:name="page108"/>
    <w:bookmarkEnd w:id="107"/>
    <w:p>
      <w:pPr>
        <w:spacing w:after="0" w:line="1"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2780" w:type="dxa"/>
            <w:vAlign w:val="bottom"/>
          </w:tcPr>
          <w:p>
            <w:pPr>
              <w:jc w:val="right"/>
              <w:spacing w:after="0"/>
              <w:rPr>
                <w:sz w:val="20"/>
                <w:szCs w:val="20"/>
                <w:color w:val="auto"/>
              </w:rPr>
            </w:pPr>
            <w:r>
              <w:rPr>
                <w:rFonts w:ascii="Courier New" w:cs="Courier New" w:eastAsia="Courier New" w:hAnsi="Courier New"/>
                <w:sz w:val="18"/>
                <w:szCs w:val="18"/>
                <w:color w:val="auto"/>
              </w:rPr>
              <w:t>VIACOM</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INC.</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AND</w:t>
            </w:r>
          </w:p>
        </w:tc>
        <w:tc>
          <w:tcPr>
            <w:tcW w:w="1940" w:type="dxa"/>
            <w:vAlign w:val="bottom"/>
          </w:tcPr>
          <w:p>
            <w:pPr>
              <w:spacing w:after="0"/>
              <w:rPr>
                <w:sz w:val="17"/>
                <w:szCs w:val="17"/>
                <w:color w:val="auto"/>
              </w:rPr>
            </w:pPr>
          </w:p>
        </w:tc>
      </w:tr>
      <w:tr>
        <w:trPr>
          <w:trHeight w:val="203"/>
        </w:trPr>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VIACOM INTERNATIONAL</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SUBSIDIARIES</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NOTES TO CONSOLIDATED FINANCIAL</w:t>
            </w:r>
          </w:p>
        </w:tc>
        <w:tc>
          <w:tcPr>
            <w:tcW w:w="2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STATEMENTS (continued)</w:t>
            </w:r>
          </w:p>
        </w:tc>
      </w:tr>
    </w:tbl>
    <w:p>
      <w:pPr>
        <w:spacing w:after="0" w:line="200" w:lineRule="exact"/>
        <w:rPr>
          <w:sz w:val="20"/>
          <w:szCs w:val="20"/>
          <w:color w:val="auto"/>
        </w:rPr>
      </w:pPr>
    </w:p>
    <w:p>
      <w:pPr>
        <w:spacing w:after="0" w:line="209"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A reconciliation of the U.S. Federal statutory tax rate to the Company's effective tax rate on earnings before income taxes is as follows: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17"/>
                <w:szCs w:val="17"/>
                <w:color w:val="auto"/>
              </w:rPr>
            </w:pPr>
          </w:p>
        </w:tc>
        <w:tc>
          <w:tcPr>
            <w:tcW w:w="294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Year Ended December 31,</w:t>
            </w:r>
          </w:p>
        </w:tc>
      </w:tr>
      <w:tr>
        <w:trPr>
          <w:trHeight w:val="203"/>
        </w:trPr>
        <w:tc>
          <w:tcPr>
            <w:tcW w:w="4020" w:type="dxa"/>
            <w:vAlign w:val="bottom"/>
          </w:tcPr>
          <w:p>
            <w:pPr>
              <w:spacing w:after="0"/>
              <w:rPr>
                <w:sz w:val="17"/>
                <w:szCs w:val="17"/>
                <w:color w:val="auto"/>
              </w:rPr>
            </w:pPr>
          </w:p>
        </w:tc>
        <w:tc>
          <w:tcPr>
            <w:tcW w:w="29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1993</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1992</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1991</w:t>
            </w:r>
          </w:p>
        </w:tc>
      </w:tr>
      <w:tr>
        <w:trPr>
          <w:trHeight w:val="203"/>
        </w:trPr>
        <w:tc>
          <w:tcPr>
            <w:tcW w:w="40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Statutory U.S. tax rate</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35.0%</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34.0%</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rPr>
              <w:t>34.0%</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and local taxes, net</w:t>
            </w: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federal tax benefit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10.8</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Foreign taxes, net of federal</w:t>
            </w: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tax benefit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41.3</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of intangibles</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7.1</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18.2</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405.3</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Divestiture gain - nontaxable portion</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 basis</w:t>
            </w: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difference</w:t>
            </w: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7.2</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150.0</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purchase accounting</w:t>
            </w: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w:t>
            </w: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(46.8)</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Alternative minimum tax</w:t>
            </w:r>
          </w:p>
        </w:tc>
        <w:tc>
          <w:tcPr>
            <w:tcW w:w="940" w:type="dxa"/>
            <w:vAlign w:val="bottom"/>
          </w:tcPr>
          <w:p>
            <w:pPr>
              <w:spacing w:after="0"/>
              <w:rPr>
                <w:sz w:val="17"/>
                <w:szCs w:val="17"/>
                <w:color w:val="auto"/>
              </w:rPr>
            </w:pP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(88.7)</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reserve adjustment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(12.9)</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changes in statutory rate</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net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40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ind w:left="220"/>
              <w:spacing w:after="0"/>
              <w:rPr>
                <w:sz w:val="20"/>
                <w:szCs w:val="20"/>
                <w:color w:val="auto"/>
              </w:rPr>
            </w:pPr>
            <w:r>
              <w:rPr>
                <w:rFonts w:ascii="Courier New" w:cs="Courier New" w:eastAsia="Courier New" w:hAnsi="Courier New"/>
                <w:sz w:val="18"/>
                <w:szCs w:val="18"/>
                <w:color w:val="auto"/>
              </w:rPr>
              <w:t>Effective tax rate</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43.0%</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54.5%</w:t>
            </w:r>
          </w:p>
        </w:tc>
        <w:tc>
          <w:tcPr>
            <w:tcW w:w="1000" w:type="dxa"/>
            <w:vAlign w:val="bottom"/>
          </w:tcPr>
          <w:p>
            <w:pPr>
              <w:ind w:left="360"/>
              <w:spacing w:after="0"/>
              <w:rPr>
                <w:sz w:val="20"/>
                <w:szCs w:val="20"/>
                <w:color w:val="auto"/>
              </w:rPr>
            </w:pPr>
            <w:r>
              <w:rPr>
                <w:rFonts w:ascii="Courier New" w:cs="Courier New" w:eastAsia="Courier New" w:hAnsi="Courier New"/>
                <w:sz w:val="18"/>
                <w:szCs w:val="18"/>
                <w:color w:val="auto"/>
                <w:w w:val="95"/>
              </w:rPr>
              <w:t>510.1%</w:t>
            </w:r>
          </w:p>
        </w:tc>
      </w:tr>
      <w:tr>
        <w:trPr>
          <w:trHeight w:val="203"/>
        </w:trPr>
        <w:tc>
          <w:tcPr>
            <w:tcW w:w="4020" w:type="dxa"/>
            <w:vAlign w:val="bottom"/>
          </w:tcPr>
          <w:p>
            <w:pPr>
              <w:spacing w:after="0"/>
              <w:rPr>
                <w:sz w:val="17"/>
                <w:szCs w:val="17"/>
                <w:color w:val="auto"/>
              </w:rPr>
            </w:pP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annual effective tax rate of 43% for 1993 and 54.5% for 1992 includes a reduction of certain prior year tax reserves in the amount of $22 million and $20 million, respectively. The reduction is based on management's view concerning the outcome of several tax issues based upon the progress of federal, state and local audits.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of December 31, 1993, after having given effect to SFAS 109, the Company had total non-current deferred net tax liabilities of $85.2 million and current deferred net tax assets of $16.3 million. The deferred net tax assets are deemed to be fully realizable and therefore no valuation allowance has been established. At December 31, 1993, the Company had no net operating loss or investment tax credit carryovers.</w:t>
      </w: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II-53</w:t>
      </w:r>
    </w:p>
    <w:p>
      <w:pPr>
        <w:sectPr>
          <w:pgSz w:w="11900" w:h="16838" w:orient="portrait"/>
          <w:cols w:equalWidth="0" w:num="1">
            <w:col w:w="10219"/>
          </w:cols>
          <w:pgMar w:left="240" w:top="717" w:right="1440" w:bottom="1440" w:gutter="0" w:footer="0" w:header="0"/>
        </w:sectPr>
      </w:pPr>
    </w:p>
    <w:bookmarkStart w:id="108" w:name="page109"/>
    <w:bookmarkEnd w:id="108"/>
    <w:tbl>
      <w:tblPr>
        <w:tblLayout w:type="fixed"/>
        <w:tblInd w:w="1280" w:type="dxa"/>
        <w:tblCellMar>
          <w:top w:w="0" w:type="dxa"/>
          <w:left w:w="0" w:type="dxa"/>
          <w:bottom w:w="0" w:type="dxa"/>
          <w:right w:w="0" w:type="dxa"/>
        </w:tblCellMar>
      </w:tblPr>
      <w:tr>
        <w:trPr>
          <w:trHeight w:val="204"/>
        </w:trPr>
        <w:tc>
          <w:tcPr>
            <w:tcW w:w="2780" w:type="dxa"/>
            <w:vAlign w:val="bottom"/>
          </w:tcPr>
          <w:p>
            <w:pPr>
              <w:jc w:val="right"/>
              <w:spacing w:after="0"/>
              <w:rPr>
                <w:sz w:val="20"/>
                <w:szCs w:val="20"/>
                <w:color w:val="auto"/>
              </w:rPr>
            </w:pPr>
            <w:r>
              <w:rPr>
                <w:rFonts w:ascii="Courier New" w:cs="Courier New" w:eastAsia="Courier New" w:hAnsi="Courier New"/>
                <w:sz w:val="18"/>
                <w:szCs w:val="18"/>
                <w:color w:val="auto"/>
              </w:rPr>
              <w:t>VIACOM</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INC.</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AND</w:t>
            </w:r>
          </w:p>
        </w:tc>
        <w:tc>
          <w:tcPr>
            <w:tcW w:w="1940" w:type="dxa"/>
            <w:vAlign w:val="bottom"/>
          </w:tcPr>
          <w:p>
            <w:pPr>
              <w:spacing w:after="0"/>
              <w:rPr>
                <w:sz w:val="17"/>
                <w:szCs w:val="17"/>
                <w:color w:val="auto"/>
              </w:rPr>
            </w:pPr>
          </w:p>
        </w:tc>
      </w:tr>
      <w:tr>
        <w:trPr>
          <w:trHeight w:val="203"/>
        </w:trPr>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VIACOM INTERNATIONAL</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SUBSIDIARIES</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NOTES TO CONSOLIDATED FINANCIAL</w:t>
            </w:r>
          </w:p>
        </w:tc>
        <w:tc>
          <w:tcPr>
            <w:tcW w:w="2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STATEMENTS (continued)</w:t>
            </w:r>
          </w:p>
        </w:tc>
      </w:tr>
    </w:tbl>
    <w:p>
      <w:pPr>
        <w:spacing w:after="0" w:line="200" w:lineRule="exact"/>
        <w:rPr>
          <w:sz w:val="20"/>
          <w:szCs w:val="20"/>
          <w:color w:val="auto"/>
        </w:rPr>
      </w:pP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following is a summary of the deferred tax accounts in accordance with SFAS 109 for the year ended December 31, 1993.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spacing w:after="0"/>
              <w:rPr>
                <w:sz w:val="17"/>
                <w:szCs w:val="17"/>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(Thousands of dollars)</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Current deferred tax assets and (liabilities):</w:t>
            </w: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Differences between book and tax recognition of</w:t>
            </w: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5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revenue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17,826</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Differences between book and tax expense for</w:t>
            </w: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program costs</w:t>
            </w:r>
          </w:p>
        </w:tc>
        <w:tc>
          <w:tcPr>
            <w:tcW w:w="940" w:type="dxa"/>
            <w:vAlign w:val="bottom"/>
          </w:tcPr>
          <w:p>
            <w:pPr>
              <w:spacing w:after="0"/>
              <w:rPr>
                <w:sz w:val="17"/>
                <w:szCs w:val="17"/>
                <w:color w:val="auto"/>
              </w:rPr>
            </w:pP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(4,127)</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differences between tax and financial</w:t>
            </w: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statement values</w:t>
            </w:r>
          </w:p>
        </w:tc>
        <w:tc>
          <w:tcPr>
            <w:tcW w:w="940" w:type="dxa"/>
            <w:vAlign w:val="bottom"/>
          </w:tcPr>
          <w:p>
            <w:pPr>
              <w:spacing w:after="0"/>
              <w:rPr>
                <w:sz w:val="17"/>
                <w:szCs w:val="17"/>
                <w:color w:val="auto"/>
              </w:rPr>
            </w:pP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2,591</w:t>
            </w:r>
          </w:p>
        </w:tc>
      </w:tr>
      <w:tr>
        <w:trPr>
          <w:trHeight w:val="203"/>
        </w:trPr>
        <w:tc>
          <w:tcPr>
            <w:tcW w:w="5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Gross current deferred net tax assets</w:t>
            </w:r>
          </w:p>
        </w:tc>
        <w:tc>
          <w:tcPr>
            <w:tcW w:w="940" w:type="dxa"/>
            <w:vAlign w:val="bottom"/>
          </w:tcPr>
          <w:p>
            <w:pPr>
              <w:spacing w:after="0"/>
              <w:rPr>
                <w:sz w:val="17"/>
                <w:szCs w:val="17"/>
                <w:color w:val="auto"/>
              </w:rPr>
            </w:pP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16,290</w:t>
            </w:r>
          </w:p>
        </w:tc>
      </w:tr>
      <w:tr>
        <w:trPr>
          <w:trHeight w:val="203"/>
        </w:trPr>
        <w:tc>
          <w:tcPr>
            <w:tcW w:w="5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w w:val="99"/>
              </w:rPr>
              <w:t>Noncurrent deferred tax assets and (liabilities):</w:t>
            </w: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Tax depreciation in excess of book depreciation</w:t>
            </w:r>
          </w:p>
        </w:tc>
        <w:tc>
          <w:tcPr>
            <w:tcW w:w="940" w:type="dxa"/>
            <w:vAlign w:val="bottom"/>
          </w:tcPr>
          <w:p>
            <w:pPr>
              <w:spacing w:after="0"/>
              <w:rPr>
                <w:sz w:val="17"/>
                <w:szCs w:val="17"/>
                <w:color w:val="auto"/>
              </w:rPr>
            </w:pP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(69,118)</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Reserves in excess of tax expense</w:t>
            </w:r>
          </w:p>
        </w:tc>
        <w:tc>
          <w:tcPr>
            <w:tcW w:w="940" w:type="dxa"/>
            <w:vAlign w:val="bottom"/>
          </w:tcPr>
          <w:p>
            <w:pPr>
              <w:spacing w:after="0"/>
              <w:rPr>
                <w:sz w:val="17"/>
                <w:szCs w:val="17"/>
                <w:color w:val="auto"/>
              </w:rPr>
            </w:pP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39,336</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Tax amortization in excess of book amortization</w:t>
            </w:r>
          </w:p>
        </w:tc>
        <w:tc>
          <w:tcPr>
            <w:tcW w:w="940" w:type="dxa"/>
            <w:vAlign w:val="bottom"/>
          </w:tcPr>
          <w:p>
            <w:pPr>
              <w:spacing w:after="0"/>
              <w:rPr>
                <w:sz w:val="17"/>
                <w:szCs w:val="17"/>
                <w:color w:val="auto"/>
              </w:rPr>
            </w:pP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(32,985)</w:t>
            </w:r>
          </w:p>
        </w:tc>
      </w:tr>
      <w:tr>
        <w:trPr>
          <w:trHeight w:val="203"/>
        </w:trPr>
        <w:tc>
          <w:tcPr>
            <w:tcW w:w="6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Differences between book and tax expense for program</w:t>
            </w:r>
          </w:p>
        </w:tc>
        <w:tc>
          <w:tcPr>
            <w:tcW w:w="1480" w:type="dxa"/>
            <w:vAlign w:val="bottom"/>
          </w:tcPr>
          <w:p>
            <w:pPr>
              <w:spacing w:after="0"/>
              <w:rPr>
                <w:sz w:val="17"/>
                <w:szCs w:val="17"/>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costs</w:t>
            </w:r>
          </w:p>
        </w:tc>
        <w:tc>
          <w:tcPr>
            <w:tcW w:w="940" w:type="dxa"/>
            <w:vAlign w:val="bottom"/>
          </w:tcPr>
          <w:p>
            <w:pPr>
              <w:spacing w:after="0"/>
              <w:rPr>
                <w:sz w:val="17"/>
                <w:szCs w:val="17"/>
                <w:color w:val="auto"/>
              </w:rPr>
            </w:pP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(18,442)</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Differences between book and tax recognition of</w:t>
            </w: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revenue</w:t>
            </w:r>
          </w:p>
        </w:tc>
        <w:tc>
          <w:tcPr>
            <w:tcW w:w="940" w:type="dxa"/>
            <w:vAlign w:val="bottom"/>
          </w:tcPr>
          <w:p>
            <w:pPr>
              <w:spacing w:after="0"/>
              <w:rPr>
                <w:sz w:val="17"/>
                <w:szCs w:val="17"/>
                <w:color w:val="auto"/>
              </w:rPr>
            </w:pP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(3,505)</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differences between tax and financial</w:t>
            </w: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statement values</w:t>
            </w:r>
          </w:p>
        </w:tc>
        <w:tc>
          <w:tcPr>
            <w:tcW w:w="940" w:type="dxa"/>
            <w:vAlign w:val="bottom"/>
          </w:tcPr>
          <w:p>
            <w:pPr>
              <w:spacing w:after="0"/>
              <w:rPr>
                <w:sz w:val="17"/>
                <w:szCs w:val="17"/>
                <w:color w:val="auto"/>
              </w:rPr>
            </w:pP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(497)</w:t>
            </w:r>
          </w:p>
        </w:tc>
      </w:tr>
      <w:tr>
        <w:trPr>
          <w:trHeight w:val="203"/>
        </w:trPr>
        <w:tc>
          <w:tcPr>
            <w:tcW w:w="5280" w:type="dxa"/>
            <w:vAlign w:val="bottom"/>
          </w:tcPr>
          <w:p>
            <w:pPr>
              <w:spacing w:after="0"/>
              <w:rPr>
                <w:sz w:val="17"/>
                <w:szCs w:val="17"/>
                <w:color w:val="auto"/>
              </w:rPr>
            </w:pPr>
          </w:p>
        </w:tc>
        <w:tc>
          <w:tcPr>
            <w:tcW w:w="24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280" w:type="dxa"/>
            <w:vAlign w:val="bottom"/>
          </w:tcPr>
          <w:p>
            <w:pPr>
              <w:ind w:left="320"/>
              <w:spacing w:after="0"/>
              <w:rPr>
                <w:sz w:val="20"/>
                <w:szCs w:val="20"/>
                <w:color w:val="auto"/>
              </w:rPr>
            </w:pPr>
            <w:r>
              <w:rPr>
                <w:rFonts w:ascii="Courier New" w:cs="Courier New" w:eastAsia="Courier New" w:hAnsi="Courier New"/>
                <w:sz w:val="18"/>
                <w:szCs w:val="18"/>
                <w:color w:val="auto"/>
              </w:rPr>
              <w:t>Gross noncurrent deferred net tax liabilities</w:t>
            </w:r>
          </w:p>
        </w:tc>
        <w:tc>
          <w:tcPr>
            <w:tcW w:w="940" w:type="dxa"/>
            <w:vAlign w:val="bottom"/>
          </w:tcPr>
          <w:p>
            <w:pPr>
              <w:spacing w:after="0"/>
              <w:rPr>
                <w:sz w:val="24"/>
                <w:szCs w:val="24"/>
                <w:color w:val="auto"/>
              </w:rPr>
            </w:pPr>
          </w:p>
        </w:tc>
        <w:tc>
          <w:tcPr>
            <w:tcW w:w="14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(85,211)</w:t>
            </w:r>
          </w:p>
        </w:tc>
      </w:tr>
      <w:tr>
        <w:trPr>
          <w:trHeight w:val="203"/>
        </w:trPr>
        <w:tc>
          <w:tcPr>
            <w:tcW w:w="5280" w:type="dxa"/>
            <w:vAlign w:val="bottom"/>
          </w:tcPr>
          <w:p>
            <w:pPr>
              <w:spacing w:after="0"/>
              <w:rPr>
                <w:sz w:val="17"/>
                <w:szCs w:val="17"/>
                <w:color w:val="auto"/>
              </w:rPr>
            </w:pPr>
          </w:p>
        </w:tc>
        <w:tc>
          <w:tcPr>
            <w:tcW w:w="24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net deferred tax liabilities</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(68,921)</w:t>
            </w:r>
          </w:p>
        </w:tc>
      </w:tr>
      <w:tr>
        <w:trPr>
          <w:trHeight w:val="203"/>
        </w:trPr>
        <w:tc>
          <w:tcPr>
            <w:tcW w:w="5280" w:type="dxa"/>
            <w:vAlign w:val="bottom"/>
          </w:tcPr>
          <w:p>
            <w:pPr>
              <w:spacing w:after="0"/>
              <w:rPr>
                <w:sz w:val="17"/>
                <w:szCs w:val="17"/>
                <w:color w:val="auto"/>
              </w:rPr>
            </w:pPr>
          </w:p>
        </w:tc>
        <w:tc>
          <w:tcPr>
            <w:tcW w:w="24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The following table identifies the deferred tax items which were part of the Company's tax provision under previously applicable accounting principles for the years ended December 31, 1992 and 1991:</w:t>
      </w:r>
    </w:p>
    <w:p>
      <w:pPr>
        <w:spacing w:after="0" w:line="203"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3480" w:type="dxa"/>
            <w:vAlign w:val="bottom"/>
          </w:tcPr>
          <w:p>
            <w:pPr>
              <w:spacing w:after="0"/>
              <w:rPr>
                <w:sz w:val="17"/>
                <w:szCs w:val="17"/>
                <w:color w:val="auto"/>
              </w:rPr>
            </w:pPr>
          </w:p>
        </w:tc>
        <w:tc>
          <w:tcPr>
            <w:tcW w:w="26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Year Ended December 31,</w:t>
            </w:r>
          </w:p>
        </w:tc>
      </w:tr>
      <w:tr>
        <w:trPr>
          <w:trHeight w:val="203"/>
        </w:trPr>
        <w:tc>
          <w:tcPr>
            <w:tcW w:w="3480" w:type="dxa"/>
            <w:vAlign w:val="bottom"/>
          </w:tcPr>
          <w:p>
            <w:pPr>
              <w:spacing w:after="0"/>
              <w:rPr>
                <w:sz w:val="17"/>
                <w:szCs w:val="17"/>
                <w:color w:val="auto"/>
              </w:rPr>
            </w:pPr>
          </w:p>
        </w:tc>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1992</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1991</w:t>
            </w:r>
          </w:p>
        </w:tc>
      </w:tr>
      <w:tr>
        <w:trPr>
          <w:trHeight w:val="203"/>
        </w:trPr>
        <w:tc>
          <w:tcPr>
            <w:tcW w:w="348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(Thousands of dollars)</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Deferred compensation</w:t>
            </w:r>
          </w:p>
        </w:tc>
        <w:tc>
          <w:tcPr>
            <w:tcW w:w="14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$22,682</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$(3,044)</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7,594</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4,320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Syndication advance payments</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4,118</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(771)</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Alternative minimum tax</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(7,821)</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Litigation accrual</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(13,324)</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Sale of cable system</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(6,850)</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net</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848</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(1,440)</w:t>
            </w:r>
          </w:p>
        </w:tc>
      </w:tr>
      <w:tr>
        <w:trPr>
          <w:trHeight w:val="203"/>
        </w:trPr>
        <w:tc>
          <w:tcPr>
            <w:tcW w:w="348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80" w:type="dxa"/>
            <w:vAlign w:val="bottom"/>
          </w:tcPr>
          <w:p>
            <w:pPr>
              <w:spacing w:after="0"/>
              <w:rPr>
                <w:sz w:val="24"/>
                <w:szCs w:val="24"/>
                <w:color w:val="auto"/>
              </w:rPr>
            </w:pPr>
          </w:p>
        </w:tc>
        <w:tc>
          <w:tcPr>
            <w:tcW w:w="14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$15,068</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$(8,756)</w:t>
            </w:r>
          </w:p>
        </w:tc>
      </w:tr>
      <w:tr>
        <w:trPr>
          <w:trHeight w:val="203"/>
        </w:trPr>
        <w:tc>
          <w:tcPr>
            <w:tcW w:w="348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480" w:type="dxa"/>
            <w:vAlign w:val="bottom"/>
          </w:tcPr>
          <w:p>
            <w:pPr>
              <w:ind w:left="2740"/>
              <w:spacing w:after="0"/>
              <w:rPr>
                <w:sz w:val="20"/>
                <w:szCs w:val="20"/>
                <w:color w:val="auto"/>
              </w:rPr>
            </w:pPr>
            <w:r>
              <w:rPr>
                <w:rFonts w:ascii="Courier New" w:cs="Courier New" w:eastAsia="Courier New" w:hAnsi="Courier New"/>
                <w:sz w:val="18"/>
                <w:szCs w:val="18"/>
                <w:color w:val="auto"/>
              </w:rPr>
              <w:t>II-54</w:t>
            </w: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109" w:name="page110"/>
    <w:bookmarkEnd w:id="109"/>
    <w:p>
      <w:pPr>
        <w:jc w:val="center"/>
        <w:ind w:right="1879"/>
        <w:spacing w:after="0"/>
        <w:rPr>
          <w:sz w:val="20"/>
          <w:szCs w:val="20"/>
          <w:color w:val="auto"/>
        </w:rPr>
      </w:pPr>
      <w:r>
        <w:rPr>
          <w:rFonts w:ascii="Courier New" w:cs="Courier New" w:eastAsia="Courier New" w:hAnsi="Courier New"/>
          <w:sz w:val="18"/>
          <w:szCs w:val="18"/>
          <w:color w:val="auto"/>
        </w:rPr>
        <w:t>VIACOM INC. AND</w:t>
      </w:r>
    </w:p>
    <w:p>
      <w:pPr>
        <w:jc w:val="center"/>
        <w:ind w:right="1979"/>
        <w:spacing w:after="0" w:line="238" w:lineRule="auto"/>
        <w:rPr>
          <w:sz w:val="20"/>
          <w:szCs w:val="20"/>
          <w:color w:val="auto"/>
        </w:rPr>
      </w:pPr>
      <w:r>
        <w:rPr>
          <w:rFonts w:ascii="Courier New" w:cs="Courier New" w:eastAsia="Courier New" w:hAnsi="Courier New"/>
          <w:sz w:val="18"/>
          <w:szCs w:val="18"/>
          <w:color w:val="auto"/>
        </w:rPr>
        <w:t>VIACOM INTERNATIONAL INC. AND SUBSIDIARIES</w:t>
      </w:r>
    </w:p>
    <w:p>
      <w:pPr>
        <w:jc w:val="center"/>
        <w:ind w:right="19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There are no significant temporary differences relating to foreign undistributed earnings or investments in foreign subsidiaries for 1993, 1992 or 1991. Thus, no related deferred taxes have been recorded by the Company for these years.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Viacom Inc. and its subsidiaries file a consolidated federal income tax return and have done so since the period commencing June 11, 1991, the date on which NAI's percentage of ownership of Viacom Inc. was reduced to less than 80%. Prior to such date, Viacom Inc. and the Company filed a consolidated federal income tax return with NAI, and also participated in a tax-sharing agreement with NAI with respect to federal income taxes. The tax-sharing agreement obligated Viacom Inc. and the Company to make payment to NAI to the extent they would have paid federal income taxes on a separate company basis, and entitled them to receive a payment from NAI to the extent losses and credits reduced NAI's federal income taxes.</w:t>
      </w:r>
    </w:p>
    <w:p>
      <w:pPr>
        <w:spacing w:after="0" w:line="200" w:lineRule="exact"/>
        <w:rPr>
          <w:sz w:val="20"/>
          <w:szCs w:val="20"/>
          <w:color w:val="auto"/>
        </w:rPr>
      </w:pPr>
    </w:p>
    <w:p>
      <w:pPr>
        <w:spacing w:after="0" w:line="217" w:lineRule="exact"/>
        <w:rPr>
          <w:sz w:val="20"/>
          <w:szCs w:val="20"/>
          <w:color w:val="auto"/>
        </w:rPr>
      </w:pPr>
    </w:p>
    <w:p>
      <w:pPr>
        <w:ind w:right="4839" w:firstLine="8"/>
        <w:spacing w:after="0" w:line="470" w:lineRule="auto"/>
        <w:tabs>
          <w:tab w:leader="none" w:pos="316"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PENSION PLANS, OTHER POSTRETIREMENT BENEFITS AND POSTEMPLOYMENT BENEFITS</w:t>
      </w:r>
    </w:p>
    <w:p>
      <w:pPr>
        <w:spacing w:after="0" w:line="12"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Company and certain of its subsidiaries have non-contributory pension plans covering substantially all employees. The benefits for these plans are based primarily on an employee's years of service and pay near retirement. All employees are vested in the plans after five years of service. The Company's policy for all pension plans is to fund amounts in accordance with the Employee Retirement Income and Security Act of 1974. Plan assets consist principally of common stocks, marketable bonds and United States government securities.</w:t>
      </w:r>
    </w:p>
    <w:p>
      <w:pPr>
        <w:spacing w:after="0" w:line="188"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Net periodic pension cost for the periods indicated included the following components: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tcPr>
          <w:p>
            <w:pPr>
              <w:spacing w:after="0"/>
              <w:rPr>
                <w:sz w:val="17"/>
                <w:szCs w:val="17"/>
                <w:color w:val="auto"/>
              </w:rPr>
            </w:pPr>
          </w:p>
        </w:tc>
        <w:tc>
          <w:tcPr>
            <w:tcW w:w="310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rPr>
              <w:t>Year Ended December 31,</w:t>
            </w:r>
          </w:p>
        </w:tc>
      </w:tr>
      <w:tr>
        <w:trPr>
          <w:trHeight w:val="203"/>
        </w:trPr>
        <w:tc>
          <w:tcPr>
            <w:tcW w:w="4600" w:type="dxa"/>
            <w:vAlign w:val="bottom"/>
          </w:tcPr>
          <w:p>
            <w:pPr>
              <w:spacing w:after="0"/>
              <w:rPr>
                <w:sz w:val="17"/>
                <w:szCs w:val="17"/>
                <w:color w:val="auto"/>
              </w:rPr>
            </w:pPr>
          </w:p>
        </w:tc>
        <w:tc>
          <w:tcPr>
            <w:tcW w:w="3100" w:type="dxa"/>
            <w:vAlign w:val="bottom"/>
            <w:gridSpan w:val="3"/>
          </w:tcPr>
          <w:p>
            <w:pPr>
              <w:ind w:left="4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rPr>
                <w:sz w:val="17"/>
                <w:szCs w:val="17"/>
                <w:color w:val="auto"/>
              </w:rPr>
            </w:pPr>
          </w:p>
        </w:tc>
        <w:tc>
          <w:tcPr>
            <w:tcW w:w="12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1993</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1992</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1991</w:t>
            </w:r>
          </w:p>
        </w:tc>
      </w:tr>
      <w:tr>
        <w:trPr>
          <w:trHeight w:val="203"/>
        </w:trPr>
        <w:tc>
          <w:tcPr>
            <w:tcW w:w="4600" w:type="dxa"/>
            <w:vAlign w:val="bottom"/>
          </w:tcPr>
          <w:p>
            <w:pPr>
              <w:spacing w:after="0"/>
              <w:rPr>
                <w:sz w:val="17"/>
                <w:szCs w:val="17"/>
                <w:color w:val="auto"/>
              </w:rPr>
            </w:pPr>
          </w:p>
        </w:tc>
        <w:tc>
          <w:tcPr>
            <w:tcW w:w="12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rPr>
                <w:sz w:val="17"/>
                <w:szCs w:val="17"/>
                <w:color w:val="auto"/>
              </w:rPr>
            </w:pPr>
          </w:p>
        </w:tc>
        <w:tc>
          <w:tcPr>
            <w:tcW w:w="31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(Thousands of dollars)</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Service cost - benefits earned during</w:t>
            </w: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period</w:t>
            </w:r>
          </w:p>
        </w:tc>
        <w:tc>
          <w:tcPr>
            <w:tcW w:w="12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$5,442</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$4,581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$3,919</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cost on projected benefit</w:t>
            </w: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obligation</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4,106</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3,300</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2,761</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Return on plan assets:</w:t>
            </w: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Actual</w:t>
            </w:r>
          </w:p>
        </w:tc>
        <w:tc>
          <w:tcPr>
            <w:tcW w:w="12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(1,777)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(4,434)</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(gain) loss</w:t>
            </w:r>
          </w:p>
        </w:tc>
        <w:tc>
          <w:tcPr>
            <w:tcW w:w="12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(1,134)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2,952</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Unrecognized prior service cost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480</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450</w:t>
            </w:r>
          </w:p>
        </w:tc>
      </w:tr>
      <w:tr>
        <w:trPr>
          <w:trHeight w:val="203"/>
        </w:trPr>
        <w:tc>
          <w:tcPr>
            <w:tcW w:w="460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pension cost</w:t>
            </w:r>
          </w:p>
        </w:tc>
        <w:tc>
          <w:tcPr>
            <w:tcW w:w="12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$7,117</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$6,162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$5,648</w:t>
            </w:r>
          </w:p>
        </w:tc>
      </w:tr>
      <w:tr>
        <w:trPr>
          <w:trHeight w:val="203"/>
        </w:trPr>
        <w:tc>
          <w:tcPr>
            <w:tcW w:w="4600" w:type="dxa"/>
            <w:vAlign w:val="bottom"/>
          </w:tcPr>
          <w:p>
            <w:pPr>
              <w:spacing w:after="0"/>
              <w:rPr>
                <w:sz w:val="17"/>
                <w:szCs w:val="17"/>
                <w:color w:val="auto"/>
              </w:rPr>
            </w:pPr>
          </w:p>
        </w:tc>
        <w:tc>
          <w:tcPr>
            <w:tcW w:w="12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600" w:type="dxa"/>
            <w:vAlign w:val="bottom"/>
          </w:tcPr>
          <w:p>
            <w:pPr>
              <w:ind w:left="3800"/>
              <w:spacing w:after="0"/>
              <w:rPr>
                <w:sz w:val="20"/>
                <w:szCs w:val="20"/>
                <w:color w:val="auto"/>
              </w:rPr>
            </w:pPr>
            <w:r>
              <w:rPr>
                <w:rFonts w:ascii="Courier New" w:cs="Courier New" w:eastAsia="Courier New" w:hAnsi="Courier New"/>
                <w:sz w:val="18"/>
                <w:szCs w:val="18"/>
                <w:color w:val="auto"/>
              </w:rPr>
              <w:t>II-55</w:t>
            </w: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110" w:name="page111"/>
    <w:bookmarkEnd w:id="110"/>
    <w:p>
      <w:pPr>
        <w:spacing w:after="0" w:line="1"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2780" w:type="dxa"/>
            <w:vAlign w:val="bottom"/>
          </w:tcPr>
          <w:p>
            <w:pPr>
              <w:jc w:val="right"/>
              <w:spacing w:after="0"/>
              <w:rPr>
                <w:sz w:val="20"/>
                <w:szCs w:val="20"/>
                <w:color w:val="auto"/>
              </w:rPr>
            </w:pPr>
            <w:r>
              <w:rPr>
                <w:rFonts w:ascii="Courier New" w:cs="Courier New" w:eastAsia="Courier New" w:hAnsi="Courier New"/>
                <w:sz w:val="18"/>
                <w:szCs w:val="18"/>
                <w:color w:val="auto"/>
              </w:rPr>
              <w:t>VIACOM</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INC.</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AND</w:t>
            </w:r>
          </w:p>
        </w:tc>
        <w:tc>
          <w:tcPr>
            <w:tcW w:w="1940" w:type="dxa"/>
            <w:vAlign w:val="bottom"/>
          </w:tcPr>
          <w:p>
            <w:pPr>
              <w:spacing w:after="0"/>
              <w:rPr>
                <w:sz w:val="17"/>
                <w:szCs w:val="17"/>
                <w:color w:val="auto"/>
              </w:rPr>
            </w:pPr>
          </w:p>
        </w:tc>
      </w:tr>
      <w:tr>
        <w:trPr>
          <w:trHeight w:val="203"/>
        </w:trPr>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VIACOM INTERNATIONAL</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SUBSIDIARIES</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NOTES TO CONSOLIDATED FINANCIAL</w:t>
            </w:r>
          </w:p>
        </w:tc>
        <w:tc>
          <w:tcPr>
            <w:tcW w:w="2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STATEMENTS (continued)</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funded status of the pension plans for the periods indicated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Pr>
          <w:p>
            <w:pPr>
              <w:spacing w:after="0"/>
              <w:rPr>
                <w:sz w:val="17"/>
                <w:szCs w:val="17"/>
                <w:color w:val="auto"/>
              </w:rPr>
            </w:pPr>
          </w:p>
        </w:tc>
        <w:tc>
          <w:tcPr>
            <w:tcW w:w="2860" w:type="dxa"/>
            <w:vAlign w:val="bottom"/>
            <w:gridSpan w:val="2"/>
          </w:tcPr>
          <w:p>
            <w:pPr>
              <w:ind w:left="440"/>
              <w:spacing w:after="0"/>
              <w:rPr>
                <w:sz w:val="20"/>
                <w:szCs w:val="20"/>
                <w:color w:val="auto"/>
              </w:rPr>
            </w:pPr>
            <w:r>
              <w:rPr>
                <w:rFonts w:ascii="Courier New" w:cs="Courier New" w:eastAsia="Courier New" w:hAnsi="Courier New"/>
                <w:sz w:val="18"/>
                <w:szCs w:val="18"/>
                <w:color w:val="auto"/>
                <w:w w:val="96"/>
              </w:rPr>
              <w:t>Year Ended December 31,</w:t>
            </w:r>
          </w:p>
        </w:tc>
      </w:tr>
      <w:tr>
        <w:trPr>
          <w:trHeight w:val="203"/>
        </w:trPr>
        <w:tc>
          <w:tcPr>
            <w:tcW w:w="5160" w:type="dxa"/>
            <w:vAlign w:val="bottom"/>
          </w:tcPr>
          <w:p>
            <w:pPr>
              <w:spacing w:after="0"/>
              <w:rPr>
                <w:sz w:val="17"/>
                <w:szCs w:val="17"/>
                <w:color w:val="auto"/>
              </w:rPr>
            </w:pPr>
          </w:p>
        </w:tc>
        <w:tc>
          <w:tcPr>
            <w:tcW w:w="2860" w:type="dxa"/>
            <w:vAlign w:val="bottom"/>
            <w:gridSpan w:val="2"/>
          </w:tcPr>
          <w:p>
            <w:pPr>
              <w:ind w:left="4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160" w:type="dxa"/>
            <w:vAlign w:val="bottom"/>
          </w:tcPr>
          <w:p>
            <w:pPr>
              <w:spacing w:after="0"/>
              <w:rPr>
                <w:sz w:val="17"/>
                <w:szCs w:val="17"/>
                <w:color w:val="auto"/>
              </w:rPr>
            </w:pP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1993</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1992</w:t>
            </w:r>
          </w:p>
        </w:tc>
      </w:tr>
      <w:tr>
        <w:trPr>
          <w:trHeight w:val="203"/>
        </w:trPr>
        <w:tc>
          <w:tcPr>
            <w:tcW w:w="5160" w:type="dxa"/>
            <w:vAlign w:val="bottom"/>
          </w:tcPr>
          <w:p>
            <w:pPr>
              <w:spacing w:after="0"/>
              <w:rPr>
                <w:sz w:val="17"/>
                <w:szCs w:val="17"/>
                <w:color w:val="auto"/>
              </w:rPr>
            </w:pP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rPr>
                <w:sz w:val="17"/>
                <w:szCs w:val="17"/>
                <w:color w:val="auto"/>
              </w:rPr>
            </w:pPr>
          </w:p>
        </w:tc>
        <w:tc>
          <w:tcPr>
            <w:tcW w:w="2860" w:type="dxa"/>
            <w:vAlign w:val="bottom"/>
            <w:gridSpan w:val="2"/>
          </w:tcPr>
          <w:p>
            <w:pPr>
              <w:ind w:left="440"/>
              <w:spacing w:after="0" w:line="203" w:lineRule="exact"/>
              <w:rPr>
                <w:sz w:val="20"/>
                <w:szCs w:val="20"/>
                <w:color w:val="auto"/>
              </w:rPr>
            </w:pPr>
            <w:r>
              <w:rPr>
                <w:rFonts w:ascii="Courier New" w:cs="Courier New" w:eastAsia="Courier New" w:hAnsi="Courier New"/>
                <w:sz w:val="18"/>
                <w:szCs w:val="18"/>
                <w:color w:val="auto"/>
              </w:rPr>
              <w:t>(Thousands of dollars)</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Actuarial present value of benefit obligations:</w:t>
            </w: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benefit obligation:</w:t>
            </w: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Vested</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$34,440</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$ 24,095</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Non-vested</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3,177</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1,740</w:t>
            </w:r>
          </w:p>
        </w:tc>
      </w:tr>
      <w:tr>
        <w:trPr>
          <w:trHeight w:val="203"/>
        </w:trPr>
        <w:tc>
          <w:tcPr>
            <w:tcW w:w="516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$37,617</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$ 25,835</w:t>
            </w:r>
          </w:p>
        </w:tc>
      </w:tr>
      <w:tr>
        <w:trPr>
          <w:trHeight w:val="203"/>
        </w:trPr>
        <w:tc>
          <w:tcPr>
            <w:tcW w:w="516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Projected benefit obligation</w:t>
            </w: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$58,845</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$ 43,626</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Plan assets at fair value</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32,649</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28,282</w:t>
            </w:r>
          </w:p>
        </w:tc>
      </w:tr>
      <w:tr>
        <w:trPr>
          <w:trHeight w:val="203"/>
        </w:trPr>
        <w:tc>
          <w:tcPr>
            <w:tcW w:w="516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Plan assets less than the</w:t>
            </w: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projected benefit obligation</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(26,196)</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(15,344)</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Unrecognized loss during the year</w:t>
            </w: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8,104</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476</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Unrecognized prior service cost</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3,743</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4,384</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 to recognize minimum liability</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(576)</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(768)</w:t>
            </w:r>
          </w:p>
        </w:tc>
      </w:tr>
      <w:tr>
        <w:trPr>
          <w:trHeight w:val="203"/>
        </w:trPr>
        <w:tc>
          <w:tcPr>
            <w:tcW w:w="516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Pension liability at year end</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$(14,925)</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$(11,252)</w:t>
            </w:r>
          </w:p>
        </w:tc>
      </w:tr>
      <w:tr>
        <w:trPr>
          <w:trHeight w:val="203"/>
        </w:trPr>
        <w:tc>
          <w:tcPr>
            <w:tcW w:w="516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For purposes of valuing the 1993 and 1992 projected benefit obligation, the discount rate was 7.5% (1993) and 8.25% (1992) and the rate of increase in future compensation was 6% for each of the years. For determining the pension expense for each of the years, the long-term rate of return on plan assets was 9%.</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1992, the FASB issued Statement of Financial Accounting Standards No. 112, "Employers' Accounting For Postemployment Benefits" ("SFAS 112") which the Company will be required to adopt in 1994. SFAS 112 requires that postemployment benefits be accounted for under the accrual method versus the currently used pay-as-you-go method. The Company is evaluating the impact of SFAS 112 and it is not expected that SFAS 112 will have a significant effect on the Company's consolidated financial position or results of operations.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RELATED PARTY TRANSACTIONS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through the normal course of business, is involved in transactions with affiliated companies. The Company sold programming to affiliates amounting to $5.5 million (1993), $3.3 million (1992) and $.9 million (1991) and paid subscriber fees of $6.1 million (1993), $5.4 million (1992) and $2.0 million (1991). In addition, rent and other expenses of $5.8 million, $4.7 million and $4.0 million were charged to affiliated companies during 1993, 1992 and 1991, respectively. Related party accounts receivable and accounts payable were immaterial for each period.</w:t>
      </w:r>
    </w:p>
    <w:p>
      <w:pPr>
        <w:spacing w:after="0" w:line="212"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Company received approximately $.9 million (1993) and $1.3 million (1992) under its tax-sharing agreement with NAI and paid approximately $.9 million (1991).</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II-56</w:t>
      </w:r>
    </w:p>
    <w:p>
      <w:pPr>
        <w:sectPr>
          <w:pgSz w:w="11900" w:h="16838" w:orient="portrait"/>
          <w:cols w:equalWidth="0" w:num="1">
            <w:col w:w="10219"/>
          </w:cols>
          <w:pgMar w:left="240" w:top="717" w:right="1440" w:bottom="1440" w:gutter="0" w:footer="0" w:header="0"/>
        </w:sectPr>
      </w:pPr>
    </w:p>
    <w:bookmarkStart w:id="111" w:name="page112"/>
    <w:bookmarkEnd w:id="111"/>
    <w:tbl>
      <w:tblPr>
        <w:tblLayout w:type="fixed"/>
        <w:tblInd w:w="1280" w:type="dxa"/>
        <w:tblCellMar>
          <w:top w:w="0" w:type="dxa"/>
          <w:left w:w="0" w:type="dxa"/>
          <w:bottom w:w="0" w:type="dxa"/>
          <w:right w:w="0" w:type="dxa"/>
        </w:tblCellMar>
      </w:tblPr>
      <w:tr>
        <w:trPr>
          <w:trHeight w:val="204"/>
        </w:trPr>
        <w:tc>
          <w:tcPr>
            <w:tcW w:w="2780" w:type="dxa"/>
            <w:vAlign w:val="bottom"/>
          </w:tcPr>
          <w:p>
            <w:pPr>
              <w:jc w:val="right"/>
              <w:spacing w:after="0"/>
              <w:rPr>
                <w:sz w:val="20"/>
                <w:szCs w:val="20"/>
                <w:color w:val="auto"/>
              </w:rPr>
            </w:pPr>
            <w:r>
              <w:rPr>
                <w:rFonts w:ascii="Courier New" w:cs="Courier New" w:eastAsia="Courier New" w:hAnsi="Courier New"/>
                <w:sz w:val="18"/>
                <w:szCs w:val="18"/>
                <w:color w:val="auto"/>
              </w:rPr>
              <w:t>VIACOM</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INC.</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AND</w:t>
            </w:r>
          </w:p>
        </w:tc>
        <w:tc>
          <w:tcPr>
            <w:tcW w:w="1940" w:type="dxa"/>
            <w:vAlign w:val="bottom"/>
          </w:tcPr>
          <w:p>
            <w:pPr>
              <w:spacing w:after="0"/>
              <w:rPr>
                <w:sz w:val="17"/>
                <w:szCs w:val="17"/>
                <w:color w:val="auto"/>
              </w:rPr>
            </w:pPr>
          </w:p>
        </w:tc>
      </w:tr>
      <w:tr>
        <w:trPr>
          <w:trHeight w:val="203"/>
        </w:trPr>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VIACOM INTERNATIONAL</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SUBSIDIARIES</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NOTES TO CONSOLIDATED FINANCIAL</w:t>
            </w:r>
          </w:p>
        </w:tc>
        <w:tc>
          <w:tcPr>
            <w:tcW w:w="2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STATEMENTS (continued)</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COMMITMENTS AND CONTINGENCIES</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Company has long-term noncancellable lease commitments for office space and equipment, transponders, studio facilities and vehicles.</w:t>
      </w:r>
    </w:p>
    <w:p>
      <w:pPr>
        <w:spacing w:after="0" w:line="20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At December 31, 1993, minimum rental payments under noncancellable leases are as follows:</w:t>
      </w:r>
    </w:p>
    <w:p>
      <w:pPr>
        <w:spacing w:after="0" w:line="203"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3260" w:type="dxa"/>
            <w:vAlign w:val="bottom"/>
          </w:tcPr>
          <w:p>
            <w:pPr>
              <w:spacing w:after="0"/>
              <w:rPr>
                <w:sz w:val="17"/>
                <w:szCs w:val="17"/>
                <w:color w:val="auto"/>
              </w:rPr>
            </w:pP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Operating</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Capital</w:t>
            </w:r>
          </w:p>
        </w:tc>
      </w:tr>
      <w:tr>
        <w:trPr>
          <w:trHeight w:val="203"/>
        </w:trPr>
        <w:tc>
          <w:tcPr>
            <w:tcW w:w="32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Leases</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Leases</w:t>
            </w:r>
          </w:p>
        </w:tc>
      </w:tr>
      <w:tr>
        <w:trPr>
          <w:trHeight w:val="203"/>
        </w:trPr>
        <w:tc>
          <w:tcPr>
            <w:tcW w:w="32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60" w:type="dxa"/>
            <w:vAlign w:val="bottom"/>
          </w:tcPr>
          <w:p>
            <w:pPr>
              <w:spacing w:after="0"/>
              <w:rPr>
                <w:sz w:val="17"/>
                <w:szCs w:val="17"/>
                <w:color w:val="auto"/>
              </w:rPr>
            </w:pPr>
          </w:p>
        </w:tc>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(Thousands of dollars)</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1994</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$ 59,746</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$ 9,632</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1995</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58,946</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10,660</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56,795</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11,689</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1997</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53,125</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12,717</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1998</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55,373</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13,746</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1999 and thereafter</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390,181</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38,764</w:t>
            </w:r>
          </w:p>
        </w:tc>
      </w:tr>
      <w:tr>
        <w:trPr>
          <w:trHeight w:val="203"/>
        </w:trPr>
        <w:tc>
          <w:tcPr>
            <w:tcW w:w="32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minimum lease payments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$674,166</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97,208</w:t>
            </w:r>
          </w:p>
        </w:tc>
      </w:tr>
      <w:tr>
        <w:trPr>
          <w:trHeight w:val="203"/>
        </w:trPr>
        <w:tc>
          <w:tcPr>
            <w:tcW w:w="32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amounts representing</w:t>
            </w:r>
          </w:p>
        </w:tc>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4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34,121</w:t>
            </w:r>
          </w:p>
        </w:tc>
      </w:tr>
      <w:tr>
        <w:trPr>
          <w:trHeight w:val="203"/>
        </w:trPr>
        <w:tc>
          <w:tcPr>
            <w:tcW w:w="3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Present value of net minimum</w:t>
            </w:r>
          </w:p>
        </w:tc>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payments</w:t>
            </w:r>
          </w:p>
        </w:tc>
        <w:tc>
          <w:tcPr>
            <w:tcW w:w="14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$63,087</w:t>
            </w:r>
          </w:p>
        </w:tc>
      </w:tr>
      <w:tr>
        <w:trPr>
          <w:trHeight w:val="203"/>
        </w:trPr>
        <w:tc>
          <w:tcPr>
            <w:tcW w:w="3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Future minimum capital lease payments and operating lease payments have not been reduced by future minimum sublease rentals of $26.0 million and $.5 million, respectively. Rent expense amounted to $74.2 million (1993), $67.9 million (1992) and $64.6 million (1991).</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Capital leases represent the financing of transponders of $67.0 million (1993) and $26.2 million (1992), net of accumulated amortization of $7.8 million (1993) and $3.0 million (1992).</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commitments of the Company for program license fees which are not reflected in the balance sheet as of December 31, 1993, which are estimated to aggregate approximately $1.9 billion, principally reflect commitments under SNI's exclusive arrangements with several motion picture companies. This estimate is based upon a number of factors. A majority of such fees are payable within the next seven years, as part of normal programming expenditures of SNI. These commitments are contingent upon delivery of motion pictures which are not yet available for premium television exhibition and, in many cases, have not yet been produced.</w:t>
      </w:r>
    </w:p>
    <w:p>
      <w:pPr>
        <w:spacing w:after="0" w:line="21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During July 1991, the Company received reassessments from 10 California counties of its Cable Division's real and personal property, related to the June 1987 acquisition by NAI, which could result in substantially higher California property tax liabilities. The Company is appealing the reassessments and believes that the reassessments as issued are unreasonable and unsupportable under California law. The Company believes that the final resolution of this matter will not have a material effect on its consolidated financial position or results of operations.</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There are various lawsuits and claims pending against the Company. Management believes that any ultimate liability resulting from those actions or claims will not have a material adverse effect on the Company's financial position or results of operations (See Note 14).</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II-57</w:t>
      </w:r>
    </w:p>
    <w:p>
      <w:pPr>
        <w:sectPr>
          <w:pgSz w:w="11900" w:h="16838" w:orient="portrait"/>
          <w:cols w:equalWidth="0" w:num="1">
            <w:col w:w="10219"/>
          </w:cols>
          <w:pgMar w:left="240" w:top="717" w:right="1440" w:bottom="1440" w:gutter="0" w:footer="0" w:header="0"/>
        </w:sectPr>
      </w:pPr>
    </w:p>
    <w:bookmarkStart w:id="112" w:name="page113"/>
    <w:bookmarkEnd w:id="112"/>
    <w:tbl>
      <w:tblPr>
        <w:tblLayout w:type="fixed"/>
        <w:tblInd w:w="1280" w:type="dxa"/>
        <w:tblCellMar>
          <w:top w:w="0" w:type="dxa"/>
          <w:left w:w="0" w:type="dxa"/>
          <w:bottom w:w="0" w:type="dxa"/>
          <w:right w:w="0" w:type="dxa"/>
        </w:tblCellMar>
      </w:tblPr>
      <w:tr>
        <w:trPr>
          <w:trHeight w:val="204"/>
        </w:trPr>
        <w:tc>
          <w:tcPr>
            <w:tcW w:w="2780" w:type="dxa"/>
            <w:vAlign w:val="bottom"/>
          </w:tcPr>
          <w:p>
            <w:pPr>
              <w:jc w:val="right"/>
              <w:spacing w:after="0"/>
              <w:rPr>
                <w:sz w:val="20"/>
                <w:szCs w:val="20"/>
                <w:color w:val="auto"/>
              </w:rPr>
            </w:pPr>
            <w:r>
              <w:rPr>
                <w:rFonts w:ascii="Courier New" w:cs="Courier New" w:eastAsia="Courier New" w:hAnsi="Courier New"/>
                <w:sz w:val="18"/>
                <w:szCs w:val="18"/>
                <w:color w:val="auto"/>
              </w:rPr>
              <w:t>VIACOM</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INC.</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AND</w:t>
            </w:r>
          </w:p>
        </w:tc>
        <w:tc>
          <w:tcPr>
            <w:tcW w:w="1940" w:type="dxa"/>
            <w:vAlign w:val="bottom"/>
          </w:tcPr>
          <w:p>
            <w:pPr>
              <w:spacing w:after="0"/>
              <w:rPr>
                <w:sz w:val="17"/>
                <w:szCs w:val="17"/>
                <w:color w:val="auto"/>
              </w:rPr>
            </w:pPr>
          </w:p>
        </w:tc>
      </w:tr>
      <w:tr>
        <w:trPr>
          <w:trHeight w:val="203"/>
        </w:trPr>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VIACOM INTERNATIONAL</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SUBSIDIARIES</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NOTES TO CONSOLIDATED FINANCIAL</w:t>
            </w:r>
          </w:p>
        </w:tc>
        <w:tc>
          <w:tcPr>
            <w:tcW w:w="2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STATEMENTS (continued)</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FOREIGN OPERATIONS</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consolidated financial statements include the following amounts applicable to foreign subsidiaries: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Year Ended December</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31,</w:t>
            </w:r>
          </w:p>
        </w:tc>
      </w:tr>
      <w:tr>
        <w:trPr>
          <w:trHeight w:val="203"/>
        </w:trPr>
        <w:tc>
          <w:tcPr>
            <w:tcW w:w="3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2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3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1993</w:t>
            </w:r>
          </w:p>
        </w:tc>
        <w:tc>
          <w:tcPr>
            <w:tcW w:w="1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1992</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1991</w:t>
            </w:r>
          </w:p>
        </w:tc>
      </w:tr>
      <w:tr>
        <w:trPr>
          <w:trHeight w:val="203"/>
        </w:trPr>
        <w:tc>
          <w:tcPr>
            <w:tcW w:w="3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2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(Thousands of dollars)</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122,200</w:t>
            </w:r>
          </w:p>
        </w:tc>
        <w:tc>
          <w:tcPr>
            <w:tcW w:w="14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$68,193</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w w:val="95"/>
              </w:rPr>
              <w:t>$31,786</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before income taxes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34,012</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$17,364</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$10,963</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33,747</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$16,384</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$ 9,294</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54,190</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$47,769</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$38,452</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115,744</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$73,817</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$40,422</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68,728</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$57,441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$30,897</w:t>
            </w:r>
          </w:p>
        </w:tc>
      </w:tr>
    </w:tbl>
    <w:p>
      <w:pPr>
        <w:spacing w:after="0" w:line="200" w:lineRule="exact"/>
        <w:rPr>
          <w:sz w:val="20"/>
          <w:szCs w:val="20"/>
          <w:color w:val="auto"/>
        </w:rPr>
      </w:pP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Total export revenues were $25.2 million (1993), $34.9 million (1992) and $26.7 million (1991).</w:t>
      </w:r>
    </w:p>
    <w:p>
      <w:pPr>
        <w:spacing w:after="0" w:line="20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Foreign currency transaction gains and losses were immaterial in each period presented.</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II-58</w:t>
      </w:r>
    </w:p>
    <w:p>
      <w:pPr>
        <w:sectPr>
          <w:pgSz w:w="11900" w:h="16838" w:orient="portrait"/>
          <w:cols w:equalWidth="0" w:num="1">
            <w:col w:w="10219"/>
          </w:cols>
          <w:pgMar w:left="240" w:top="717" w:right="1440" w:bottom="1440" w:gutter="0" w:footer="0" w:header="0"/>
        </w:sectPr>
      </w:pPr>
    </w:p>
    <w:bookmarkStart w:id="113" w:name="page114"/>
    <w:bookmarkEnd w:id="113"/>
    <w:p>
      <w:pPr>
        <w:jc w:val="center"/>
        <w:ind w:right="1879"/>
        <w:spacing w:after="0"/>
        <w:rPr>
          <w:sz w:val="20"/>
          <w:szCs w:val="20"/>
          <w:color w:val="auto"/>
        </w:rPr>
      </w:pPr>
      <w:r>
        <w:rPr>
          <w:rFonts w:ascii="Courier New" w:cs="Courier New" w:eastAsia="Courier New" w:hAnsi="Courier New"/>
          <w:sz w:val="18"/>
          <w:szCs w:val="18"/>
          <w:color w:val="auto"/>
        </w:rPr>
        <w:t>VIACOM INC. AND</w:t>
      </w:r>
    </w:p>
    <w:p>
      <w:pPr>
        <w:jc w:val="center"/>
        <w:ind w:right="1979"/>
        <w:spacing w:after="0" w:line="238" w:lineRule="auto"/>
        <w:rPr>
          <w:sz w:val="20"/>
          <w:szCs w:val="20"/>
          <w:color w:val="auto"/>
        </w:rPr>
      </w:pPr>
      <w:r>
        <w:rPr>
          <w:rFonts w:ascii="Courier New" w:cs="Courier New" w:eastAsia="Courier New" w:hAnsi="Courier New"/>
          <w:sz w:val="18"/>
          <w:szCs w:val="18"/>
          <w:color w:val="auto"/>
        </w:rPr>
        <w:t>VIACOM INTERNATIONAL INC. AND SUBSIDIARIES</w:t>
      </w:r>
    </w:p>
    <w:p>
      <w:pPr>
        <w:jc w:val="center"/>
        <w:ind w:right="19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Courier New" w:cs="Courier New" w:eastAsia="Courier New" w:hAnsi="Courier New"/>
                <w:sz w:val="18"/>
                <w:szCs w:val="18"/>
                <w:color w:val="auto"/>
              </w:rPr>
              <w:t>12) BUSINESS SEGMENTS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4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80" w:type="dxa"/>
            <w:vAlign w:val="bottom"/>
            <w:gridSpan w:val="5"/>
          </w:tcPr>
          <w:p>
            <w:pPr>
              <w:jc w:val="right"/>
              <w:ind w:right="532"/>
              <w:spacing w:after="0"/>
              <w:rPr>
                <w:sz w:val="20"/>
                <w:szCs w:val="20"/>
                <w:color w:val="auto"/>
              </w:rPr>
            </w:pPr>
            <w:r>
              <w:rPr>
                <w:rFonts w:ascii="Courier New" w:cs="Courier New" w:eastAsia="Courier New" w:hAnsi="Courier New"/>
                <w:sz w:val="18"/>
                <w:szCs w:val="18"/>
                <w:color w:val="auto"/>
              </w:rPr>
              <w:t>Year Ended December 31,</w:t>
            </w:r>
          </w:p>
        </w:tc>
      </w:tr>
      <w:tr>
        <w:trPr>
          <w:trHeight w:val="203"/>
        </w:trPr>
        <w:tc>
          <w:tcPr>
            <w:tcW w:w="4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80" w:type="dxa"/>
            <w:vAlign w:val="bottom"/>
            <w:gridSpan w:val="5"/>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1993</w:t>
            </w:r>
          </w:p>
        </w:tc>
        <w:tc>
          <w:tcPr>
            <w:tcW w:w="200" w:type="dxa"/>
            <w:vAlign w:val="bottom"/>
          </w:tcPr>
          <w:p>
            <w:pPr>
              <w:spacing w:after="0"/>
              <w:rPr>
                <w:sz w:val="17"/>
                <w:szCs w:val="17"/>
                <w:color w:val="auto"/>
              </w:rPr>
            </w:pPr>
          </w:p>
        </w:tc>
        <w:tc>
          <w:tcPr>
            <w:tcW w:w="1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1992</w:t>
            </w:r>
          </w:p>
        </w:tc>
        <w:tc>
          <w:tcPr>
            <w:tcW w:w="26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1991</w:t>
            </w:r>
          </w:p>
        </w:tc>
      </w:tr>
      <w:tr>
        <w:trPr>
          <w:trHeight w:val="203"/>
        </w:trPr>
        <w:tc>
          <w:tcPr>
            <w:tcW w:w="4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80" w:type="dxa"/>
            <w:vAlign w:val="bottom"/>
            <w:gridSpan w:val="5"/>
          </w:tcPr>
          <w:p>
            <w:pPr>
              <w:jc w:val="right"/>
              <w:ind w:right="632"/>
              <w:spacing w:after="0" w:line="203" w:lineRule="exact"/>
              <w:rPr>
                <w:sz w:val="20"/>
                <w:szCs w:val="20"/>
                <w:color w:val="auto"/>
              </w:rPr>
            </w:pPr>
            <w:r>
              <w:rPr>
                <w:rFonts w:ascii="Courier New" w:cs="Courier New" w:eastAsia="Courier New" w:hAnsi="Courier New"/>
                <w:sz w:val="18"/>
                <w:szCs w:val="18"/>
                <w:color w:val="auto"/>
              </w:rPr>
              <w:t>(Thousands of dollars)</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Networks</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$1,221,200</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$1,058,831</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922,157</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Entertainment</w:t>
            </w:r>
          </w:p>
        </w:tc>
        <w:tc>
          <w:tcPr>
            <w:tcW w:w="2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209,110</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248,335</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273,488</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Cable Television</w:t>
            </w:r>
          </w:p>
        </w:tc>
        <w:tc>
          <w:tcPr>
            <w:tcW w:w="2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415,953</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411,087</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378,026</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Broadcasting</w:t>
            </w:r>
          </w:p>
        </w:tc>
        <w:tc>
          <w:tcPr>
            <w:tcW w:w="2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181,778</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168,847</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159,182</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Intercompany elimination</w:t>
            </w:r>
          </w:p>
        </w:tc>
        <w:tc>
          <w:tcPr>
            <w:tcW w:w="2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(23,092)</w:t>
            </w: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(22,417)</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(21,291)</w:t>
            </w:r>
          </w:p>
        </w:tc>
      </w:tr>
      <w:tr>
        <w:trPr>
          <w:trHeight w:val="203"/>
        </w:trPr>
        <w:tc>
          <w:tcPr>
            <w:tcW w:w="406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Total revenues</w:t>
            </w:r>
          </w:p>
        </w:tc>
        <w:tc>
          <w:tcPr>
            <w:tcW w:w="13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$2,004,949</w:t>
            </w:r>
          </w:p>
        </w:tc>
        <w:tc>
          <w:tcPr>
            <w:tcW w:w="12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9"/>
              </w:rPr>
              <w:t>$1,864,683</w:t>
            </w:r>
          </w:p>
        </w:tc>
        <w:tc>
          <w:tcPr>
            <w:tcW w:w="12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9"/>
              </w:rPr>
              <w:t>$1,711,562</w:t>
            </w:r>
          </w:p>
        </w:tc>
      </w:tr>
      <w:tr>
        <w:trPr>
          <w:trHeight w:val="203"/>
        </w:trPr>
        <w:tc>
          <w:tcPr>
            <w:tcW w:w="406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Earnings from operations: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Networks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272,087</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205,576</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172,296</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Entertainment</w:t>
            </w:r>
          </w:p>
        </w:tc>
        <w:tc>
          <w:tcPr>
            <w:tcW w:w="2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32,480</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59,662</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73,214</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Cable Television</w:t>
            </w:r>
          </w:p>
        </w:tc>
        <w:tc>
          <w:tcPr>
            <w:tcW w:w="2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110,176</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122,037</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103,954</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Broadcasting</w:t>
            </w:r>
          </w:p>
        </w:tc>
        <w:tc>
          <w:tcPr>
            <w:tcW w:w="2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42,293</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31,956</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27,734</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Corporate</w:t>
            </w:r>
          </w:p>
        </w:tc>
        <w:tc>
          <w:tcPr>
            <w:tcW w:w="2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(72,041)</w:t>
            </w: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(71,304)</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(64,964)</w:t>
            </w:r>
          </w:p>
        </w:tc>
      </w:tr>
      <w:tr>
        <w:trPr>
          <w:trHeight w:val="203"/>
        </w:trPr>
        <w:tc>
          <w:tcPr>
            <w:tcW w:w="406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earnings from</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operations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384,995</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347,927</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312,234</w:t>
            </w:r>
          </w:p>
        </w:tc>
      </w:tr>
      <w:tr>
        <w:trPr>
          <w:trHeight w:val="203"/>
        </w:trPr>
        <w:tc>
          <w:tcPr>
            <w:tcW w:w="406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Depreciation and amortization:</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Networks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44,747</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41,754</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30,123</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Entertainment</w:t>
            </w:r>
          </w:p>
        </w:tc>
        <w:tc>
          <w:tcPr>
            <w:tcW w:w="2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9,549</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6,792</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7,160</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Cable Television</w:t>
            </w:r>
          </w:p>
        </w:tc>
        <w:tc>
          <w:tcPr>
            <w:tcW w:w="2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71,520</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68,505</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66,604</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Broadcasting</w:t>
            </w:r>
          </w:p>
        </w:tc>
        <w:tc>
          <w:tcPr>
            <w:tcW w:w="2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23,475</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24,509</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27,062</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Corporate</w:t>
            </w:r>
          </w:p>
        </w:tc>
        <w:tc>
          <w:tcPr>
            <w:tcW w:w="2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3,766</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3,242</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1,915</w:t>
            </w:r>
          </w:p>
        </w:tc>
      </w:tr>
      <w:tr>
        <w:trPr>
          <w:trHeight w:val="203"/>
        </w:trPr>
        <w:tc>
          <w:tcPr>
            <w:tcW w:w="406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depreciation and amortization</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153,057</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144,802</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132,864</w:t>
            </w:r>
          </w:p>
        </w:tc>
      </w:tr>
      <w:tr>
        <w:trPr>
          <w:trHeight w:val="203"/>
        </w:trPr>
        <w:tc>
          <w:tcPr>
            <w:tcW w:w="406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Identifiable assets at year end:</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Networks</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$1,794,418</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$1,604,504</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$1,453,643</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Entertainment</w:t>
            </w:r>
          </w:p>
        </w:tc>
        <w:tc>
          <w:tcPr>
            <w:tcW w:w="2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845,620</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829,607</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855,357</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Cable Television</w:t>
            </w:r>
          </w:p>
        </w:tc>
        <w:tc>
          <w:tcPr>
            <w:tcW w:w="2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963,047</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972,066</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979,668</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Broadcasting</w:t>
            </w:r>
          </w:p>
        </w:tc>
        <w:tc>
          <w:tcPr>
            <w:tcW w:w="2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744,208</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722,023</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742,650</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Corporate</w:t>
            </w:r>
          </w:p>
        </w:tc>
        <w:tc>
          <w:tcPr>
            <w:tcW w:w="2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2,069,575</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188,894</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157,060</w:t>
            </w:r>
          </w:p>
        </w:tc>
      </w:tr>
      <w:tr>
        <w:trPr>
          <w:trHeight w:val="203"/>
        </w:trPr>
        <w:tc>
          <w:tcPr>
            <w:tcW w:w="406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Total identifiable assets at year end</w:t>
            </w:r>
          </w:p>
        </w:tc>
        <w:tc>
          <w:tcPr>
            <w:tcW w:w="13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$6,416,868</w:t>
            </w:r>
          </w:p>
        </w:tc>
        <w:tc>
          <w:tcPr>
            <w:tcW w:w="12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9"/>
              </w:rPr>
              <w:t>$4,317,094</w:t>
            </w:r>
          </w:p>
        </w:tc>
        <w:tc>
          <w:tcPr>
            <w:tcW w:w="12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9"/>
              </w:rPr>
              <w:t>$4,188,378</w:t>
            </w:r>
          </w:p>
        </w:tc>
      </w:tr>
      <w:tr>
        <w:trPr>
          <w:trHeight w:val="203"/>
        </w:trPr>
        <w:tc>
          <w:tcPr>
            <w:tcW w:w="406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Capital expenditures: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Networks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35,786</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26,076</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6,170</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Entertainment</w:t>
            </w:r>
          </w:p>
        </w:tc>
        <w:tc>
          <w:tcPr>
            <w:tcW w:w="2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4,933</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7,102</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916</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Cable Television</w:t>
            </w:r>
          </w:p>
        </w:tc>
        <w:tc>
          <w:tcPr>
            <w:tcW w:w="2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79,482</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54,596</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44,967</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Broadcasting</w:t>
            </w:r>
          </w:p>
        </w:tc>
        <w:tc>
          <w:tcPr>
            <w:tcW w:w="2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4,886</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5,102</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3,101</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Corporate</w:t>
            </w:r>
          </w:p>
        </w:tc>
        <w:tc>
          <w:tcPr>
            <w:tcW w:w="2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9,924</w:t>
            </w:r>
          </w:p>
        </w:tc>
        <w:tc>
          <w:tcPr>
            <w:tcW w:w="2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17,346</w:t>
            </w:r>
          </w:p>
        </w:tc>
        <w:tc>
          <w:tcPr>
            <w:tcW w:w="2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2,275</w:t>
            </w:r>
          </w:p>
        </w:tc>
      </w:tr>
      <w:tr>
        <w:trPr>
          <w:trHeight w:val="203"/>
        </w:trPr>
        <w:tc>
          <w:tcPr>
            <w:tcW w:w="406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capital expenditures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135,011</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110,222</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57,429</w:t>
            </w:r>
          </w:p>
        </w:tc>
      </w:tr>
      <w:tr>
        <w:trPr>
          <w:trHeight w:val="203"/>
        </w:trPr>
        <w:tc>
          <w:tcPr>
            <w:tcW w:w="406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608"/>
        </w:trPr>
        <w:tc>
          <w:tcPr>
            <w:tcW w:w="4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II-59</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114" w:name="page115"/>
    <w:bookmarkEnd w:id="114"/>
    <w:p>
      <w:pPr>
        <w:spacing w:after="0" w:line="1"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2780" w:type="dxa"/>
            <w:vAlign w:val="bottom"/>
          </w:tcPr>
          <w:p>
            <w:pPr>
              <w:jc w:val="right"/>
              <w:spacing w:after="0"/>
              <w:rPr>
                <w:sz w:val="20"/>
                <w:szCs w:val="20"/>
                <w:color w:val="auto"/>
              </w:rPr>
            </w:pPr>
            <w:r>
              <w:rPr>
                <w:rFonts w:ascii="Courier New" w:cs="Courier New" w:eastAsia="Courier New" w:hAnsi="Courier New"/>
                <w:sz w:val="18"/>
                <w:szCs w:val="18"/>
                <w:color w:val="auto"/>
              </w:rPr>
              <w:t>VIACOM</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INC.</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AND</w:t>
            </w:r>
          </w:p>
        </w:tc>
        <w:tc>
          <w:tcPr>
            <w:tcW w:w="1940" w:type="dxa"/>
            <w:vAlign w:val="bottom"/>
          </w:tcPr>
          <w:p>
            <w:pPr>
              <w:spacing w:after="0"/>
              <w:rPr>
                <w:sz w:val="17"/>
                <w:szCs w:val="17"/>
                <w:color w:val="auto"/>
              </w:rPr>
            </w:pPr>
          </w:p>
        </w:tc>
      </w:tr>
      <w:tr>
        <w:trPr>
          <w:trHeight w:val="203"/>
        </w:trPr>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VIACOM INTERNATIONAL</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SUBSIDIARIES</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NOTES TO CONSOLIDATED FINANCIAL</w:t>
            </w:r>
          </w:p>
        </w:tc>
        <w:tc>
          <w:tcPr>
            <w:tcW w:w="2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STATEMENTS (continued)</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QUARTERLY FINANCIAL DATA (unaudited):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Summarized quarterly financial data for 1993 and 1992 appears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rPr>
              <w:t>First</w:t>
            </w:r>
          </w:p>
        </w:tc>
        <w:tc>
          <w:tcPr>
            <w:tcW w:w="22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Courier New" w:cs="Courier New" w:eastAsia="Courier New" w:hAnsi="Courier New"/>
                <w:sz w:val="18"/>
                <w:szCs w:val="18"/>
                <w:color w:val="auto"/>
              </w:rPr>
              <w:t>Second</w:t>
            </w:r>
          </w:p>
        </w:tc>
        <w:tc>
          <w:tcPr>
            <w:tcW w:w="160" w:type="dxa"/>
            <w:vAlign w:val="bottom"/>
          </w:tcPr>
          <w:p>
            <w:pPr>
              <w:spacing w:after="0"/>
              <w:rPr>
                <w:sz w:val="17"/>
                <w:szCs w:val="17"/>
                <w:color w:val="auto"/>
              </w:rPr>
            </w:pP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Third</w:t>
            </w:r>
          </w:p>
        </w:tc>
        <w:tc>
          <w:tcPr>
            <w:tcW w:w="220" w:type="dxa"/>
            <w:vAlign w:val="bottom"/>
          </w:tcPr>
          <w:p>
            <w:pPr>
              <w:spacing w:after="0"/>
              <w:rPr>
                <w:sz w:val="17"/>
                <w:szCs w:val="17"/>
                <w:color w:val="auto"/>
              </w:rPr>
            </w:pPr>
          </w:p>
        </w:tc>
        <w:tc>
          <w:tcPr>
            <w:tcW w:w="900" w:type="dxa"/>
            <w:vAlign w:val="bottom"/>
          </w:tcPr>
          <w:p>
            <w:pPr>
              <w:spacing w:after="0"/>
              <w:rPr>
                <w:sz w:val="20"/>
                <w:szCs w:val="20"/>
                <w:color w:val="auto"/>
              </w:rPr>
            </w:pPr>
            <w:r>
              <w:rPr>
                <w:rFonts w:ascii="Courier New" w:cs="Courier New" w:eastAsia="Courier New" w:hAnsi="Courier New"/>
                <w:sz w:val="18"/>
                <w:szCs w:val="18"/>
                <w:color w:val="auto"/>
              </w:rPr>
              <w:t>Fourth</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Quarter</w:t>
            </w:r>
          </w:p>
        </w:tc>
        <w:tc>
          <w:tcPr>
            <w:tcW w:w="220" w:type="dxa"/>
            <w:vAlign w:val="bottom"/>
          </w:tcPr>
          <w:p>
            <w:pPr>
              <w:spacing w:after="0"/>
              <w:rPr>
                <w:sz w:val="17"/>
                <w:szCs w:val="17"/>
                <w:color w:val="auto"/>
              </w:rPr>
            </w:pPr>
          </w:p>
        </w:tc>
        <w:tc>
          <w:tcPr>
            <w:tcW w:w="880" w:type="dxa"/>
            <w:vAlign w:val="bottom"/>
          </w:tcPr>
          <w:p>
            <w:pPr>
              <w:spacing w:after="0" w:line="203" w:lineRule="exact"/>
              <w:rPr>
                <w:sz w:val="20"/>
                <w:szCs w:val="20"/>
                <w:color w:val="auto"/>
              </w:rPr>
            </w:pPr>
            <w:r>
              <w:rPr>
                <w:rFonts w:ascii="Courier New" w:cs="Courier New" w:eastAsia="Courier New" w:hAnsi="Courier New"/>
                <w:sz w:val="18"/>
                <w:szCs w:val="18"/>
                <w:color w:val="auto"/>
              </w:rPr>
              <w:t>Quarter</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Quarter</w:t>
            </w:r>
          </w:p>
        </w:tc>
        <w:tc>
          <w:tcPr>
            <w:tcW w:w="22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Quarter</w:t>
            </w:r>
          </w:p>
        </w:tc>
        <w:tc>
          <w:tcPr>
            <w:tcW w:w="12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4"/>
              </w:rPr>
              <w:t>Total Year</w:t>
            </w:r>
          </w:p>
        </w:tc>
      </w:tr>
      <w:tr>
        <w:trPr>
          <w:trHeight w:val="203"/>
        </w:trPr>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2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60" w:type="dxa"/>
            <w:vAlign w:val="bottom"/>
            <w:gridSpan w:val="9"/>
          </w:tcPr>
          <w:p>
            <w:pPr>
              <w:ind w:left="100"/>
              <w:spacing w:after="0" w:line="203" w:lineRule="exact"/>
              <w:rPr>
                <w:sz w:val="20"/>
                <w:szCs w:val="20"/>
                <w:color w:val="auto"/>
              </w:rPr>
            </w:pPr>
            <w:r>
              <w:rPr>
                <w:rFonts w:ascii="Courier New" w:cs="Courier New" w:eastAsia="Courier New" w:hAnsi="Courier New"/>
                <w:sz w:val="18"/>
                <w:szCs w:val="18"/>
                <w:color w:val="auto"/>
                <w:w w:val="99"/>
              </w:rPr>
              <w:t>(Thousands of dollars, except per share amounts)</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1993</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 - ----</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470,650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495,799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508,122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530,378</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2,004,949</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from operations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90,182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106,562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110,153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78,098</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384,995</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before</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extraordinary losses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cumulative effect</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changes in</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accounting principle (1)</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70,626</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41,628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30,901</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26,326</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169,481</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80,964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41,628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22,034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26,326</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170,952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attributable to</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stock (2)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80,964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41,628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22,034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13,576</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158,202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 per</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share:</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Earnings before</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extraordinary losses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cumulative effect</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changes in</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accounting principle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w:t>
            </w: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earnings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number of</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shares</w:t>
            </w:r>
          </w:p>
        </w:tc>
        <w:tc>
          <w:tcPr>
            <w:tcW w:w="2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120,479</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120,517</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120,645</w:t>
            </w:r>
          </w:p>
        </w:tc>
        <w:tc>
          <w:tcPr>
            <w:tcW w:w="2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120,782</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120,607</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1992</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 - ----</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430,568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451,053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471,498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511,564</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1,864,683</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from</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 (3)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83,399</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96,873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100,010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67,645</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347,927</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(loss) before</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extraordinary losses (4)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10,527</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45,049</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11,654</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66,085</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 (loss)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7,088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(14,826)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45,049</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11,654</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48,965</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 (loss)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common share:</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Earnings (loss) before</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extraordinary losses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.09</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earnings (loss)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.06</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number of</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shares</w:t>
            </w:r>
          </w:p>
        </w:tc>
        <w:tc>
          <w:tcPr>
            <w:tcW w:w="2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120,228</w:t>
            </w: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120,229</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120,230</w:t>
            </w:r>
          </w:p>
        </w:tc>
        <w:tc>
          <w:tcPr>
            <w:tcW w:w="2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120,250</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120,235</w:t>
            </w:r>
          </w:p>
        </w:tc>
      </w:tr>
    </w:tbl>
    <w:p>
      <w:pPr>
        <w:spacing w:after="0" w:line="200" w:lineRule="exact"/>
        <w:rPr>
          <w:sz w:val="20"/>
          <w:szCs w:val="20"/>
          <w:color w:val="auto"/>
        </w:rPr>
      </w:pPr>
    </w:p>
    <w:p>
      <w:pPr>
        <w:spacing w:after="0" w:line="209" w:lineRule="exact"/>
        <w:rPr>
          <w:sz w:val="20"/>
          <w:szCs w:val="20"/>
          <w:color w:val="auto"/>
        </w:rPr>
      </w:pPr>
    </w:p>
    <w:p>
      <w:pPr>
        <w:ind w:left="540" w:right="1879" w:hanging="532"/>
        <w:spacing w:after="0" w:line="236" w:lineRule="auto"/>
        <w:tabs>
          <w:tab w:leader="none" w:pos="435"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quarter of 1993 reflects a pre-tax gain of $55 million related to the sale of the stock of Viacom Cablevision of Wisconsin Inc. (See Note 14).</w:t>
      </w:r>
    </w:p>
    <w:p>
      <w:pPr>
        <w:spacing w:after="0" w:line="208" w:lineRule="exact"/>
        <w:rPr>
          <w:rFonts w:ascii="Courier New" w:cs="Courier New" w:eastAsia="Courier New" w:hAnsi="Courier New"/>
          <w:sz w:val="18"/>
          <w:szCs w:val="18"/>
          <w:color w:val="auto"/>
        </w:rPr>
      </w:pPr>
    </w:p>
    <w:p>
      <w:pPr>
        <w:ind w:left="540" w:right="2419" w:hanging="532"/>
        <w:spacing w:after="0" w:line="235" w:lineRule="auto"/>
        <w:tabs>
          <w:tab w:leader="none" w:pos="435"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fourth quarter of 1993 reflects Preferred Stock dividends of $12.8 million (See Note 6).</w:t>
      </w:r>
    </w:p>
    <w:p>
      <w:pPr>
        <w:spacing w:after="0" w:line="208" w:lineRule="exact"/>
        <w:rPr>
          <w:rFonts w:ascii="Courier New" w:cs="Courier New" w:eastAsia="Courier New" w:hAnsi="Courier New"/>
          <w:sz w:val="18"/>
          <w:szCs w:val="18"/>
          <w:color w:val="auto"/>
        </w:rPr>
      </w:pPr>
    </w:p>
    <w:p>
      <w:pPr>
        <w:ind w:left="540" w:right="1879" w:hanging="532"/>
        <w:spacing w:after="0" w:line="237" w:lineRule="auto"/>
        <w:tabs>
          <w:tab w:leader="none" w:pos="435"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third quarter of 1992 reflects a reversal of compensation expense associated with the Long-Term Incentive Plans. The fourth quarter of 1992 reflects a significant expense associated with the Long-Term Incentive Plans. The fluctuations in compensation expense associated with the Long-Term Incentive Plans for the third and fourth quarter of 1992 resulted primarily from the fluctuations in market value of Viacom Inc.'s Common Stock (See Note 6).</w:t>
      </w:r>
    </w:p>
    <w:p>
      <w:pPr>
        <w:spacing w:after="0" w:line="211" w:lineRule="exact"/>
        <w:rPr>
          <w:rFonts w:ascii="Courier New" w:cs="Courier New" w:eastAsia="Courier New" w:hAnsi="Courier New"/>
          <w:sz w:val="18"/>
          <w:szCs w:val="18"/>
          <w:color w:val="auto"/>
        </w:rPr>
      </w:pPr>
    </w:p>
    <w:p>
      <w:pPr>
        <w:ind w:left="540" w:right="1999" w:hanging="532"/>
        <w:spacing w:after="0" w:line="237" w:lineRule="auto"/>
        <w:tabs>
          <w:tab w:leader="none" w:pos="435"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second quarter of 1992 reflects the reserve for litigation of $33 million related to a summary judgment against the Company in a dispute with CBS Inc. The third quarter of 1992 reflects a gain of $35 million related to certain aspects of the settlement of the Time Warner antitrust lawsuit (See Note 14).</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II-60</w:t>
      </w:r>
    </w:p>
    <w:p>
      <w:pPr>
        <w:sectPr>
          <w:pgSz w:w="11900" w:h="16838" w:orient="portrait"/>
          <w:cols w:equalWidth="0" w:num="1">
            <w:col w:w="10219"/>
          </w:cols>
          <w:pgMar w:left="240" w:top="717" w:right="1440" w:bottom="0" w:gutter="0" w:footer="0" w:header="0"/>
        </w:sectPr>
      </w:pPr>
    </w:p>
    <w:bookmarkStart w:id="115" w:name="page116"/>
    <w:bookmarkEnd w:id="115"/>
    <w:tbl>
      <w:tblPr>
        <w:tblLayout w:type="fixed"/>
        <w:tblInd w:w="1280" w:type="dxa"/>
        <w:tblCellMar>
          <w:top w:w="0" w:type="dxa"/>
          <w:left w:w="0" w:type="dxa"/>
          <w:bottom w:w="0" w:type="dxa"/>
          <w:right w:w="0" w:type="dxa"/>
        </w:tblCellMar>
      </w:tblPr>
      <w:tr>
        <w:trPr>
          <w:trHeight w:val="204"/>
        </w:trPr>
        <w:tc>
          <w:tcPr>
            <w:tcW w:w="2780" w:type="dxa"/>
            <w:vAlign w:val="bottom"/>
          </w:tcPr>
          <w:p>
            <w:pPr>
              <w:jc w:val="right"/>
              <w:spacing w:after="0"/>
              <w:rPr>
                <w:sz w:val="20"/>
                <w:szCs w:val="20"/>
                <w:color w:val="auto"/>
              </w:rPr>
            </w:pPr>
            <w:r>
              <w:rPr>
                <w:rFonts w:ascii="Courier New" w:cs="Courier New" w:eastAsia="Courier New" w:hAnsi="Courier New"/>
                <w:sz w:val="18"/>
                <w:szCs w:val="18"/>
                <w:color w:val="auto"/>
              </w:rPr>
              <w:t>VIACOM</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INC.</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AND</w:t>
            </w:r>
          </w:p>
        </w:tc>
        <w:tc>
          <w:tcPr>
            <w:tcW w:w="1940" w:type="dxa"/>
            <w:vAlign w:val="bottom"/>
          </w:tcPr>
          <w:p>
            <w:pPr>
              <w:spacing w:after="0"/>
              <w:rPr>
                <w:sz w:val="17"/>
                <w:szCs w:val="17"/>
                <w:color w:val="auto"/>
              </w:rPr>
            </w:pPr>
          </w:p>
        </w:tc>
      </w:tr>
      <w:tr>
        <w:trPr>
          <w:trHeight w:val="203"/>
        </w:trPr>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VIACOM INTERNATIONAL</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SUBSIDIARIES</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NOTES TO CONSOLIDATED FINANCIAL</w:t>
            </w:r>
          </w:p>
        </w:tc>
        <w:tc>
          <w:tcPr>
            <w:tcW w:w="2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STATEMENTS (continued)</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 OTHER ITEMS, NET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part of the settlement of the Time Warner antitrust lawsuit, the Company sold all the stock of Viacom Cablevision of Wisconsin, Inc. to Warner Communications Inc. ("Warner"). This transaction was effective on January 1, 1993. As consideration for the stock, Warner paid the sum of $46 million plus repayment of debt under the Credit Agreement in the amount of $49 million, resulting in a pre-tax gain of approximately $55 million reflected in "Other items, net." Also reflected in this line item is the net gain on the sale of a portion of an investment held at cost and adjustments to previously established non-operating litigation reserves, and other items.</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"Other items, net" reflects a gain of $35 million recorded in the third quarter of 1992; this gain represents payments received in the third quarter relating to certain aspects of the settlement of the Time Warner antitrust lawsuit, net of the Company's 1992 legal expenses related to this lawsuit.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"Other items, net" also reflects a reserve for litigation of $33 million during the second quarter of 1992 related to a summary judgment against Viacom in a dispute with CBS Inc. arising under the 1970 agreement associated with the spin-off of Viacom International Inc. by CBS Inc. On July 30, 1993, the Company settled all disputes arising under the above litigation.</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September 1991, the Company recorded a reserve for its investment in a start-up joint venture. On August 16, 1991, the Company sold 129,837 shares of Turner Broadcasting System, Inc. Class B Common Stock for approximately $1.9 million. These transactions resulted in a pre-tax loss of approximately $6.5 million, which is reflected in "Other items, net."</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II-61</w:t>
      </w:r>
    </w:p>
    <w:p>
      <w:pPr>
        <w:sectPr>
          <w:pgSz w:w="11900" w:h="16838" w:orient="portrait"/>
          <w:cols w:equalWidth="0" w:num="1">
            <w:col w:w="10219"/>
          </w:cols>
          <w:pgMar w:left="240" w:top="717" w:right="1440" w:bottom="1440" w:gutter="0" w:footer="0" w:header="0"/>
        </w:sectPr>
      </w:pPr>
    </w:p>
    <w:bookmarkStart w:id="116" w:name="page117"/>
    <w:bookmarkEnd w:id="116"/>
    <w:p>
      <w:pPr>
        <w:jc w:val="center"/>
        <w:ind w:right="1879"/>
        <w:spacing w:after="0"/>
        <w:rPr>
          <w:sz w:val="20"/>
          <w:szCs w:val="20"/>
          <w:color w:val="auto"/>
        </w:rPr>
      </w:pPr>
      <w:r>
        <w:rPr>
          <w:rFonts w:ascii="Courier New" w:cs="Courier New" w:eastAsia="Courier New" w:hAnsi="Courier New"/>
          <w:sz w:val="18"/>
          <w:szCs w:val="18"/>
          <w:color w:val="auto"/>
        </w:rPr>
        <w:t>VIACOM INC. AND</w:t>
      </w:r>
    </w:p>
    <w:p>
      <w:pPr>
        <w:jc w:val="center"/>
        <w:ind w:right="1979"/>
        <w:spacing w:after="0" w:line="238" w:lineRule="auto"/>
        <w:rPr>
          <w:sz w:val="20"/>
          <w:szCs w:val="20"/>
          <w:color w:val="auto"/>
        </w:rPr>
      </w:pPr>
      <w:r>
        <w:rPr>
          <w:rFonts w:ascii="Courier New" w:cs="Courier New" w:eastAsia="Courier New" w:hAnsi="Courier New"/>
          <w:sz w:val="18"/>
          <w:szCs w:val="18"/>
          <w:color w:val="auto"/>
        </w:rPr>
        <w:t>VIACOM INTERNATIONAL INC. AND SUBSIDIARIES</w:t>
      </w:r>
    </w:p>
    <w:p>
      <w:pPr>
        <w:jc w:val="center"/>
        <w:ind w:right="19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20"/>
                <w:szCs w:val="20"/>
                <w:color w:val="auto"/>
              </w:rPr>
            </w:pPr>
            <w:r>
              <w:rPr>
                <w:rFonts w:ascii="Courier New" w:cs="Courier New" w:eastAsia="Courier New" w:hAnsi="Courier New"/>
                <w:sz w:val="18"/>
                <w:szCs w:val="18"/>
                <w:color w:val="auto"/>
              </w:rPr>
              <w:t>15) SUPPLEMENTAL CASH FLOW INFORMATION</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5020" w:type="dxa"/>
            <w:vAlign w:val="bottom"/>
          </w:tcPr>
          <w:p>
            <w:pPr>
              <w:spacing w:after="0"/>
              <w:rPr>
                <w:sz w:val="24"/>
                <w:szCs w:val="24"/>
                <w:color w:val="auto"/>
              </w:rPr>
            </w:pPr>
          </w:p>
        </w:tc>
        <w:tc>
          <w:tcPr>
            <w:tcW w:w="3000" w:type="dxa"/>
            <w:vAlign w:val="bottom"/>
            <w:gridSpan w:val="3"/>
          </w:tcPr>
          <w:p>
            <w:pPr>
              <w:ind w:left="360"/>
              <w:spacing w:after="0"/>
              <w:rPr>
                <w:sz w:val="20"/>
                <w:szCs w:val="20"/>
                <w:color w:val="auto"/>
              </w:rPr>
            </w:pPr>
            <w:r>
              <w:rPr>
                <w:rFonts w:ascii="Courier New" w:cs="Courier New" w:eastAsia="Courier New" w:hAnsi="Courier New"/>
                <w:sz w:val="18"/>
                <w:szCs w:val="18"/>
                <w:color w:val="auto"/>
              </w:rPr>
              <w:t>Year Ended December 31,</w:t>
            </w:r>
          </w:p>
        </w:tc>
      </w:tr>
      <w:tr>
        <w:trPr>
          <w:trHeight w:val="203"/>
        </w:trPr>
        <w:tc>
          <w:tcPr>
            <w:tcW w:w="5020" w:type="dxa"/>
            <w:vAlign w:val="bottom"/>
          </w:tcPr>
          <w:p>
            <w:pPr>
              <w:spacing w:after="0"/>
              <w:rPr>
                <w:sz w:val="17"/>
                <w:szCs w:val="17"/>
                <w:color w:val="auto"/>
              </w:rPr>
            </w:pPr>
          </w:p>
        </w:tc>
        <w:tc>
          <w:tcPr>
            <w:tcW w:w="30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1993</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1992</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1991</w:t>
            </w:r>
          </w:p>
        </w:tc>
      </w:tr>
      <w:tr>
        <w:trPr>
          <w:trHeight w:val="203"/>
        </w:trPr>
        <w:tc>
          <w:tcPr>
            <w:tcW w:w="502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rPr>
                <w:sz w:val="17"/>
                <w:szCs w:val="17"/>
                <w:color w:val="auto"/>
              </w:rPr>
            </w:pPr>
          </w:p>
        </w:tc>
        <w:tc>
          <w:tcPr>
            <w:tcW w:w="3000" w:type="dxa"/>
            <w:vAlign w:val="bottom"/>
            <w:gridSpan w:val="3"/>
          </w:tcPr>
          <w:p>
            <w:pPr>
              <w:ind w:left="360"/>
              <w:spacing w:after="0" w:line="203" w:lineRule="exact"/>
              <w:rPr>
                <w:sz w:val="20"/>
                <w:szCs w:val="20"/>
                <w:color w:val="auto"/>
              </w:rPr>
            </w:pPr>
            <w:r>
              <w:rPr>
                <w:rFonts w:ascii="Courier New" w:cs="Courier New" w:eastAsia="Courier New" w:hAnsi="Courier New"/>
                <w:sz w:val="18"/>
                <w:szCs w:val="18"/>
                <w:color w:val="auto"/>
              </w:rPr>
              <w:t>(Thousands of dollars)</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payments for interest net of</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$167,383</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$194,879</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$233,904</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amounts capitalized</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payments for income taxes</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32,675</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50,738</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24,539</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received for income taxes</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1,074</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3,301</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Supplemental schedule of non-cash financing</w:t>
            </w: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investing activities:</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 Common stock issued as</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satisfaction for LTIP liability</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6,894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Equipment acquired under capitalized leases</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44,381</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26,192</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B Common Stock issued to acquire the remaining</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50.01% interest in MTV EUROPE</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II-62</w:t>
      </w:r>
    </w:p>
    <w:p>
      <w:pPr>
        <w:sectPr>
          <w:pgSz w:w="11900" w:h="16838" w:orient="portrait"/>
          <w:cols w:equalWidth="0" w:num="1">
            <w:col w:w="10219"/>
          </w:cols>
          <w:pgMar w:left="240" w:top="717" w:right="1440" w:bottom="1440" w:gutter="0" w:footer="0" w:header="0"/>
        </w:sectPr>
      </w:pPr>
    </w:p>
    <w:bookmarkStart w:id="117" w:name="page118"/>
    <w:bookmarkEnd w:id="117"/>
    <w:p>
      <w:pPr>
        <w:spacing w:after="0"/>
        <w:rPr>
          <w:sz w:val="20"/>
          <w:szCs w:val="20"/>
          <w:color w:val="auto"/>
        </w:rPr>
      </w:pPr>
      <w:r>
        <w:rPr>
          <w:rFonts w:ascii="Courier New" w:cs="Courier New" w:eastAsia="Courier New" w:hAnsi="Courier New"/>
          <w:sz w:val="16"/>
          <w:szCs w:val="16"/>
          <w:color w:val="auto"/>
        </w:rPr>
        <w:t>ITEM 9. DISAGREEMENTS ON ACCOUNTING AND FINANCIAL DISCLOSURE.</w:t>
      </w:r>
    </w:p>
    <w:p>
      <w:pPr>
        <w:sectPr>
          <w:pgSz w:w="11900" w:h="16838" w:orient="portrait"/>
          <w:cols w:equalWidth="0" w:num="1">
            <w:col w:w="10219"/>
          </w:cols>
          <w:pgMar w:left="240" w:top="722" w:right="1440" w:bottom="1440" w:gutter="0" w:footer="0" w:header="0"/>
        </w:sectPr>
      </w:pP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II-63</w:t>
      </w:r>
    </w:p>
    <w:p>
      <w:pPr>
        <w:sectPr>
          <w:pgSz w:w="11900" w:h="16838" w:orient="portrait"/>
          <w:cols w:equalWidth="0" w:num="1">
            <w:col w:w="10219"/>
          </w:cols>
          <w:pgMar w:left="240" w:top="722" w:right="1440" w:bottom="1440" w:gutter="0" w:footer="0" w:header="0"/>
          <w:type w:val="continuous"/>
        </w:sectPr>
      </w:pPr>
    </w:p>
    <w:bookmarkStart w:id="118" w:name="page119"/>
    <w:bookmarkEnd w:id="118"/>
    <w:p>
      <w:pPr>
        <w:ind w:left="320"/>
        <w:spacing w:after="0"/>
        <w:rPr>
          <w:sz w:val="20"/>
          <w:szCs w:val="20"/>
          <w:color w:val="auto"/>
        </w:rPr>
      </w:pPr>
      <w:r>
        <w:rPr>
          <w:rFonts w:ascii="Courier New" w:cs="Courier New" w:eastAsia="Courier New" w:hAnsi="Courier New"/>
          <w:sz w:val="18"/>
          <w:szCs w:val="18"/>
          <w:color w:val="auto"/>
        </w:rPr>
        <w:t>VIACOM INC. AND VIACOM INTERNATIONAL INC.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INDEX TO FINANCIAL STATEMENTS AND SCHEDULES</w:t>
      </w:r>
    </w:p>
    <w:p>
      <w:pPr>
        <w:spacing w:after="0" w:line="200" w:lineRule="exact"/>
        <w:rPr>
          <w:sz w:val="20"/>
          <w:szCs w:val="20"/>
          <w:color w:val="auto"/>
        </w:rPr>
      </w:pPr>
    </w:p>
    <w:p>
      <w:pPr>
        <w:spacing w:after="0" w:line="209" w:lineRule="exact"/>
        <w:rPr>
          <w:sz w:val="20"/>
          <w:szCs w:val="20"/>
          <w:color w:val="auto"/>
        </w:rPr>
      </w:pPr>
    </w:p>
    <w:p>
      <w:pPr>
        <w:jc w:val="both"/>
        <w:ind w:right="2739"/>
        <w:spacing w:after="0" w:line="236" w:lineRule="auto"/>
        <w:rPr>
          <w:sz w:val="20"/>
          <w:szCs w:val="20"/>
          <w:color w:val="auto"/>
        </w:rPr>
      </w:pPr>
      <w:r>
        <w:rPr>
          <w:rFonts w:ascii="Courier New" w:cs="Courier New" w:eastAsia="Courier New" w:hAnsi="Courier New"/>
          <w:sz w:val="18"/>
          <w:szCs w:val="18"/>
          <w:color w:val="auto"/>
        </w:rPr>
        <w:t>The following consolidated financial statements and schedules of the registrant and its subsidiaries are submitted herewith as part of this report: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8"/>
                <w:szCs w:val="18"/>
                <w:color w:val="auto"/>
                <w:w w:val="96"/>
              </w:rPr>
              <w:t>Reference</w:t>
            </w:r>
          </w:p>
        </w:tc>
      </w:tr>
      <w:tr>
        <w:trPr>
          <w:trHeight w:val="203"/>
        </w:trPr>
        <w:tc>
          <w:tcPr>
            <w:tcW w:w="26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(Page/s)</w:t>
            </w:r>
          </w:p>
        </w:tc>
      </w:tr>
      <w:tr>
        <w:trPr>
          <w:trHeight w:val="203"/>
        </w:trPr>
        <w:tc>
          <w:tcPr>
            <w:tcW w:w="26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6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5480" w:type="dxa"/>
            <w:vAlign w:val="bottom"/>
          </w:tcPr>
          <w:p>
            <w:pPr>
              <w:jc w:val="right"/>
              <w:spacing w:after="0"/>
              <w:rPr>
                <w:sz w:val="20"/>
                <w:szCs w:val="20"/>
                <w:color w:val="auto"/>
              </w:rPr>
            </w:pPr>
            <w:r>
              <w:rPr>
                <w:rFonts w:ascii="Courier New" w:cs="Courier New" w:eastAsia="Courier New" w:hAnsi="Courier New"/>
                <w:sz w:val="18"/>
                <w:szCs w:val="18"/>
                <w:color w:val="auto"/>
                <w:w w:val="98"/>
              </w:rPr>
              <w:t>Report of Independent Accountants..................</w:t>
            </w:r>
          </w:p>
        </w:tc>
        <w:tc>
          <w:tcPr>
            <w:tcW w:w="1220" w:type="dxa"/>
            <w:vAlign w:val="bottom"/>
          </w:tcPr>
          <w:p>
            <w:pPr>
              <w:jc w:val="center"/>
              <w:spacing w:after="0"/>
              <w:rPr>
                <w:sz w:val="20"/>
                <w:szCs w:val="20"/>
                <w:color w:val="auto"/>
              </w:rPr>
            </w:pPr>
            <w:r>
              <w:rPr>
                <w:rFonts w:ascii="Courier New" w:cs="Courier New" w:eastAsia="Courier New" w:hAnsi="Courier New"/>
                <w:sz w:val="18"/>
                <w:szCs w:val="18"/>
                <w:color w:val="auto"/>
                <w:w w:val="96"/>
              </w:rPr>
              <w:t>II-32</w:t>
            </w:r>
          </w:p>
        </w:tc>
      </w:tr>
      <w:tr>
        <w:trPr>
          <w:trHeight w:val="405"/>
        </w:trPr>
        <w:tc>
          <w:tcPr>
            <w:tcW w:w="26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5480" w:type="dxa"/>
            <w:vAlign w:val="bottom"/>
          </w:tcPr>
          <w:p>
            <w:pPr>
              <w:jc w:val="right"/>
              <w:ind w:right="692"/>
              <w:spacing w:after="0"/>
              <w:rPr>
                <w:sz w:val="20"/>
                <w:szCs w:val="20"/>
                <w:color w:val="auto"/>
              </w:rPr>
            </w:pPr>
            <w:r>
              <w:rPr>
                <w:rFonts w:ascii="Courier New" w:cs="Courier New" w:eastAsia="Courier New" w:hAnsi="Courier New"/>
                <w:sz w:val="18"/>
                <w:szCs w:val="18"/>
                <w:color w:val="auto"/>
                <w:w w:val="98"/>
              </w:rPr>
              <w:t>Management's Statement of Responsibility for</w:t>
            </w:r>
          </w:p>
        </w:tc>
        <w:tc>
          <w:tcPr>
            <w:tcW w:w="1220" w:type="dxa"/>
            <w:vAlign w:val="bottom"/>
          </w:tcPr>
          <w:p>
            <w:pPr>
              <w:spacing w:after="0"/>
              <w:rPr>
                <w:sz w:val="24"/>
                <w:szCs w:val="24"/>
                <w:color w:val="auto"/>
              </w:rPr>
            </w:pPr>
          </w:p>
        </w:tc>
      </w:tr>
      <w:tr>
        <w:trPr>
          <w:trHeight w:val="203"/>
        </w:trPr>
        <w:tc>
          <w:tcPr>
            <w:tcW w:w="260" w:type="dxa"/>
            <w:vAlign w:val="bottom"/>
          </w:tcPr>
          <w:p>
            <w:pPr>
              <w:spacing w:after="0"/>
              <w:rPr>
                <w:sz w:val="17"/>
                <w:szCs w:val="17"/>
                <w:color w:val="auto"/>
              </w:rPr>
            </w:pPr>
          </w:p>
        </w:tc>
        <w:tc>
          <w:tcPr>
            <w:tcW w:w="5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Financial Reporting................................</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II-33</w:t>
            </w:r>
          </w:p>
        </w:tc>
      </w:tr>
      <w:tr>
        <w:trPr>
          <w:trHeight w:val="405"/>
        </w:trPr>
        <w:tc>
          <w:tcPr>
            <w:tcW w:w="26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5480" w:type="dxa"/>
            <w:vAlign w:val="bottom"/>
          </w:tcPr>
          <w:p>
            <w:pPr>
              <w:jc w:val="right"/>
              <w:spacing w:after="0"/>
              <w:rPr>
                <w:sz w:val="20"/>
                <w:szCs w:val="20"/>
                <w:color w:val="auto"/>
              </w:rPr>
            </w:pPr>
            <w:r>
              <w:rPr>
                <w:rFonts w:ascii="Courier New" w:cs="Courier New" w:eastAsia="Courier New" w:hAnsi="Courier New"/>
                <w:sz w:val="18"/>
                <w:szCs w:val="18"/>
                <w:color w:val="auto"/>
                <w:w w:val="98"/>
              </w:rPr>
              <w:t>Consolidated Statements of Operations for the years</w:t>
            </w:r>
          </w:p>
        </w:tc>
        <w:tc>
          <w:tcPr>
            <w:tcW w:w="1220" w:type="dxa"/>
            <w:vAlign w:val="bottom"/>
          </w:tcPr>
          <w:p>
            <w:pPr>
              <w:spacing w:after="0"/>
              <w:rPr>
                <w:sz w:val="24"/>
                <w:szCs w:val="24"/>
                <w:color w:val="auto"/>
              </w:rPr>
            </w:pPr>
          </w:p>
        </w:tc>
      </w:tr>
      <w:tr>
        <w:trPr>
          <w:trHeight w:val="203"/>
        </w:trPr>
        <w:tc>
          <w:tcPr>
            <w:tcW w:w="260" w:type="dxa"/>
            <w:vAlign w:val="bottom"/>
          </w:tcPr>
          <w:p>
            <w:pPr>
              <w:spacing w:after="0"/>
              <w:rPr>
                <w:sz w:val="17"/>
                <w:szCs w:val="17"/>
                <w:color w:val="auto"/>
              </w:rPr>
            </w:pPr>
          </w:p>
        </w:tc>
        <w:tc>
          <w:tcPr>
            <w:tcW w:w="5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ended December 31, 1993, 1992, and 1991...........</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II-34</w:t>
            </w:r>
          </w:p>
        </w:tc>
      </w:tr>
      <w:tr>
        <w:trPr>
          <w:trHeight w:val="405"/>
        </w:trPr>
        <w:tc>
          <w:tcPr>
            <w:tcW w:w="26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5480" w:type="dxa"/>
            <w:vAlign w:val="bottom"/>
          </w:tcPr>
          <w:p>
            <w:pPr>
              <w:jc w:val="right"/>
              <w:spacing w:after="0"/>
              <w:rPr>
                <w:sz w:val="20"/>
                <w:szCs w:val="20"/>
                <w:color w:val="auto"/>
              </w:rPr>
            </w:pPr>
            <w:r>
              <w:rPr>
                <w:rFonts w:ascii="Courier New" w:cs="Courier New" w:eastAsia="Courier New" w:hAnsi="Courier New"/>
                <w:sz w:val="18"/>
                <w:szCs w:val="18"/>
                <w:color w:val="auto"/>
                <w:w w:val="98"/>
              </w:rPr>
              <w:t>Consolidated Balance Sheets as of December 31, 1993</w:t>
            </w:r>
          </w:p>
        </w:tc>
        <w:tc>
          <w:tcPr>
            <w:tcW w:w="1220" w:type="dxa"/>
            <w:vAlign w:val="bottom"/>
          </w:tcPr>
          <w:p>
            <w:pPr>
              <w:spacing w:after="0"/>
              <w:rPr>
                <w:sz w:val="24"/>
                <w:szCs w:val="24"/>
                <w:color w:val="auto"/>
              </w:rPr>
            </w:pPr>
          </w:p>
        </w:tc>
      </w:tr>
      <w:tr>
        <w:trPr>
          <w:trHeight w:val="203"/>
        </w:trPr>
        <w:tc>
          <w:tcPr>
            <w:tcW w:w="260" w:type="dxa"/>
            <w:vAlign w:val="bottom"/>
          </w:tcPr>
          <w:p>
            <w:pPr>
              <w:spacing w:after="0"/>
              <w:rPr>
                <w:sz w:val="17"/>
                <w:szCs w:val="17"/>
                <w:color w:val="auto"/>
              </w:rPr>
            </w:pPr>
          </w:p>
        </w:tc>
        <w:tc>
          <w:tcPr>
            <w:tcW w:w="5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and 1992...........................................</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II-35-II-36</w:t>
            </w:r>
          </w:p>
        </w:tc>
      </w:tr>
      <w:tr>
        <w:trPr>
          <w:trHeight w:val="405"/>
        </w:trPr>
        <w:tc>
          <w:tcPr>
            <w:tcW w:w="26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5480" w:type="dxa"/>
            <w:vAlign w:val="bottom"/>
          </w:tcPr>
          <w:p>
            <w:pPr>
              <w:jc w:val="right"/>
              <w:spacing w:after="0"/>
              <w:rPr>
                <w:sz w:val="20"/>
                <w:szCs w:val="20"/>
                <w:color w:val="auto"/>
              </w:rPr>
            </w:pPr>
            <w:r>
              <w:rPr>
                <w:rFonts w:ascii="Courier New" w:cs="Courier New" w:eastAsia="Courier New" w:hAnsi="Courier New"/>
                <w:sz w:val="18"/>
                <w:szCs w:val="18"/>
                <w:color w:val="auto"/>
                <w:w w:val="98"/>
              </w:rPr>
              <w:t>Consolidated Statements of Cash Flows for the years</w:t>
            </w:r>
          </w:p>
        </w:tc>
        <w:tc>
          <w:tcPr>
            <w:tcW w:w="1220" w:type="dxa"/>
            <w:vAlign w:val="bottom"/>
          </w:tcPr>
          <w:p>
            <w:pPr>
              <w:spacing w:after="0"/>
              <w:rPr>
                <w:sz w:val="24"/>
                <w:szCs w:val="24"/>
                <w:color w:val="auto"/>
              </w:rPr>
            </w:pPr>
          </w:p>
        </w:tc>
      </w:tr>
      <w:tr>
        <w:trPr>
          <w:trHeight w:val="203"/>
        </w:trPr>
        <w:tc>
          <w:tcPr>
            <w:tcW w:w="260" w:type="dxa"/>
            <w:vAlign w:val="bottom"/>
          </w:tcPr>
          <w:p>
            <w:pPr>
              <w:spacing w:after="0"/>
              <w:rPr>
                <w:sz w:val="17"/>
                <w:szCs w:val="17"/>
                <w:color w:val="auto"/>
              </w:rPr>
            </w:pPr>
          </w:p>
        </w:tc>
        <w:tc>
          <w:tcPr>
            <w:tcW w:w="5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ended December 31, 1993, 1992 and 1991...........</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II-37</w:t>
            </w:r>
          </w:p>
        </w:tc>
      </w:tr>
      <w:tr>
        <w:trPr>
          <w:trHeight w:val="405"/>
        </w:trPr>
        <w:tc>
          <w:tcPr>
            <w:tcW w:w="260" w:type="dxa"/>
            <w:vAlign w:val="bottom"/>
          </w:tcPr>
          <w:p>
            <w:pPr>
              <w:spacing w:after="0"/>
              <w:rPr>
                <w:sz w:val="20"/>
                <w:szCs w:val="20"/>
                <w:color w:val="auto"/>
              </w:rPr>
            </w:pPr>
            <w:r>
              <w:rPr>
                <w:rFonts w:ascii="Courier New" w:cs="Courier New" w:eastAsia="Courier New" w:hAnsi="Courier New"/>
                <w:sz w:val="18"/>
                <w:szCs w:val="18"/>
                <w:color w:val="auto"/>
              </w:rPr>
              <w:t>6.</w:t>
            </w:r>
          </w:p>
        </w:tc>
        <w:tc>
          <w:tcPr>
            <w:tcW w:w="5480" w:type="dxa"/>
            <w:vAlign w:val="bottom"/>
          </w:tcPr>
          <w:p>
            <w:pPr>
              <w:jc w:val="right"/>
              <w:spacing w:after="0"/>
              <w:rPr>
                <w:sz w:val="20"/>
                <w:szCs w:val="20"/>
                <w:color w:val="auto"/>
              </w:rPr>
            </w:pPr>
            <w:r>
              <w:rPr>
                <w:rFonts w:ascii="Courier New" w:cs="Courier New" w:eastAsia="Courier New" w:hAnsi="Courier New"/>
                <w:sz w:val="18"/>
                <w:szCs w:val="18"/>
                <w:color w:val="auto"/>
                <w:w w:val="98"/>
              </w:rPr>
              <w:t>Consolidated Statements of Shareholders' Equity for</w:t>
            </w:r>
          </w:p>
        </w:tc>
        <w:tc>
          <w:tcPr>
            <w:tcW w:w="1220" w:type="dxa"/>
            <w:vAlign w:val="bottom"/>
          </w:tcPr>
          <w:p>
            <w:pPr>
              <w:spacing w:after="0"/>
              <w:rPr>
                <w:sz w:val="24"/>
                <w:szCs w:val="24"/>
                <w:color w:val="auto"/>
              </w:rPr>
            </w:pPr>
          </w:p>
        </w:tc>
      </w:tr>
      <w:tr>
        <w:trPr>
          <w:trHeight w:val="203"/>
        </w:trPr>
        <w:tc>
          <w:tcPr>
            <w:tcW w:w="260" w:type="dxa"/>
            <w:vAlign w:val="bottom"/>
          </w:tcPr>
          <w:p>
            <w:pPr>
              <w:spacing w:after="0"/>
              <w:rPr>
                <w:sz w:val="17"/>
                <w:szCs w:val="17"/>
                <w:color w:val="auto"/>
              </w:rPr>
            </w:pPr>
          </w:p>
        </w:tc>
        <w:tc>
          <w:tcPr>
            <w:tcW w:w="5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the years ended December 31, 1993, 1992 and 1991...</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II-38</w:t>
            </w:r>
          </w:p>
        </w:tc>
      </w:tr>
      <w:tr>
        <w:trPr>
          <w:trHeight w:val="405"/>
        </w:trPr>
        <w:tc>
          <w:tcPr>
            <w:tcW w:w="260" w:type="dxa"/>
            <w:vAlign w:val="bottom"/>
          </w:tcPr>
          <w:p>
            <w:pPr>
              <w:spacing w:after="0"/>
              <w:rPr>
                <w:sz w:val="20"/>
                <w:szCs w:val="20"/>
                <w:color w:val="auto"/>
              </w:rPr>
            </w:pPr>
            <w:r>
              <w:rPr>
                <w:rFonts w:ascii="Courier New" w:cs="Courier New" w:eastAsia="Courier New" w:hAnsi="Courier New"/>
                <w:sz w:val="18"/>
                <w:szCs w:val="18"/>
                <w:color w:val="auto"/>
              </w:rPr>
              <w:t>7.</w:t>
            </w:r>
          </w:p>
        </w:tc>
        <w:tc>
          <w:tcPr>
            <w:tcW w:w="5480" w:type="dxa"/>
            <w:vAlign w:val="bottom"/>
          </w:tcPr>
          <w:p>
            <w:pPr>
              <w:jc w:val="right"/>
              <w:spacing w:after="0"/>
              <w:rPr>
                <w:sz w:val="20"/>
                <w:szCs w:val="20"/>
                <w:color w:val="auto"/>
              </w:rPr>
            </w:pPr>
            <w:r>
              <w:rPr>
                <w:rFonts w:ascii="Courier New" w:cs="Courier New" w:eastAsia="Courier New" w:hAnsi="Courier New"/>
                <w:sz w:val="18"/>
                <w:szCs w:val="18"/>
                <w:color w:val="auto"/>
                <w:w w:val="98"/>
              </w:rPr>
              <w:t>Notes to Consolidated Financial Statements.........</w:t>
            </w:r>
          </w:p>
        </w:tc>
        <w:tc>
          <w:tcPr>
            <w:tcW w:w="1220" w:type="dxa"/>
            <w:vAlign w:val="bottom"/>
          </w:tcPr>
          <w:p>
            <w:pPr>
              <w:jc w:val="center"/>
              <w:spacing w:after="0"/>
              <w:rPr>
                <w:sz w:val="20"/>
                <w:szCs w:val="20"/>
                <w:color w:val="auto"/>
              </w:rPr>
            </w:pPr>
            <w:r>
              <w:rPr>
                <w:rFonts w:ascii="Courier New" w:cs="Courier New" w:eastAsia="Courier New" w:hAnsi="Courier New"/>
                <w:sz w:val="18"/>
                <w:szCs w:val="18"/>
                <w:color w:val="auto"/>
                <w:w w:val="97"/>
              </w:rPr>
              <w:t>II-39-II-62</w:t>
            </w:r>
          </w:p>
        </w:tc>
      </w:tr>
      <w:tr>
        <w:trPr>
          <w:trHeight w:val="405"/>
        </w:trPr>
        <w:tc>
          <w:tcPr>
            <w:tcW w:w="5740" w:type="dxa"/>
            <w:vAlign w:val="bottom"/>
            <w:gridSpan w:val="2"/>
          </w:tcPr>
          <w:p>
            <w:pPr>
              <w:spacing w:after="0"/>
              <w:rPr>
                <w:sz w:val="20"/>
                <w:szCs w:val="20"/>
                <w:color w:val="auto"/>
              </w:rPr>
            </w:pPr>
            <w:r>
              <w:rPr>
                <w:rFonts w:ascii="Courier New" w:cs="Courier New" w:eastAsia="Courier New" w:hAnsi="Courier New"/>
                <w:sz w:val="18"/>
                <w:szCs w:val="18"/>
                <w:color w:val="auto"/>
              </w:rPr>
              <w:t>Report of Independent Accountants on Financial</w:t>
            </w:r>
          </w:p>
        </w:tc>
        <w:tc>
          <w:tcPr>
            <w:tcW w:w="1220" w:type="dxa"/>
            <w:vAlign w:val="bottom"/>
          </w:tcPr>
          <w:p>
            <w:pPr>
              <w:spacing w:after="0"/>
              <w:rPr>
                <w:sz w:val="24"/>
                <w:szCs w:val="24"/>
                <w:color w:val="auto"/>
              </w:rPr>
            </w:pPr>
          </w:p>
        </w:tc>
      </w:tr>
      <w:tr>
        <w:trPr>
          <w:trHeight w:val="203"/>
        </w:trPr>
        <w:tc>
          <w:tcPr>
            <w:tcW w:w="5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Statement Schedules...................................</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F-2</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Statement Schedules:</w:t>
      </w:r>
    </w:p>
    <w:p>
      <w:pPr>
        <w:spacing w:after="0" w:line="201" w:lineRule="exact"/>
        <w:rPr>
          <w:sz w:val="20"/>
          <w:szCs w:val="20"/>
          <w:color w:val="auto"/>
        </w:rPr>
      </w:pPr>
    </w:p>
    <w:p>
      <w:pPr>
        <w:ind w:left="1480" w:hanging="530"/>
        <w:spacing w:after="0"/>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receivable from related parties.</w:t>
      </w:r>
      <w:r>
        <w:rPr>
          <w:rFonts w:ascii="Courier New" w:cs="Courier New" w:eastAsia="Courier New" w:hAnsi="Courier New"/>
          <w:sz w:val="16"/>
          <w:szCs w:val="16"/>
          <w:color w:val="auto"/>
        </w:rPr>
        <w:t>F-3</w:t>
      </w:r>
    </w:p>
    <w:p>
      <w:pPr>
        <w:spacing w:after="0" w:line="201" w:lineRule="exact"/>
        <w:rPr>
          <w:sz w:val="20"/>
          <w:szCs w:val="20"/>
          <w:color w:val="auto"/>
        </w:rPr>
      </w:pPr>
    </w:p>
    <w:tbl>
      <w:tblPr>
        <w:tblLayout w:type="fixed"/>
        <w:tblInd w:w="520" w:type="dxa"/>
        <w:tblCellMar>
          <w:top w:w="0" w:type="dxa"/>
          <w:left w:w="0" w:type="dxa"/>
          <w:bottom w:w="0" w:type="dxa"/>
          <w:right w:w="0" w:type="dxa"/>
        </w:tblCellMar>
      </w:tblPr>
      <w:tr>
        <w:trPr>
          <w:trHeight w:val="204"/>
        </w:trPr>
        <w:tc>
          <w:tcPr>
            <w:tcW w:w="21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6"/>
              </w:rPr>
              <w:t>VIII. Valuation and</w:t>
            </w:r>
          </w:p>
        </w:tc>
        <w:tc>
          <w:tcPr>
            <w:tcW w:w="332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6"/>
              </w:rPr>
              <w:t>qualifying accounts..........</w:t>
            </w:r>
          </w:p>
        </w:tc>
        <w:tc>
          <w:tcPr>
            <w:tcW w:w="580" w:type="dxa"/>
            <w:vAlign w:val="bottom"/>
          </w:tcPr>
          <w:p>
            <w:pPr>
              <w:ind w:left="260"/>
              <w:spacing w:after="0"/>
              <w:rPr>
                <w:sz w:val="20"/>
                <w:szCs w:val="20"/>
                <w:color w:val="auto"/>
              </w:rPr>
            </w:pPr>
            <w:r>
              <w:rPr>
                <w:rFonts w:ascii="Courier New" w:cs="Courier New" w:eastAsia="Courier New" w:hAnsi="Courier New"/>
                <w:sz w:val="18"/>
                <w:szCs w:val="18"/>
                <w:color w:val="auto"/>
                <w:w w:val="92"/>
              </w:rPr>
              <w:t>F-4</w:t>
            </w:r>
          </w:p>
        </w:tc>
      </w:tr>
      <w:tr>
        <w:trPr>
          <w:trHeight w:val="405"/>
        </w:trPr>
        <w:tc>
          <w:tcPr>
            <w:tcW w:w="544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IX. Short-term borrowings......................</w:t>
            </w:r>
          </w:p>
        </w:tc>
        <w:tc>
          <w:tcPr>
            <w:tcW w:w="580" w:type="dxa"/>
            <w:vAlign w:val="bottom"/>
          </w:tcPr>
          <w:p>
            <w:pPr>
              <w:ind w:left="260"/>
              <w:spacing w:after="0"/>
              <w:rPr>
                <w:sz w:val="20"/>
                <w:szCs w:val="20"/>
                <w:color w:val="auto"/>
              </w:rPr>
            </w:pPr>
            <w:r>
              <w:rPr>
                <w:rFonts w:ascii="Courier New" w:cs="Courier New" w:eastAsia="Courier New" w:hAnsi="Courier New"/>
                <w:sz w:val="18"/>
                <w:szCs w:val="18"/>
                <w:color w:val="auto"/>
                <w:w w:val="92"/>
              </w:rPr>
              <w:t>F-5</w:t>
            </w:r>
          </w:p>
        </w:tc>
      </w:tr>
      <w:tr>
        <w:trPr>
          <w:trHeight w:val="405"/>
        </w:trPr>
        <w:tc>
          <w:tcPr>
            <w:tcW w:w="2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X. Supplementary</w:t>
            </w:r>
          </w:p>
        </w:tc>
        <w:tc>
          <w:tcPr>
            <w:tcW w:w="3320" w:type="dxa"/>
            <w:vAlign w:val="bottom"/>
          </w:tcPr>
          <w:p>
            <w:pPr>
              <w:jc w:val="right"/>
              <w:ind w:right="812"/>
              <w:spacing w:after="0"/>
              <w:rPr>
                <w:sz w:val="20"/>
                <w:szCs w:val="20"/>
                <w:color w:val="auto"/>
              </w:rPr>
            </w:pPr>
            <w:r>
              <w:rPr>
                <w:rFonts w:ascii="Courier New" w:cs="Courier New" w:eastAsia="Courier New" w:hAnsi="Courier New"/>
                <w:sz w:val="18"/>
                <w:szCs w:val="18"/>
                <w:color w:val="auto"/>
                <w:w w:val="96"/>
              </w:rPr>
              <w:t>statement of operations</w:t>
            </w:r>
          </w:p>
        </w:tc>
        <w:tc>
          <w:tcPr>
            <w:tcW w:w="580" w:type="dxa"/>
            <w:vAlign w:val="bottom"/>
          </w:tcPr>
          <w:p>
            <w:pPr>
              <w:spacing w:after="0"/>
              <w:rPr>
                <w:sz w:val="24"/>
                <w:szCs w:val="24"/>
                <w:color w:val="auto"/>
              </w:rPr>
            </w:pPr>
          </w:p>
        </w:tc>
      </w:tr>
      <w:tr>
        <w:trPr>
          <w:trHeight w:val="203"/>
        </w:trPr>
        <w:tc>
          <w:tcPr>
            <w:tcW w:w="54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information................................</w:t>
            </w:r>
          </w:p>
        </w:tc>
        <w:tc>
          <w:tcPr>
            <w:tcW w:w="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F-6</w:t>
            </w:r>
          </w:p>
        </w:tc>
      </w:tr>
    </w:tbl>
    <w:p>
      <w:pPr>
        <w:spacing w:after="0" w:line="200" w:lineRule="exact"/>
        <w:rPr>
          <w:sz w:val="20"/>
          <w:szCs w:val="20"/>
          <w:color w:val="auto"/>
        </w:rPr>
      </w:pPr>
    </w:p>
    <w:p>
      <w:pPr>
        <w:spacing w:after="0" w:line="209"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All other Schedules are omitted since the required information is not present or is not present in amounts sufficient to require submission of the schedule, or because the information required is included in the consolidated financial statements and notes thereto.</w:t>
      </w:r>
    </w:p>
    <w:p>
      <w:pPr>
        <w:spacing w:after="0" w:line="200" w:lineRule="exact"/>
        <w:rPr>
          <w:sz w:val="20"/>
          <w:szCs w:val="20"/>
          <w:color w:val="auto"/>
        </w:rPr>
      </w:pPr>
    </w:p>
    <w:p>
      <w:pPr>
        <w:spacing w:after="0" w:line="206"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F-1</w:t>
      </w:r>
    </w:p>
    <w:p>
      <w:pPr>
        <w:sectPr>
          <w:pgSz w:w="11900" w:h="16838" w:orient="portrait"/>
          <w:cols w:equalWidth="0" w:num="1">
            <w:col w:w="9159"/>
          </w:cols>
          <w:pgMar w:left="1300" w:top="919" w:right="1440" w:bottom="1440" w:gutter="0" w:footer="0" w:header="0"/>
        </w:sectPr>
      </w:pPr>
    </w:p>
    <w:bookmarkStart w:id="119" w:name="page120"/>
    <w:bookmarkEnd w:id="119"/>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 OF INDEPENDENT ACCOUNTANTS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Boards of Directors and</w:t>
      </w:r>
    </w:p>
    <w:p>
      <w:pPr>
        <w:spacing w:after="0" w:line="238" w:lineRule="auto"/>
        <w:rPr>
          <w:sz w:val="20"/>
          <w:szCs w:val="20"/>
          <w:color w:val="auto"/>
        </w:rPr>
      </w:pPr>
      <w:r>
        <w:rPr>
          <w:rFonts w:ascii="Courier New" w:cs="Courier New" w:eastAsia="Courier New" w:hAnsi="Courier New"/>
          <w:sz w:val="18"/>
          <w:szCs w:val="18"/>
          <w:color w:val="auto"/>
        </w:rPr>
        <w:t>Shareholders of Viacom Inc. and</w:t>
      </w:r>
    </w:p>
    <w:p>
      <w:pPr>
        <w:spacing w:after="0"/>
        <w:rPr>
          <w:sz w:val="20"/>
          <w:szCs w:val="20"/>
          <w:color w:val="auto"/>
        </w:rPr>
      </w:pPr>
      <w:r>
        <w:rPr>
          <w:rFonts w:ascii="Courier New" w:cs="Courier New" w:eastAsia="Courier New" w:hAnsi="Courier New"/>
          <w:sz w:val="18"/>
          <w:szCs w:val="18"/>
          <w:color w:val="auto"/>
        </w:rPr>
        <w:t>Viacom International Inc.</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audits of the consolidated financial statements referred to in our report dated February 4, 1994, except as to Note 2, which is as of March 11, 1994, appearing on page II-32 of this annual report on Form 10-K also included an audit of the Financial Statement Schedules listed in Item 14(a) of this Form 10-K. In our opinion, these Financial Statement Schedules present fairly, in all material respects, the information set forth therein when read in conjunction with the related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 WATERHOUSE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1177 Avenue of the Americas</w:t>
      </w:r>
    </w:p>
    <w:p>
      <w:pPr>
        <w:spacing w:after="0"/>
        <w:tabs>
          <w:tab w:leader="none" w:pos="22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10036</w:t>
      </w:r>
    </w:p>
    <w:p>
      <w:pPr>
        <w:spacing w:after="0"/>
        <w:rPr>
          <w:sz w:val="20"/>
          <w:szCs w:val="20"/>
          <w:color w:val="auto"/>
        </w:rPr>
      </w:pPr>
      <w:r>
        <w:rPr>
          <w:rFonts w:ascii="Courier New" w:cs="Courier New" w:eastAsia="Courier New" w:hAnsi="Courier New"/>
          <w:sz w:val="18"/>
          <w:szCs w:val="18"/>
          <w:color w:val="auto"/>
        </w:rPr>
        <w:t>February 4,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F-2</w:t>
      </w:r>
    </w:p>
    <w:p>
      <w:pPr>
        <w:sectPr>
          <w:pgSz w:w="11900" w:h="16838" w:orient="portrait"/>
          <w:cols w:equalWidth="0" w:num="1">
            <w:col w:w="9159"/>
          </w:cols>
          <w:pgMar w:left="1300" w:top="1440" w:right="1440" w:bottom="1440" w:gutter="0" w:footer="0" w:header="0"/>
        </w:sectPr>
      </w:pPr>
    </w:p>
    <w:bookmarkStart w:id="120" w:name="page121"/>
    <w:bookmarkEnd w:id="120"/>
    <w:p>
      <w:pPr>
        <w:ind w:left="960"/>
        <w:spacing w:after="0"/>
        <w:rPr>
          <w:sz w:val="20"/>
          <w:szCs w:val="20"/>
          <w:color w:val="auto"/>
        </w:rPr>
      </w:pPr>
      <w:r>
        <w:rPr>
          <w:rFonts w:ascii="Courier New" w:cs="Courier New" w:eastAsia="Courier New" w:hAnsi="Courier New"/>
          <w:sz w:val="16"/>
          <w:szCs w:val="16"/>
          <w:color w:val="auto"/>
        </w:rPr>
        <w:t>VIACOM INC. AND VIACOM INTERNATIONAL INC. AND SUBSIDIARIES</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SCHEDULE II - AMOUNTS RECEIVABLE FROM RELATED PARTIES</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(Thousands of Dollars)</w:t>
      </w:r>
    </w:p>
    <w:p>
      <w:pPr>
        <w:sectPr>
          <w:pgSz w:w="11900" w:h="16838" w:orient="portrait"/>
          <w:cols w:equalWidth="0" w:num="1">
            <w:col w:w="10540"/>
          </w:cols>
          <w:pgMar w:left="240" w:top="722"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Col. A</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Name of Debtor</w:t>
      </w:r>
    </w:p>
    <w:p>
      <w:pPr>
        <w:spacing w:after="0" w:line="21"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Col. B</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Balance at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Beginning of</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Period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Col. C</w:t>
      </w:r>
    </w:p>
    <w:p>
      <w:pPr>
        <w:ind w:left="1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Col. D</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Deductions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Amounts</w:t>
      </w:r>
    </w:p>
    <w:p>
      <w:pPr>
        <w:ind w:left="100"/>
        <w:spacing w:after="0" w:line="238" w:lineRule="auto"/>
        <w:tabs>
          <w:tab w:leader="none" w:pos="1140" w:val="left"/>
        </w:tabs>
        <w:rPr>
          <w:sz w:val="20"/>
          <w:szCs w:val="20"/>
          <w:color w:val="auto"/>
        </w:rPr>
      </w:pPr>
      <w:r>
        <w:rPr>
          <w:rFonts w:ascii="Courier New" w:cs="Courier New" w:eastAsia="Courier New" w:hAnsi="Courier New"/>
          <w:sz w:val="18"/>
          <w:szCs w:val="18"/>
          <w:color w:val="auto"/>
        </w:rPr>
        <w:t>Amounts</w:t>
      </w:r>
      <w:r>
        <w:rPr>
          <w:sz w:val="20"/>
          <w:szCs w:val="20"/>
          <w:color w:val="auto"/>
        </w:rPr>
        <w:tab/>
      </w:r>
      <w:r>
        <w:rPr>
          <w:rFonts w:ascii="Courier New" w:cs="Courier New" w:eastAsia="Courier New" w:hAnsi="Courier New"/>
          <w:sz w:val="18"/>
          <w:szCs w:val="18"/>
          <w:color w:val="auto"/>
        </w:rPr>
        <w:t>Written</w:t>
      </w:r>
    </w:p>
    <w:p>
      <w:pPr>
        <w:spacing w:after="0"/>
        <w:tabs>
          <w:tab w:leader="none" w:pos="1360" w:val="left"/>
          <w:tab w:leader="none" w:pos="2200" w:val="left"/>
        </w:tabs>
        <w:rPr>
          <w:sz w:val="20"/>
          <w:szCs w:val="20"/>
          <w:color w:val="auto"/>
        </w:rPr>
      </w:pPr>
      <w:r>
        <w:rPr>
          <w:rFonts w:ascii="Courier New" w:cs="Courier New" w:eastAsia="Courier New" w:hAnsi="Courier New"/>
          <w:sz w:val="18"/>
          <w:szCs w:val="18"/>
          <w:color w:val="auto"/>
        </w:rPr>
        <w:t>Collected</w:t>
      </w:r>
      <w:r>
        <w:rPr>
          <w:sz w:val="20"/>
          <w:szCs w:val="20"/>
          <w:color w:val="auto"/>
        </w:rPr>
        <w:tab/>
      </w:r>
      <w:r>
        <w:rPr>
          <w:rFonts w:ascii="Courier New" w:cs="Courier New" w:eastAsia="Courier New" w:hAnsi="Courier New"/>
          <w:sz w:val="18"/>
          <w:szCs w:val="18"/>
          <w:color w:val="auto"/>
        </w:rPr>
        <w:t>Off</w:t>
      </w:r>
      <w:r>
        <w:rPr>
          <w:sz w:val="20"/>
          <w:szCs w:val="20"/>
          <w:color w:val="auto"/>
        </w:rPr>
        <w:tab/>
      </w:r>
      <w:r>
        <w:rPr>
          <w:rFonts w:ascii="Courier New" w:cs="Courier New" w:eastAsia="Courier New" w:hAnsi="Courier New"/>
          <w:sz w:val="16"/>
          <w:szCs w:val="16"/>
          <w:color w:val="auto"/>
        </w:rPr>
        <w:t>Other</w:t>
      </w:r>
    </w:p>
    <w:p>
      <w:pPr>
        <w:spacing w:after="0"/>
        <w:tabs>
          <w:tab w:leader="none" w:pos="1140" w:val="left"/>
          <w:tab w:leader="none" w:pos="220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Col. E</w:t>
      </w:r>
    </w:p>
    <w:p>
      <w:pPr>
        <w:ind w:left="5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Balance at End of</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Period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Non-</w:t>
      </w:r>
    </w:p>
    <w:p>
      <w:pPr>
        <w:spacing w:after="0" w:line="4" w:lineRule="exact"/>
        <w:rPr>
          <w:sz w:val="20"/>
          <w:szCs w:val="20"/>
          <w:color w:val="auto"/>
        </w:rPr>
      </w:pPr>
    </w:p>
    <w:p>
      <w:pPr>
        <w:ind w:left="100"/>
        <w:spacing w:after="0"/>
        <w:tabs>
          <w:tab w:leader="none" w:pos="1020" w:val="left"/>
        </w:tabs>
        <w:rPr>
          <w:sz w:val="20"/>
          <w:szCs w:val="20"/>
          <w:color w:val="auto"/>
        </w:rPr>
      </w:pPr>
      <w:r>
        <w:rPr>
          <w:rFonts w:ascii="Courier New" w:cs="Courier New" w:eastAsia="Courier New" w:hAnsi="Courier New"/>
          <w:sz w:val="16"/>
          <w:szCs w:val="16"/>
          <w:color w:val="auto"/>
        </w:rPr>
        <w:t>Current</w:t>
        <w:tab/>
        <w:t>Current</w:t>
      </w:r>
    </w:p>
    <w:p>
      <w:pPr>
        <w:spacing w:after="0" w:line="21" w:lineRule="exact"/>
        <w:rPr>
          <w:sz w:val="20"/>
          <w:szCs w:val="20"/>
          <w:color w:val="auto"/>
        </w:rPr>
      </w:pPr>
    </w:p>
    <w:p>
      <w:pPr>
        <w:ind w:left="100"/>
        <w:spacing w:after="0"/>
        <w:tabs>
          <w:tab w:leader="none" w:pos="1020" w:val="left"/>
        </w:tabs>
        <w:rPr>
          <w:sz w:val="20"/>
          <w:szCs w:val="20"/>
          <w:color w:val="auto"/>
        </w:rPr>
      </w:pPr>
      <w:r>
        <w:rPr>
          <w:rFonts w:ascii="Courier New" w:cs="Courier New" w:eastAsia="Courier New" w:hAnsi="Courier New"/>
          <w:sz w:val="16"/>
          <w:szCs w:val="16"/>
          <w:color w:val="auto"/>
        </w:rPr>
        <w:t>-------</w:t>
        <w:tab/>
        <w:t>-------</w:t>
      </w:r>
    </w:p>
    <w:p>
      <w:pPr>
        <w:spacing w:after="0" w:line="216" w:lineRule="exact"/>
        <w:rPr>
          <w:sz w:val="20"/>
          <w:szCs w:val="20"/>
          <w:color w:val="auto"/>
        </w:rPr>
      </w:pPr>
    </w:p>
    <w:p>
      <w:pPr>
        <w:sectPr>
          <w:pgSz w:w="11900" w:h="16838" w:orient="portrait"/>
          <w:cols w:equalWidth="0" w:num="5">
            <w:col w:w="2440" w:space="720"/>
            <w:col w:w="1280" w:space="200"/>
            <w:col w:w="960" w:space="200"/>
            <w:col w:w="2740" w:space="220"/>
            <w:col w:w="1780"/>
          </w:cols>
          <w:pgMar w:left="240" w:top="722" w:right="111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ended December 31, 1993:</w:t>
      </w:r>
    </w:p>
    <w:p>
      <w:pPr>
        <w:sectPr>
          <w:pgSz w:w="11900" w:h="16838" w:orient="portrait"/>
          <w:cols w:equalWidth="0" w:num="1">
            <w:col w:w="10540"/>
          </w:cols>
          <w:pgMar w:left="240" w:top="722" w:right="1119" w:bottom="144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National Amusements, Inc.</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855</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855</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0"/>
          <w:szCs w:val="20"/>
          <w:color w:val="auto"/>
        </w:rPr>
      </w:pPr>
    </w:p>
    <w:p>
      <w:pPr>
        <w:sectPr>
          <w:pgSz w:w="11900" w:h="16838" w:orient="portrait"/>
          <w:cols w:equalWidth="0" w:num="8">
            <w:col w:w="2980" w:space="720"/>
            <w:col w:w="220" w:space="720"/>
            <w:col w:w="640" w:space="520"/>
            <w:col w:w="760" w:space="720"/>
            <w:col w:w="200" w:space="640"/>
            <w:col w:w="220" w:space="720"/>
            <w:col w:w="240" w:space="720"/>
            <w:col w:w="520"/>
          </w:cols>
          <w:pgMar w:left="240" w:top="722" w:right="111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Ended December 31, 1992:</w:t>
      </w:r>
    </w:p>
    <w:p>
      <w:pPr>
        <w:sectPr>
          <w:pgSz w:w="11900" w:h="16838" w:orient="portrait"/>
          <w:cols w:equalWidth="0" w:num="1">
            <w:col w:w="10540"/>
          </w:cols>
          <w:pgMar w:left="240" w:top="722" w:right="1119" w:bottom="144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National Amusements, Inc.</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$1,307</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$1,307</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0"/>
          <w:szCs w:val="20"/>
          <w:color w:val="auto"/>
        </w:rPr>
      </w:pPr>
    </w:p>
    <w:p>
      <w:pPr>
        <w:sectPr>
          <w:pgSz w:w="11900" w:h="16838" w:orient="portrait"/>
          <w:cols w:equalWidth="0" w:num="8">
            <w:col w:w="2980" w:space="720"/>
            <w:col w:w="220" w:space="720"/>
            <w:col w:w="640" w:space="520"/>
            <w:col w:w="760" w:space="720"/>
            <w:col w:w="200" w:space="640"/>
            <w:col w:w="220" w:space="720"/>
            <w:col w:w="240" w:space="720"/>
            <w:col w:w="520"/>
          </w:cols>
          <w:pgMar w:left="240" w:top="722" w:right="111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Ended December 31, 1991:</w:t>
      </w:r>
    </w:p>
    <w:p>
      <w:pPr>
        <w:sectPr>
          <w:pgSz w:w="11900" w:h="16838" w:orient="portrait"/>
          <w:cols w:equalWidth="0" w:num="1">
            <w:col w:w="10540"/>
          </w:cols>
          <w:pgMar w:left="240" w:top="722" w:right="1119" w:bottom="144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National Amusements, Inc.</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$2,885</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$2,885</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0"/>
          <w:szCs w:val="20"/>
          <w:color w:val="auto"/>
        </w:rPr>
      </w:pPr>
    </w:p>
    <w:p>
      <w:pPr>
        <w:sectPr>
          <w:pgSz w:w="11900" w:h="16838" w:orient="portrait"/>
          <w:cols w:equalWidth="0" w:num="8">
            <w:col w:w="2980" w:space="720"/>
            <w:col w:w="220" w:space="720"/>
            <w:col w:w="640" w:space="520"/>
            <w:col w:w="760" w:space="720"/>
            <w:col w:w="200" w:space="640"/>
            <w:col w:w="220" w:space="720"/>
            <w:col w:w="240" w:space="720"/>
            <w:col w:w="520"/>
          </w:cols>
          <w:pgMar w:left="240" w:top="722" w:right="11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F-3</w:t>
      </w:r>
    </w:p>
    <w:p>
      <w:pPr>
        <w:sectPr>
          <w:pgSz w:w="11900" w:h="16838" w:orient="portrait"/>
          <w:cols w:equalWidth="0" w:num="1">
            <w:col w:w="10540"/>
          </w:cols>
          <w:pgMar w:left="240" w:top="722" w:right="1119" w:bottom="1440" w:gutter="0" w:footer="0" w:header="0"/>
          <w:type w:val="continuous"/>
        </w:sectPr>
      </w:pPr>
    </w:p>
    <w:bookmarkStart w:id="121" w:name="page122"/>
    <w:bookmarkEnd w:id="121"/>
    <w:p>
      <w:pPr>
        <w:ind w:left="1160"/>
        <w:spacing w:after="0"/>
        <w:rPr>
          <w:sz w:val="20"/>
          <w:szCs w:val="20"/>
          <w:color w:val="auto"/>
        </w:rPr>
      </w:pPr>
      <w:r>
        <w:rPr>
          <w:rFonts w:ascii="Courier New" w:cs="Courier New" w:eastAsia="Courier New" w:hAnsi="Courier New"/>
          <w:sz w:val="18"/>
          <w:szCs w:val="18"/>
          <w:color w:val="auto"/>
        </w:rPr>
        <w:t>VIACOM INC. AND VIACOM INTERNATIONAL INC. AND SUBSIDIARIES</w:t>
      </w:r>
    </w:p>
    <w:p>
      <w:pPr>
        <w:ind w:left="1580"/>
        <w:spacing w:after="0" w:line="238" w:lineRule="auto"/>
        <w:rPr>
          <w:sz w:val="20"/>
          <w:szCs w:val="20"/>
          <w:color w:val="auto"/>
        </w:rPr>
      </w:pPr>
      <w:r>
        <w:rPr>
          <w:rFonts w:ascii="Courier New" w:cs="Courier New" w:eastAsia="Courier New" w:hAnsi="Courier New"/>
          <w:sz w:val="18"/>
          <w:szCs w:val="18"/>
          <w:color w:val="auto"/>
        </w:rPr>
        <w:t>SCHEDULE VIII - VALUATION AND QUALIFYING ACCOUNTS</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(Thousands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40"/>
        <w:spacing w:after="0"/>
        <w:tabs>
          <w:tab w:leader="none" w:pos="3040" w:val="left"/>
          <w:tab w:leader="none" w:pos="5140" w:val="left"/>
          <w:tab w:leader="none" w:pos="7260" w:val="left"/>
        </w:tabs>
        <w:rPr>
          <w:sz w:val="20"/>
          <w:szCs w:val="20"/>
          <w:color w:val="auto"/>
        </w:rPr>
      </w:pPr>
      <w:r>
        <w:rPr>
          <w:rFonts w:ascii="Courier New" w:cs="Courier New" w:eastAsia="Courier New" w:hAnsi="Courier New"/>
          <w:sz w:val="18"/>
          <w:szCs w:val="18"/>
          <w:color w:val="auto"/>
        </w:rPr>
        <w:t>Col. A</w:t>
      </w:r>
      <w:r>
        <w:rPr>
          <w:sz w:val="20"/>
          <w:szCs w:val="20"/>
          <w:color w:val="auto"/>
        </w:rPr>
        <w:tab/>
      </w:r>
      <w:r>
        <w:rPr>
          <w:rFonts w:ascii="Courier New" w:cs="Courier New" w:eastAsia="Courier New" w:hAnsi="Courier New"/>
          <w:sz w:val="18"/>
          <w:szCs w:val="18"/>
          <w:color w:val="auto"/>
        </w:rPr>
        <w:t>Col. B</w:t>
      </w:r>
      <w:r>
        <w:rPr>
          <w:sz w:val="20"/>
          <w:szCs w:val="20"/>
          <w:color w:val="auto"/>
        </w:rPr>
        <w:tab/>
      </w:r>
      <w:r>
        <w:rPr>
          <w:rFonts w:ascii="Courier New" w:cs="Courier New" w:eastAsia="Courier New" w:hAnsi="Courier New"/>
          <w:sz w:val="18"/>
          <w:szCs w:val="18"/>
          <w:color w:val="auto"/>
        </w:rPr>
        <w:t>Col. C</w:t>
      </w:r>
      <w:r>
        <w:rPr>
          <w:sz w:val="20"/>
          <w:szCs w:val="20"/>
          <w:color w:val="auto"/>
        </w:rPr>
        <w:tab/>
      </w:r>
      <w:r>
        <w:rPr>
          <w:rFonts w:ascii="Courier New" w:cs="Courier New" w:eastAsia="Courier New" w:hAnsi="Courier New"/>
          <w:sz w:val="16"/>
          <w:szCs w:val="16"/>
          <w:color w:val="auto"/>
        </w:rPr>
        <w:t>Col. D</w:t>
      </w:r>
    </w:p>
    <w:p>
      <w:pPr>
        <w:ind w:left="740"/>
        <w:spacing w:after="0"/>
        <w:tabs>
          <w:tab w:leader="none" w:pos="3040" w:val="left"/>
          <w:tab w:leader="none" w:pos="4300" w:val="left"/>
          <w:tab w:leader="none" w:pos="69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ind w:left="2960"/>
        <w:spacing w:after="0"/>
        <w:tabs>
          <w:tab w:leader="none" w:pos="4300" w:val="left"/>
          <w:tab w:leader="none" w:pos="5560" w:val="left"/>
        </w:tabs>
        <w:rPr>
          <w:sz w:val="20"/>
          <w:szCs w:val="20"/>
          <w:color w:val="auto"/>
        </w:rPr>
      </w:pPr>
      <w:r>
        <w:rPr>
          <w:rFonts w:ascii="Courier New" w:cs="Courier New" w:eastAsia="Courier New" w:hAnsi="Courier New"/>
          <w:sz w:val="18"/>
          <w:szCs w:val="18"/>
          <w:color w:val="auto"/>
        </w:rPr>
        <w:t>Balance at</w:t>
      </w:r>
      <w:r>
        <w:rPr>
          <w:sz w:val="20"/>
          <w:szCs w:val="20"/>
          <w:color w:val="auto"/>
        </w:rPr>
        <w:tab/>
      </w:r>
      <w:r>
        <w:rPr>
          <w:rFonts w:ascii="Courier New" w:cs="Courier New" w:eastAsia="Courier New" w:hAnsi="Courier New"/>
          <w:sz w:val="18"/>
          <w:szCs w:val="18"/>
          <w:color w:val="auto"/>
        </w:rPr>
        <w:t>Charged to</w:t>
      </w:r>
      <w:r>
        <w:rPr>
          <w:sz w:val="20"/>
          <w:szCs w:val="20"/>
          <w:color w:val="auto"/>
        </w:rPr>
        <w:tab/>
      </w:r>
      <w:r>
        <w:rPr>
          <w:rFonts w:ascii="Courier New" w:cs="Courier New" w:eastAsia="Courier New" w:hAnsi="Courier New"/>
          <w:sz w:val="16"/>
          <w:szCs w:val="16"/>
          <w:color w:val="auto"/>
        </w:rPr>
        <w:t>Charged to</w:t>
      </w:r>
    </w:p>
    <w:p>
      <w:pPr>
        <w:ind w:left="2840"/>
        <w:spacing w:after="0"/>
        <w:tabs>
          <w:tab w:leader="none" w:pos="4300" w:val="left"/>
          <w:tab w:leader="none" w:pos="5780" w:val="left"/>
        </w:tabs>
        <w:rPr>
          <w:sz w:val="20"/>
          <w:szCs w:val="20"/>
          <w:color w:val="auto"/>
        </w:rPr>
      </w:pPr>
      <w:r>
        <w:rPr>
          <w:rFonts w:ascii="Courier New" w:cs="Courier New" w:eastAsia="Courier New" w:hAnsi="Courier New"/>
          <w:sz w:val="18"/>
          <w:szCs w:val="18"/>
          <w:color w:val="auto"/>
        </w:rPr>
        <w:t>Beginning of</w:t>
        <w:tab/>
        <w:t>Costs and</w:t>
      </w:r>
      <w:r>
        <w:rPr>
          <w:sz w:val="20"/>
          <w:szCs w:val="20"/>
          <w:color w:val="auto"/>
        </w:rPr>
        <w:tab/>
      </w:r>
      <w:r>
        <w:rPr>
          <w:rFonts w:ascii="Courier New" w:cs="Courier New" w:eastAsia="Courier New" w:hAnsi="Courier New"/>
          <w:sz w:val="16"/>
          <w:szCs w:val="16"/>
          <w:color w:val="auto"/>
        </w:rPr>
        <w:t>Other</w:t>
      </w:r>
    </w:p>
    <w:p>
      <w:pPr>
        <w:ind w:left="320"/>
        <w:spacing w:after="0"/>
        <w:tabs>
          <w:tab w:leader="none" w:pos="3140" w:val="left"/>
          <w:tab w:leader="none" w:pos="4400" w:val="left"/>
          <w:tab w:leader="none" w:pos="5560" w:val="left"/>
          <w:tab w:leader="none" w:pos="6940" w:val="left"/>
        </w:tabs>
        <w:rPr>
          <w:sz w:val="20"/>
          <w:szCs w:val="20"/>
          <w:color w:val="auto"/>
        </w:rPr>
      </w:pPr>
      <w:r>
        <w:rPr>
          <w:rFonts w:ascii="Courier New" w:cs="Courier New" w:eastAsia="Courier New" w:hAnsi="Courier New"/>
          <w:sz w:val="18"/>
          <w:szCs w:val="18"/>
          <w:color w:val="auto"/>
        </w:rPr>
        <w:t>Description</w:t>
      </w:r>
      <w:r>
        <w:rPr>
          <w:sz w:val="20"/>
          <w:szCs w:val="20"/>
          <w:color w:val="auto"/>
        </w:rPr>
        <w:tab/>
      </w:r>
      <w:r>
        <w:rPr>
          <w:rFonts w:ascii="Courier New" w:cs="Courier New" w:eastAsia="Courier New" w:hAnsi="Courier New"/>
          <w:sz w:val="18"/>
          <w:szCs w:val="18"/>
          <w:color w:val="auto"/>
        </w:rPr>
        <w:t>Period</w:t>
      </w:r>
      <w:r>
        <w:rPr>
          <w:sz w:val="20"/>
          <w:szCs w:val="20"/>
          <w:color w:val="auto"/>
        </w:rPr>
        <w:tab/>
      </w:r>
      <w:r>
        <w:rPr>
          <w:rFonts w:ascii="Courier New" w:cs="Courier New" w:eastAsia="Courier New" w:hAnsi="Courier New"/>
          <w:sz w:val="18"/>
          <w:szCs w:val="18"/>
          <w:color w:val="auto"/>
        </w:rPr>
        <w:t>Expenses</w:t>
        <w:tab/>
        <w:t>Accounts(A)</w:t>
      </w:r>
      <w:r>
        <w:rPr>
          <w:sz w:val="20"/>
          <w:szCs w:val="20"/>
          <w:color w:val="auto"/>
        </w:rPr>
        <w:tab/>
      </w:r>
      <w:r>
        <w:rPr>
          <w:rFonts w:ascii="Courier New" w:cs="Courier New" w:eastAsia="Courier New" w:hAnsi="Courier New"/>
          <w:sz w:val="16"/>
          <w:szCs w:val="16"/>
          <w:color w:val="auto"/>
        </w:rPr>
        <w:t>Deductions(B)</w:t>
      </w:r>
    </w:p>
    <w:p>
      <w:pPr>
        <w:ind w:left="320"/>
        <w:spacing w:after="0"/>
        <w:tabs>
          <w:tab w:leader="none" w:pos="2820" w:val="left"/>
          <w:tab w:leader="none" w:pos="4300" w:val="left"/>
          <w:tab w:leader="none" w:pos="5560" w:val="left"/>
          <w:tab w:leader="none" w:pos="69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Allowance for</w:t>
      </w:r>
    </w:p>
    <w:p>
      <w:pPr>
        <w:spacing w:after="0" w:line="238" w:lineRule="auto"/>
        <w:rPr>
          <w:sz w:val="20"/>
          <w:szCs w:val="20"/>
          <w:color w:val="auto"/>
        </w:rPr>
      </w:pPr>
      <w:r>
        <w:rPr>
          <w:rFonts w:ascii="Courier New" w:cs="Courier New" w:eastAsia="Courier New" w:hAnsi="Courier New"/>
          <w:sz w:val="18"/>
          <w:szCs w:val="18"/>
          <w:color w:val="auto"/>
        </w:rPr>
        <w:t>doubtful accounts:</w:t>
      </w:r>
    </w:p>
    <w:p>
      <w:pPr>
        <w:spacing w:after="0" w:line="202" w:lineRule="exact"/>
        <w:rPr>
          <w:sz w:val="20"/>
          <w:szCs w:val="20"/>
          <w:color w:val="auto"/>
        </w:rPr>
      </w:pPr>
    </w:p>
    <w:p>
      <w:pPr>
        <w:ind w:left="100"/>
        <w:spacing w:after="0"/>
        <w:tabs>
          <w:tab w:leader="none" w:pos="3040" w:val="left"/>
          <w:tab w:leader="none" w:pos="4400" w:val="left"/>
          <w:tab w:leader="none" w:pos="5780" w:val="left"/>
          <w:tab w:leader="none" w:pos="7360" w:val="left"/>
        </w:tabs>
        <w:rPr>
          <w:sz w:val="20"/>
          <w:szCs w:val="20"/>
          <w:color w:val="auto"/>
        </w:rPr>
      </w:pPr>
      <w:r>
        <w:rPr>
          <w:rFonts w:ascii="Courier New" w:cs="Courier New" w:eastAsia="Courier New" w:hAnsi="Courier New"/>
          <w:sz w:val="18"/>
          <w:szCs w:val="18"/>
          <w:color w:val="auto"/>
        </w:rPr>
        <w:t>Year ended December</w:t>
      </w:r>
      <w:r>
        <w:rPr>
          <w:sz w:val="20"/>
          <w:szCs w:val="20"/>
          <w:color w:val="auto"/>
        </w:rPr>
        <w:tab/>
      </w:r>
      <w:r>
        <w:rPr>
          <w:rFonts w:ascii="Courier New" w:cs="Courier New" w:eastAsia="Courier New" w:hAnsi="Courier New"/>
          <w:sz w:val="18"/>
          <w:szCs w:val="18"/>
          <w:color w:val="auto"/>
        </w:rPr>
        <w:t>$25,779</w:t>
      </w:r>
      <w:r>
        <w:rPr>
          <w:sz w:val="20"/>
          <w:szCs w:val="20"/>
          <w:color w:val="auto"/>
        </w:rPr>
        <w:tab/>
      </w:r>
      <w:r>
        <w:rPr>
          <w:rFonts w:ascii="Courier New" w:cs="Courier New" w:eastAsia="Courier New" w:hAnsi="Courier New"/>
          <w:sz w:val="18"/>
          <w:szCs w:val="18"/>
          <w:color w:val="auto"/>
        </w:rPr>
        <w:t>$16,733</w:t>
      </w:r>
      <w:r>
        <w:rPr>
          <w:sz w:val="20"/>
          <w:szCs w:val="20"/>
          <w:color w:val="auto"/>
        </w:rPr>
        <w:tab/>
      </w:r>
      <w:r>
        <w:rPr>
          <w:rFonts w:ascii="Courier New" w:cs="Courier New" w:eastAsia="Courier New" w:hAnsi="Courier New"/>
          <w:sz w:val="18"/>
          <w:szCs w:val="18"/>
          <w:color w:val="auto"/>
        </w:rPr>
        <w:t>$3,459</w:t>
      </w:r>
      <w:r>
        <w:rPr>
          <w:sz w:val="20"/>
          <w:szCs w:val="20"/>
          <w:color w:val="auto"/>
        </w:rPr>
        <w:tab/>
      </w:r>
      <w:r>
        <w:rPr>
          <w:rFonts w:ascii="Courier New" w:cs="Courier New" w:eastAsia="Courier New" w:hAnsi="Courier New"/>
          <w:sz w:val="16"/>
          <w:szCs w:val="16"/>
          <w:color w:val="auto"/>
        </w:rPr>
        <w:t>$12,082</w:t>
      </w:r>
    </w:p>
    <w:p>
      <w:pPr>
        <w:ind w:left="320"/>
        <w:spacing w:after="0" w:line="238" w:lineRule="auto"/>
        <w:rPr>
          <w:sz w:val="20"/>
          <w:szCs w:val="20"/>
          <w:color w:val="auto"/>
        </w:rPr>
      </w:pPr>
      <w:r>
        <w:rPr>
          <w:rFonts w:ascii="Courier New" w:cs="Courier New" w:eastAsia="Courier New" w:hAnsi="Courier New"/>
          <w:sz w:val="18"/>
          <w:szCs w:val="18"/>
          <w:color w:val="auto"/>
        </w:rPr>
        <w:t>31, 1993</w:t>
      </w:r>
    </w:p>
    <w:p>
      <w:pPr>
        <w:spacing w:after="0" w:line="202" w:lineRule="exact"/>
        <w:rPr>
          <w:sz w:val="20"/>
          <w:szCs w:val="20"/>
          <w:color w:val="auto"/>
        </w:rPr>
      </w:pPr>
    </w:p>
    <w:p>
      <w:pPr>
        <w:ind w:left="100"/>
        <w:spacing w:after="0"/>
        <w:tabs>
          <w:tab w:leader="none" w:pos="3040" w:val="left"/>
          <w:tab w:leader="none" w:pos="4400" w:val="left"/>
          <w:tab w:leader="none" w:pos="5780" w:val="left"/>
          <w:tab w:leader="none" w:pos="7360" w:val="left"/>
        </w:tabs>
        <w:rPr>
          <w:sz w:val="20"/>
          <w:szCs w:val="20"/>
          <w:color w:val="auto"/>
        </w:rPr>
      </w:pPr>
      <w:r>
        <w:rPr>
          <w:rFonts w:ascii="Courier New" w:cs="Courier New" w:eastAsia="Courier New" w:hAnsi="Courier New"/>
          <w:sz w:val="18"/>
          <w:szCs w:val="18"/>
          <w:color w:val="auto"/>
        </w:rPr>
        <w:t>Year ended December</w:t>
      </w:r>
      <w:r>
        <w:rPr>
          <w:sz w:val="20"/>
          <w:szCs w:val="20"/>
          <w:color w:val="auto"/>
        </w:rPr>
        <w:tab/>
      </w:r>
      <w:r>
        <w:rPr>
          <w:rFonts w:ascii="Courier New" w:cs="Courier New" w:eastAsia="Courier New" w:hAnsi="Courier New"/>
          <w:sz w:val="18"/>
          <w:szCs w:val="18"/>
          <w:color w:val="auto"/>
        </w:rPr>
        <w:t>$28,603</w:t>
      </w:r>
      <w:r>
        <w:rPr>
          <w:sz w:val="20"/>
          <w:szCs w:val="20"/>
          <w:color w:val="auto"/>
        </w:rPr>
        <w:tab/>
      </w:r>
      <w:r>
        <w:rPr>
          <w:rFonts w:ascii="Courier New" w:cs="Courier New" w:eastAsia="Courier New" w:hAnsi="Courier New"/>
          <w:sz w:val="18"/>
          <w:szCs w:val="18"/>
          <w:color w:val="auto"/>
        </w:rPr>
        <w:t>$ 9,355</w:t>
      </w:r>
      <w:r>
        <w:rPr>
          <w:sz w:val="20"/>
          <w:szCs w:val="20"/>
          <w:color w:val="auto"/>
        </w:rPr>
        <w:tab/>
      </w:r>
      <w:r>
        <w:rPr>
          <w:rFonts w:ascii="Courier New" w:cs="Courier New" w:eastAsia="Courier New" w:hAnsi="Courier New"/>
          <w:sz w:val="18"/>
          <w:szCs w:val="18"/>
          <w:color w:val="auto"/>
        </w:rPr>
        <w:t>$ (155)</w:t>
      </w:r>
      <w:r>
        <w:rPr>
          <w:sz w:val="20"/>
          <w:szCs w:val="20"/>
          <w:color w:val="auto"/>
        </w:rPr>
        <w:tab/>
      </w:r>
      <w:r>
        <w:rPr>
          <w:rFonts w:ascii="Courier New" w:cs="Courier New" w:eastAsia="Courier New" w:hAnsi="Courier New"/>
          <w:sz w:val="16"/>
          <w:szCs w:val="16"/>
          <w:color w:val="auto"/>
        </w:rPr>
        <w:t>$12,024</w:t>
      </w:r>
    </w:p>
    <w:p>
      <w:pPr>
        <w:ind w:left="320"/>
        <w:spacing w:after="0" w:line="238" w:lineRule="auto"/>
        <w:rPr>
          <w:sz w:val="20"/>
          <w:szCs w:val="20"/>
          <w:color w:val="auto"/>
        </w:rPr>
      </w:pPr>
      <w:r>
        <w:rPr>
          <w:rFonts w:ascii="Courier New" w:cs="Courier New" w:eastAsia="Courier New" w:hAnsi="Courier New"/>
          <w:sz w:val="18"/>
          <w:szCs w:val="18"/>
          <w:color w:val="auto"/>
        </w:rPr>
        <w:t>31, 1992</w:t>
      </w:r>
    </w:p>
    <w:p>
      <w:pPr>
        <w:spacing w:after="0" w:line="202" w:lineRule="exact"/>
        <w:rPr>
          <w:sz w:val="20"/>
          <w:szCs w:val="20"/>
          <w:color w:val="auto"/>
        </w:rPr>
      </w:pPr>
    </w:p>
    <w:p>
      <w:pPr>
        <w:ind w:left="100"/>
        <w:spacing w:after="0"/>
        <w:tabs>
          <w:tab w:leader="none" w:pos="3040" w:val="left"/>
          <w:tab w:leader="none" w:pos="4400" w:val="left"/>
          <w:tab w:leader="none" w:pos="5780" w:val="left"/>
          <w:tab w:leader="none" w:pos="7360" w:val="left"/>
        </w:tabs>
        <w:rPr>
          <w:sz w:val="20"/>
          <w:szCs w:val="20"/>
          <w:color w:val="auto"/>
        </w:rPr>
      </w:pPr>
      <w:r>
        <w:rPr>
          <w:rFonts w:ascii="Courier New" w:cs="Courier New" w:eastAsia="Courier New" w:hAnsi="Courier New"/>
          <w:sz w:val="18"/>
          <w:szCs w:val="18"/>
          <w:color w:val="auto"/>
        </w:rPr>
        <w:t>Year ended December</w:t>
      </w:r>
      <w:r>
        <w:rPr>
          <w:sz w:val="20"/>
          <w:szCs w:val="20"/>
          <w:color w:val="auto"/>
        </w:rPr>
        <w:tab/>
      </w:r>
      <w:r>
        <w:rPr>
          <w:rFonts w:ascii="Courier New" w:cs="Courier New" w:eastAsia="Courier New" w:hAnsi="Courier New"/>
          <w:sz w:val="18"/>
          <w:szCs w:val="18"/>
          <w:color w:val="auto"/>
        </w:rPr>
        <w:t>$23,593</w:t>
      </w:r>
      <w:r>
        <w:rPr>
          <w:sz w:val="20"/>
          <w:szCs w:val="20"/>
          <w:color w:val="auto"/>
        </w:rPr>
        <w:tab/>
      </w:r>
      <w:r>
        <w:rPr>
          <w:rFonts w:ascii="Courier New" w:cs="Courier New" w:eastAsia="Courier New" w:hAnsi="Courier New"/>
          <w:sz w:val="18"/>
          <w:szCs w:val="18"/>
          <w:color w:val="auto"/>
        </w:rPr>
        <w:t>$15,855</w:t>
      </w:r>
      <w:r>
        <w:rPr>
          <w:sz w:val="20"/>
          <w:szCs w:val="20"/>
          <w:color w:val="auto"/>
        </w:rPr>
        <w:tab/>
      </w:r>
      <w:r>
        <w:rPr>
          <w:rFonts w:ascii="Courier New" w:cs="Courier New" w:eastAsia="Courier New" w:hAnsi="Courier New"/>
          <w:sz w:val="18"/>
          <w:szCs w:val="18"/>
          <w:color w:val="auto"/>
        </w:rPr>
        <w:t>$1,933(C)</w:t>
      </w:r>
      <w:r>
        <w:rPr>
          <w:sz w:val="20"/>
          <w:szCs w:val="20"/>
          <w:color w:val="auto"/>
        </w:rPr>
        <w:tab/>
      </w:r>
      <w:r>
        <w:rPr>
          <w:rFonts w:ascii="Courier New" w:cs="Courier New" w:eastAsia="Courier New" w:hAnsi="Courier New"/>
          <w:sz w:val="16"/>
          <w:szCs w:val="16"/>
          <w:color w:val="auto"/>
        </w:rPr>
        <w:t>$12,778</w:t>
      </w:r>
    </w:p>
    <w:p>
      <w:pPr>
        <w:ind w:left="320"/>
        <w:spacing w:after="0" w:line="238" w:lineRule="auto"/>
        <w:rPr>
          <w:sz w:val="20"/>
          <w:szCs w:val="20"/>
          <w:color w:val="auto"/>
        </w:rPr>
      </w:pPr>
      <w:r>
        <w:rPr>
          <w:rFonts w:ascii="Courier New" w:cs="Courier New" w:eastAsia="Courier New" w:hAnsi="Courier New"/>
          <w:sz w:val="18"/>
          <w:szCs w:val="18"/>
          <w:color w:val="auto"/>
        </w:rPr>
        <w:t>31, 1991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40" w:right="940" w:hanging="536"/>
        <w:spacing w:after="0" w:line="235"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Charged (credited) to the balance sheet account "Owners' share of distribution revenue."</w:t>
      </w:r>
    </w:p>
    <w:p>
      <w:pPr>
        <w:spacing w:after="0" w:line="1" w:lineRule="exact"/>
        <w:rPr>
          <w:rFonts w:ascii="Courier New" w:cs="Courier New" w:eastAsia="Courier New" w:hAnsi="Courier New"/>
          <w:sz w:val="18"/>
          <w:szCs w:val="18"/>
          <w:color w:val="auto"/>
        </w:rPr>
      </w:pPr>
    </w:p>
    <w:p>
      <w:pPr>
        <w:ind w:left="540" w:hanging="536"/>
        <w:spacing w:after="0" w:line="238"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amounts written off, net of recoveries.</w:t>
      </w:r>
    </w:p>
    <w:p>
      <w:pPr>
        <w:spacing w:after="0" w:line="4" w:lineRule="exact"/>
        <w:rPr>
          <w:rFonts w:ascii="Courier New" w:cs="Courier New" w:eastAsia="Courier New" w:hAnsi="Courier New"/>
          <w:sz w:val="18"/>
          <w:szCs w:val="18"/>
          <w:color w:val="auto"/>
        </w:rPr>
      </w:pPr>
    </w:p>
    <w:p>
      <w:pPr>
        <w:ind w:left="540" w:right="840" w:hanging="536"/>
        <w:spacing w:after="0" w:line="290" w:lineRule="auto"/>
        <w:tabs>
          <w:tab w:leader="none" w:pos="5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allowance for doubtful accounts of MTV EUROPE, previously accounted for under the equity method, of $689 thousand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Col. E</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center"/>
        <w:ind w:right="199"/>
        <w:spacing w:after="0" w:line="236" w:lineRule="auto"/>
        <w:rPr>
          <w:sz w:val="20"/>
          <w:szCs w:val="20"/>
          <w:color w:val="auto"/>
        </w:rPr>
      </w:pPr>
      <w:r>
        <w:rPr>
          <w:rFonts w:ascii="Courier New" w:cs="Courier New" w:eastAsia="Courier New" w:hAnsi="Courier New"/>
          <w:sz w:val="18"/>
          <w:szCs w:val="18"/>
          <w:color w:val="auto"/>
        </w:rPr>
        <w:t>Balance at End of Period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$33,889</w:t>
      </w:r>
    </w:p>
    <w:p>
      <w:pPr>
        <w:spacing w:after="0" w:line="200" w:lineRule="exact"/>
        <w:rPr>
          <w:sz w:val="20"/>
          <w:szCs w:val="20"/>
          <w:color w:val="auto"/>
        </w:rPr>
      </w:pPr>
    </w:p>
    <w:p>
      <w:pPr>
        <w:spacing w:after="0" w:line="204"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$25,779</w:t>
      </w:r>
    </w:p>
    <w:p>
      <w:pPr>
        <w:spacing w:after="0" w:line="200" w:lineRule="exact"/>
        <w:rPr>
          <w:sz w:val="20"/>
          <w:szCs w:val="20"/>
          <w:color w:val="auto"/>
        </w:rPr>
      </w:pPr>
    </w:p>
    <w:p>
      <w:pPr>
        <w:spacing w:after="0" w:line="204"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$28,603</w:t>
      </w:r>
    </w:p>
    <w:p>
      <w:pPr>
        <w:sectPr>
          <w:pgSz w:w="11900" w:h="16838" w:orient="portrait"/>
          <w:cols w:equalWidth="0" w:num="2">
            <w:col w:w="8320" w:space="320"/>
            <w:col w:w="1259"/>
          </w:cols>
          <w:pgMar w:left="560" w:top="920" w:right="1440" w:bottom="1440" w:gutter="0" w:footer="0" w:header="0"/>
        </w:sectPr>
      </w:pPr>
    </w:p>
    <w:bookmarkStart w:id="122" w:name="page123"/>
    <w:bookmarkEnd w:id="122"/>
    <w:p>
      <w:pPr>
        <w:jc w:val="center"/>
        <w:ind w:right="1680"/>
        <w:spacing w:after="0"/>
        <w:rPr>
          <w:sz w:val="20"/>
          <w:szCs w:val="20"/>
          <w:color w:val="auto"/>
        </w:rPr>
      </w:pPr>
      <w:r>
        <w:rPr>
          <w:rFonts w:ascii="Courier New" w:cs="Courier New" w:eastAsia="Courier New" w:hAnsi="Courier New"/>
          <w:sz w:val="18"/>
          <w:szCs w:val="18"/>
          <w:color w:val="auto"/>
        </w:rPr>
        <w:t>VIACOM INC. AND VIACOM INTERNATIONAL INC. AND SUBSIDIARIES</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SCHEDULE IX - SHORT-TERM BORROWINGS</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(Thousands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ind w:left="1060"/>
              <w:spacing w:after="0"/>
              <w:rPr>
                <w:sz w:val="20"/>
                <w:szCs w:val="20"/>
                <w:color w:val="auto"/>
              </w:rPr>
            </w:pPr>
            <w:r>
              <w:rPr>
                <w:rFonts w:ascii="Courier New" w:cs="Courier New" w:eastAsia="Courier New" w:hAnsi="Courier New"/>
                <w:sz w:val="18"/>
                <w:szCs w:val="18"/>
                <w:color w:val="auto"/>
              </w:rPr>
              <w:t>Col. A</w:t>
            </w:r>
          </w:p>
        </w:tc>
        <w:tc>
          <w:tcPr>
            <w:tcW w:w="320" w:type="dxa"/>
            <w:vAlign w:val="bottom"/>
          </w:tcPr>
          <w:p>
            <w:pPr>
              <w:spacing w:after="0"/>
              <w:rPr>
                <w:sz w:val="17"/>
                <w:szCs w:val="17"/>
                <w:color w:val="auto"/>
              </w:rPr>
            </w:pPr>
          </w:p>
        </w:tc>
        <w:tc>
          <w:tcPr>
            <w:tcW w:w="116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5"/>
              </w:rPr>
              <w:t>Col. B</w:t>
            </w:r>
          </w:p>
        </w:tc>
        <w:tc>
          <w:tcPr>
            <w:tcW w:w="138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5"/>
              </w:rPr>
              <w:t>Col. C</w:t>
            </w:r>
          </w:p>
        </w:tc>
        <w:tc>
          <w:tcPr>
            <w:tcW w:w="100" w:type="dxa"/>
            <w:vAlign w:val="bottom"/>
          </w:tcPr>
          <w:p>
            <w:pPr>
              <w:spacing w:after="0"/>
              <w:rPr>
                <w:sz w:val="17"/>
                <w:szCs w:val="17"/>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Col. D</w:t>
            </w:r>
          </w:p>
        </w:tc>
        <w:tc>
          <w:tcPr>
            <w:tcW w:w="320" w:type="dxa"/>
            <w:vAlign w:val="bottom"/>
          </w:tcPr>
          <w:p>
            <w:pPr>
              <w:spacing w:after="0"/>
              <w:rPr>
                <w:sz w:val="17"/>
                <w:szCs w:val="17"/>
                <w:color w:val="auto"/>
              </w:rPr>
            </w:pPr>
          </w:p>
        </w:tc>
        <w:tc>
          <w:tcPr>
            <w:tcW w:w="10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2"/>
              </w:rPr>
              <w:t>Col. E</w:t>
            </w:r>
          </w:p>
        </w:tc>
        <w:tc>
          <w:tcPr>
            <w:tcW w:w="1900" w:type="dxa"/>
            <w:vAlign w:val="bottom"/>
          </w:tcPr>
          <w:p>
            <w:pPr>
              <w:ind w:left="420"/>
              <w:spacing w:after="0"/>
              <w:rPr>
                <w:sz w:val="20"/>
                <w:szCs w:val="20"/>
                <w:color w:val="auto"/>
              </w:rPr>
            </w:pPr>
            <w:r>
              <w:rPr>
                <w:rFonts w:ascii="Courier New" w:cs="Courier New" w:eastAsia="Courier New" w:hAnsi="Courier New"/>
                <w:sz w:val="18"/>
                <w:szCs w:val="18"/>
                <w:color w:val="auto"/>
              </w:rPr>
              <w:t>Col. F</w:t>
            </w:r>
          </w:p>
        </w:tc>
      </w:tr>
      <w:tr>
        <w:trPr>
          <w:trHeight w:val="203"/>
        </w:trPr>
        <w:tc>
          <w:tcPr>
            <w:tcW w:w="31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Maximum</w:t>
            </w:r>
          </w:p>
        </w:tc>
        <w:tc>
          <w:tcPr>
            <w:tcW w:w="13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Average</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Weighted</w:t>
            </w:r>
          </w:p>
        </w:tc>
      </w:tr>
      <w:tr>
        <w:trPr>
          <w:trHeight w:val="203"/>
        </w:trPr>
        <w:tc>
          <w:tcPr>
            <w:tcW w:w="3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9"/>
              </w:rPr>
              <w:t>Weighted</w:t>
            </w:r>
          </w:p>
        </w:tc>
        <w:tc>
          <w:tcPr>
            <w:tcW w:w="1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Amount</w:t>
            </w:r>
          </w:p>
        </w:tc>
        <w:tc>
          <w:tcPr>
            <w:tcW w:w="32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Amount</w:t>
            </w:r>
          </w:p>
        </w:tc>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Average</w:t>
            </w:r>
          </w:p>
        </w:tc>
      </w:tr>
      <w:tr>
        <w:trPr>
          <w:trHeight w:val="203"/>
        </w:trPr>
        <w:tc>
          <w:tcPr>
            <w:tcW w:w="3160" w:type="dxa"/>
            <w:vAlign w:val="bottom"/>
          </w:tcPr>
          <w:p>
            <w:pPr>
              <w:spacing w:after="0"/>
              <w:rPr>
                <w:sz w:val="17"/>
                <w:szCs w:val="17"/>
                <w:color w:val="auto"/>
              </w:rPr>
            </w:pP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Balance at</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Average</w:t>
            </w:r>
          </w:p>
        </w:tc>
        <w:tc>
          <w:tcPr>
            <w:tcW w:w="1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Outstanding</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Outstanding</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Interest Rate</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Category of Aggregate</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Beginning of</w:t>
            </w:r>
          </w:p>
        </w:tc>
        <w:tc>
          <w:tcPr>
            <w:tcW w:w="13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9"/>
              </w:rPr>
              <w:t>Interest</w:t>
            </w:r>
          </w:p>
        </w:tc>
        <w:tc>
          <w:tcPr>
            <w:tcW w:w="1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During the</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During the</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During the</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Borrowings</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Period</w:t>
            </w:r>
          </w:p>
        </w:tc>
        <w:tc>
          <w:tcPr>
            <w:tcW w:w="13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Rate</w:t>
            </w:r>
          </w:p>
        </w:tc>
        <w:tc>
          <w:tcPr>
            <w:tcW w:w="1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Period</w:t>
            </w:r>
          </w:p>
        </w:tc>
        <w:tc>
          <w:tcPr>
            <w:tcW w:w="13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Period(A)</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Period(A)</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 - ---------------------</w:t>
            </w:r>
          </w:p>
        </w:tc>
        <w:tc>
          <w:tcPr>
            <w:tcW w:w="320" w:type="dxa"/>
            <w:vAlign w:val="bottom"/>
          </w:tcPr>
          <w:p>
            <w:pPr>
              <w:spacing w:after="0"/>
              <w:rPr>
                <w:sz w:val="17"/>
                <w:szCs w:val="17"/>
                <w:color w:val="auto"/>
              </w:rPr>
            </w:pPr>
          </w:p>
        </w:tc>
        <w:tc>
          <w:tcPr>
            <w:tcW w:w="2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100" w:type="dxa"/>
            <w:vAlign w:val="bottom"/>
          </w:tcPr>
          <w:p>
            <w:pPr>
              <w:spacing w:after="0"/>
              <w:rPr>
                <w:sz w:val="17"/>
                <w:szCs w:val="17"/>
                <w:color w:val="auto"/>
              </w:rPr>
            </w:pP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2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Year ended December 31, 1993</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Money Market</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23,000</w:t>
            </w:r>
          </w:p>
        </w:tc>
        <w:tc>
          <w:tcPr>
            <w:tcW w:w="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305</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3.68%</w:t>
            </w: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Commercial Paper</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60,879</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3.68%</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174,257</w:t>
            </w:r>
          </w:p>
        </w:tc>
        <w:tc>
          <w:tcPr>
            <w:tcW w:w="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122,744</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3.64%</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Year ended December 31, 1992:</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Money Market</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6,000</w:t>
            </w:r>
          </w:p>
        </w:tc>
        <w:tc>
          <w:tcPr>
            <w:tcW w:w="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1,684</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4.66%</w:t>
            </w: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Commercial Paper</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9,984</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3.83%</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144,638</w:t>
            </w:r>
          </w:p>
        </w:tc>
        <w:tc>
          <w:tcPr>
            <w:tcW w:w="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74,214</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4.51%</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Year ended December 31, 1991:</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3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Money Market</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20,000</w:t>
            </w:r>
          </w:p>
        </w:tc>
        <w:tc>
          <w:tcPr>
            <w:tcW w:w="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1,293</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6.28%</w:t>
            </w:r>
          </w:p>
        </w:tc>
      </w:tr>
      <w:tr>
        <w:trPr>
          <w:trHeight w:val="203"/>
        </w:trPr>
        <w:tc>
          <w:tcPr>
            <w:tcW w:w="3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Commercial Paper</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73,425</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5.51%</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188,975</w:t>
            </w:r>
          </w:p>
        </w:tc>
        <w:tc>
          <w:tcPr>
            <w:tcW w:w="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108,985</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NOTE:</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20"/>
        <w:spacing w:after="0"/>
        <w:tabs>
          <w:tab w:leader="none" w:pos="840" w:val="left"/>
        </w:tabs>
        <w:rPr>
          <w:sz w:val="20"/>
          <w:szCs w:val="20"/>
          <w:color w:val="auto"/>
        </w:rPr>
      </w:pPr>
      <w:r>
        <w:rPr>
          <w:rFonts w:ascii="Courier New" w:cs="Courier New" w:eastAsia="Courier New" w:hAnsi="Courier New"/>
          <w:sz w:val="18"/>
          <w:szCs w:val="18"/>
          <w:color w:val="auto"/>
        </w:rPr>
        <w:t>(A)</w:t>
        <w:tab/>
        <w:t>Calculated on a monthly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F-5</w:t>
      </w:r>
    </w:p>
    <w:p>
      <w:pPr>
        <w:sectPr>
          <w:pgSz w:w="11900" w:h="16838" w:orient="portrait"/>
          <w:cols w:equalWidth="0" w:num="1">
            <w:col w:w="10540"/>
          </w:cols>
          <w:pgMar w:left="240" w:top="919" w:right="1119" w:bottom="1440" w:gutter="0" w:footer="0" w:header="0"/>
        </w:sectPr>
      </w:pPr>
    </w:p>
    <w:bookmarkStart w:id="123" w:name="page124"/>
    <w:bookmarkEnd w:id="123"/>
    <w:p>
      <w:pPr>
        <w:jc w:val="center"/>
        <w:ind w:right="2419"/>
        <w:spacing w:after="0"/>
        <w:rPr>
          <w:sz w:val="20"/>
          <w:szCs w:val="20"/>
          <w:color w:val="auto"/>
        </w:rPr>
      </w:pPr>
      <w:r>
        <w:rPr>
          <w:rFonts w:ascii="Courier New" w:cs="Courier New" w:eastAsia="Courier New" w:hAnsi="Courier New"/>
          <w:sz w:val="18"/>
          <w:szCs w:val="18"/>
          <w:color w:val="auto"/>
        </w:rPr>
        <w:t>VIACOM INC. AND VIACOM INTERNATIONAL INC. AND SUBSIDIARIES</w:t>
      </w:r>
    </w:p>
    <w:p>
      <w:pPr>
        <w:spacing w:after="0" w:line="4"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SCHEDULE X - SUPPLEMENTARY STATEMENT OF OPERATIONS INFORMATION</w:t>
      </w:r>
    </w:p>
    <w:p>
      <w:pPr>
        <w:spacing w:after="0" w:line="218"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(Thousands of Dollars)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jc w:val="center"/>
              <w:ind w:left="392"/>
              <w:spacing w:after="0"/>
              <w:rPr>
                <w:sz w:val="20"/>
                <w:szCs w:val="20"/>
                <w:color w:val="auto"/>
              </w:rPr>
            </w:pPr>
            <w:r>
              <w:rPr>
                <w:rFonts w:ascii="Courier New" w:cs="Courier New" w:eastAsia="Courier New" w:hAnsi="Courier New"/>
                <w:sz w:val="18"/>
                <w:szCs w:val="18"/>
                <w:color w:val="auto"/>
                <w:w w:val="98"/>
              </w:rPr>
              <w:t>Col. A</w:t>
            </w:r>
          </w:p>
        </w:tc>
        <w:tc>
          <w:tcPr>
            <w:tcW w:w="1360" w:type="dxa"/>
            <w:vAlign w:val="bottom"/>
          </w:tcPr>
          <w:p>
            <w:pPr>
              <w:spacing w:after="0"/>
              <w:rPr>
                <w:sz w:val="17"/>
                <w:szCs w:val="17"/>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Col. B</w:t>
            </w:r>
          </w:p>
        </w:tc>
        <w:tc>
          <w:tcPr>
            <w:tcW w:w="1060" w:type="dxa"/>
            <w:vAlign w:val="bottom"/>
          </w:tcPr>
          <w:p>
            <w:pPr>
              <w:spacing w:after="0"/>
              <w:rPr>
                <w:sz w:val="17"/>
                <w:szCs w:val="17"/>
                <w:color w:val="auto"/>
              </w:rPr>
            </w:pPr>
          </w:p>
        </w:tc>
      </w:tr>
      <w:tr>
        <w:trPr>
          <w:trHeight w:val="203"/>
        </w:trPr>
        <w:tc>
          <w:tcPr>
            <w:tcW w:w="332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8"/>
              </w:rPr>
              <w:t>------</w:t>
            </w:r>
          </w:p>
        </w:tc>
        <w:tc>
          <w:tcPr>
            <w:tcW w:w="3320" w:type="dxa"/>
            <w:vAlign w:val="bottom"/>
            <w:gridSpan w:val="3"/>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32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Charged to</w:t>
            </w:r>
          </w:p>
        </w:tc>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Costs and Expenses</w:t>
            </w:r>
          </w:p>
        </w:tc>
      </w:tr>
      <w:tr>
        <w:trPr>
          <w:trHeight w:val="203"/>
        </w:trPr>
        <w:tc>
          <w:tcPr>
            <w:tcW w:w="3320" w:type="dxa"/>
            <w:vAlign w:val="bottom"/>
          </w:tcPr>
          <w:p>
            <w:pPr>
              <w:spacing w:after="0"/>
              <w:rPr>
                <w:sz w:val="17"/>
                <w:szCs w:val="17"/>
                <w:color w:val="auto"/>
              </w:rPr>
            </w:pPr>
          </w:p>
        </w:tc>
        <w:tc>
          <w:tcPr>
            <w:tcW w:w="3320" w:type="dxa"/>
            <w:vAlign w:val="bottom"/>
            <w:gridSpan w:val="3"/>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320" w:type="dxa"/>
            <w:vAlign w:val="bottom"/>
          </w:tcPr>
          <w:p>
            <w:pPr>
              <w:spacing w:after="0"/>
              <w:rPr>
                <w:sz w:val="17"/>
                <w:szCs w:val="17"/>
                <w:color w:val="auto"/>
              </w:rPr>
            </w:pPr>
          </w:p>
        </w:tc>
        <w:tc>
          <w:tcPr>
            <w:tcW w:w="332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Year Ended December 31,</w:t>
            </w:r>
          </w:p>
        </w:tc>
      </w:tr>
      <w:tr>
        <w:trPr>
          <w:trHeight w:val="203"/>
        </w:trPr>
        <w:tc>
          <w:tcPr>
            <w:tcW w:w="3320" w:type="dxa"/>
            <w:vAlign w:val="bottom"/>
          </w:tcPr>
          <w:p>
            <w:pPr>
              <w:spacing w:after="0"/>
              <w:rPr>
                <w:sz w:val="17"/>
                <w:szCs w:val="17"/>
                <w:color w:val="auto"/>
              </w:rPr>
            </w:pPr>
          </w:p>
        </w:tc>
        <w:tc>
          <w:tcPr>
            <w:tcW w:w="3320" w:type="dxa"/>
            <w:vAlign w:val="bottom"/>
            <w:gridSpan w:val="3"/>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320" w:type="dxa"/>
            <w:vAlign w:val="bottom"/>
          </w:tcPr>
          <w:p>
            <w:pPr>
              <w:spacing w:after="0"/>
              <w:rPr>
                <w:sz w:val="17"/>
                <w:szCs w:val="17"/>
                <w:color w:val="auto"/>
              </w:rPr>
            </w:pPr>
          </w:p>
        </w:tc>
        <w:tc>
          <w:tcPr>
            <w:tcW w:w="13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1993</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1991</w:t>
            </w:r>
          </w:p>
        </w:tc>
      </w:tr>
      <w:tr>
        <w:trPr>
          <w:trHeight w:val="203"/>
        </w:trPr>
        <w:tc>
          <w:tcPr>
            <w:tcW w:w="3320" w:type="dxa"/>
            <w:vAlign w:val="bottom"/>
          </w:tcPr>
          <w:p>
            <w:pPr>
              <w:spacing w:after="0"/>
              <w:rPr>
                <w:sz w:val="17"/>
                <w:szCs w:val="17"/>
                <w:color w:val="auto"/>
              </w:rPr>
            </w:pPr>
          </w:p>
        </w:tc>
        <w:tc>
          <w:tcPr>
            <w:tcW w:w="13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20" w:type="dxa"/>
            <w:vAlign w:val="bottom"/>
          </w:tcPr>
          <w:p>
            <w:pPr>
              <w:jc w:val="center"/>
              <w:ind w:left="372"/>
              <w:spacing w:after="0"/>
              <w:rPr>
                <w:sz w:val="20"/>
                <w:szCs w:val="20"/>
                <w:color w:val="auto"/>
              </w:rPr>
            </w:pPr>
            <w:r>
              <w:rPr>
                <w:rFonts w:ascii="Courier New" w:cs="Courier New" w:eastAsia="Courier New" w:hAnsi="Courier New"/>
                <w:sz w:val="18"/>
                <w:szCs w:val="18"/>
                <w:color w:val="auto"/>
                <w:w w:val="97"/>
              </w:rPr>
              <w:t>ITEM</w:t>
            </w:r>
          </w:p>
        </w:tc>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Maintenance and repairs</w:t>
            </w:r>
          </w:p>
        </w:tc>
        <w:tc>
          <w:tcPr>
            <w:tcW w:w="1360" w:type="dxa"/>
            <w:vAlign w:val="bottom"/>
          </w:tcPr>
          <w:p>
            <w:pPr>
              <w:ind w:left="480"/>
              <w:spacing w:after="0"/>
              <w:rPr>
                <w:sz w:val="20"/>
                <w:szCs w:val="20"/>
                <w:color w:val="auto"/>
              </w:rPr>
            </w:pPr>
            <w:r>
              <w:rPr>
                <w:rFonts w:ascii="Courier New" w:cs="Courier New" w:eastAsia="Courier New" w:hAnsi="Courier New"/>
                <w:sz w:val="18"/>
                <w:szCs w:val="18"/>
                <w:color w:val="auto"/>
              </w:rPr>
              <w:t>$21,104</w:t>
            </w:r>
          </w:p>
        </w:tc>
        <w:tc>
          <w:tcPr>
            <w:tcW w:w="900" w:type="dxa"/>
            <w:vAlign w:val="bottom"/>
          </w:tcPr>
          <w:p>
            <w:pPr>
              <w:jc w:val="center"/>
              <w:spacing w:after="0"/>
              <w:rPr>
                <w:sz w:val="20"/>
                <w:szCs w:val="20"/>
                <w:color w:val="auto"/>
              </w:rPr>
            </w:pPr>
            <w:r>
              <w:rPr>
                <w:rFonts w:ascii="Courier New" w:cs="Courier New" w:eastAsia="Courier New" w:hAnsi="Courier New"/>
                <w:sz w:val="18"/>
                <w:szCs w:val="18"/>
                <w:color w:val="auto"/>
                <w:w w:val="97"/>
              </w:rPr>
              <w:t>$25,649</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$20,145</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Advertising costs</w:t>
            </w:r>
          </w:p>
        </w:tc>
        <w:tc>
          <w:tcPr>
            <w:tcW w:w="13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$79,827</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$51,124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$68,858</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w:t>
            </w:r>
          </w:p>
        </w:tc>
        <w:tc>
          <w:tcPr>
            <w:tcW w:w="13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$60,278</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$63,256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$62,795</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Taxes, other than payroll and</w:t>
            </w:r>
          </w:p>
        </w:tc>
        <w:tc>
          <w:tcPr>
            <w:tcW w:w="13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$30,362</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$21,000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$19,805</w:t>
            </w:r>
          </w:p>
        </w:tc>
      </w:tr>
      <w:tr>
        <w:trPr>
          <w:trHeight w:val="203"/>
        </w:trPr>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w:t>
            </w: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2739"/>
        <w:spacing w:after="0" w:line="290" w:lineRule="auto"/>
        <w:rPr>
          <w:sz w:val="20"/>
          <w:szCs w:val="20"/>
          <w:color w:val="auto"/>
        </w:rPr>
      </w:pPr>
      <w:r>
        <w:rPr>
          <w:rFonts w:ascii="Courier New" w:cs="Courier New" w:eastAsia="Courier New" w:hAnsi="Courier New"/>
          <w:sz w:val="16"/>
          <w:szCs w:val="16"/>
          <w:color w:val="auto"/>
        </w:rPr>
        <w:t>Items not presented above are less than 1% of revenues or are presented elsewhere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F-6</w:t>
      </w:r>
    </w:p>
    <w:p>
      <w:pPr>
        <w:sectPr>
          <w:pgSz w:w="11900" w:h="16838" w:orient="portrait"/>
          <w:cols w:equalWidth="0" w:num="1">
            <w:col w:w="9159"/>
          </w:cols>
          <w:pgMar w:left="1300" w:top="1122" w:right="1440" w:bottom="1440" w:gutter="0" w:footer="0" w:header="0"/>
        </w:sectPr>
      </w:pPr>
    </w:p>
    <w:bookmarkStart w:id="124" w:name="page125"/>
    <w:bookmarkEnd w:id="124"/>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Directors and Executive Officers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For information concerning the current executive officers of Viacom Inc. and the Company, see "Executive Officers of Viacom Inc. and the Company" in Part I of this report.</w:t>
      </w: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Set forth below is certain information concerning the directors of Viacom Inc and the Company. Each director is also a director of Paramount.</w:t>
      </w:r>
    </w:p>
    <w:p>
      <w:pPr>
        <w:sectPr>
          <w:pgSz w:w="11900" w:h="16838" w:orient="portrait"/>
          <w:cols w:equalWidth="0" w:num="1">
            <w:col w:w="10219"/>
          </w:cols>
          <w:pgMar w:left="240" w:top="717" w:right="1440" w:bottom="1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Director*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 Offices</w:t>
      </w:r>
    </w:p>
    <w:p>
      <w:pPr>
        <w:ind w:left="840"/>
        <w:spacing w:after="0" w:line="238" w:lineRule="auto"/>
        <w:rPr>
          <w:sz w:val="20"/>
          <w:szCs w:val="20"/>
          <w:color w:val="auto"/>
        </w:rPr>
      </w:pPr>
      <w:r>
        <w:rPr>
          <w:rFonts w:ascii="Courier New" w:cs="Courier New" w:eastAsia="Courier New" w:hAnsi="Courier New"/>
          <w:sz w:val="18"/>
          <w:szCs w:val="18"/>
          <w:color w:val="auto"/>
        </w:rPr>
        <w:t>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Occupation**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3820" w:space="720"/>
            <w:col w:w="5679"/>
          </w:cols>
          <w:pgMar w:left="240" w:top="717" w:right="1440" w:bottom="142" w:gutter="0" w:footer="0" w:header="0"/>
          <w:type w:val="continuous"/>
        </w:sectPr>
      </w:pP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George S. Abrams</w:t>
      </w:r>
    </w:p>
    <w:p>
      <w:pPr>
        <w:ind w:left="860"/>
        <w:spacing w:after="0" w:line="238" w:lineRule="auto"/>
        <w:rPr>
          <w:sz w:val="20"/>
          <w:szCs w:val="20"/>
          <w:color w:val="auto"/>
        </w:rPr>
      </w:pPr>
      <w:r>
        <w:rPr>
          <w:rFonts w:ascii="Courier New" w:cs="Courier New" w:eastAsia="Courier New" w:hAnsi="Courier New"/>
          <w:sz w:val="18"/>
          <w:szCs w:val="18"/>
          <w:color w:val="auto"/>
        </w:rPr>
        <w:t>Age 61</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Director since 1987</w:t>
      </w:r>
    </w:p>
    <w:p>
      <w:pPr>
        <w:spacing w:after="0" w:line="20" w:lineRule="exact"/>
        <w:rPr>
          <w:sz w:val="20"/>
          <w:szCs w:val="20"/>
          <w:color w:val="auto"/>
        </w:rPr>
      </w:pPr>
      <w:r>
        <w:rPr>
          <w:sz w:val="20"/>
          <w:szCs w:val="20"/>
          <w:color w:val="auto"/>
        </w:rPr>
        <w:br w:type="column"/>
      </w:r>
    </w:p>
    <w:p>
      <w:pPr>
        <w:ind w:right="1879"/>
        <w:spacing w:after="0" w:line="238" w:lineRule="auto"/>
        <w:rPr>
          <w:sz w:val="20"/>
          <w:szCs w:val="20"/>
          <w:color w:val="auto"/>
        </w:rPr>
      </w:pPr>
      <w:r>
        <w:rPr>
          <w:rFonts w:ascii="Courier New" w:cs="Courier New" w:eastAsia="Courier New" w:hAnsi="Courier New"/>
          <w:sz w:val="18"/>
          <w:szCs w:val="18"/>
          <w:color w:val="auto"/>
        </w:rPr>
        <w:t>Associated with Winer &amp; Abrams, a law firm located in Boston, Massachusetts, for more than five years. Mr. Abrams became a director of Paramount in 1994 and NAI in 1992. He is the former General Counsel and Staff Director of the United States Senate Judiciary Committee on Refugees. Mr. Abrams is also a member of the Boards of Trustees and Visiting Committees of a number of art museums, art-related organizations and educational institutions.</w:t>
      </w:r>
    </w:p>
    <w:p>
      <w:pPr>
        <w:spacing w:after="0" w:line="200" w:lineRule="exact"/>
        <w:rPr>
          <w:sz w:val="20"/>
          <w:szCs w:val="20"/>
          <w:color w:val="auto"/>
        </w:rPr>
      </w:pPr>
    </w:p>
    <w:p>
      <w:pPr>
        <w:sectPr>
          <w:pgSz w:w="11900" w:h="16838" w:orient="portrait"/>
          <w:cols w:equalWidth="0" w:num="2">
            <w:col w:w="3500" w:space="720"/>
            <w:col w:w="5999"/>
          </w:cols>
          <w:pgMar w:left="240" w:top="717" w:right="1440" w:bottom="142" w:gutter="0" w:footer="0" w:header="0"/>
          <w:type w:val="continuous"/>
        </w:sectPr>
      </w:pP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Frank J. Biondi, Jr.</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Age 49</w:t>
      </w:r>
    </w:p>
    <w:p>
      <w:pPr>
        <w:ind w:left="540"/>
        <w:spacing w:after="0" w:line="238" w:lineRule="auto"/>
        <w:rPr>
          <w:sz w:val="20"/>
          <w:szCs w:val="20"/>
          <w:color w:val="auto"/>
        </w:rPr>
      </w:pPr>
      <w:r>
        <w:rPr>
          <w:rFonts w:ascii="Courier New" w:cs="Courier New" w:eastAsia="Courier New" w:hAnsi="Courier New"/>
          <w:sz w:val="18"/>
          <w:szCs w:val="18"/>
          <w:color w:val="auto"/>
        </w:rPr>
        <w:t>Director since 1987</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President, Chief Executive Officer of Viacom Inc. and the Company since July 1987 and Paramount since March 1994. Mr. Biondi became a director of Paramount in 1994. From November 1986 to July 1987, Mr. Biondi was Chairman, Chief Executive Officer of Coca-Cola Television and, from 1985, Executive Vice President of the Entertainment Business Sector of The Coca-Cola Company. Mr. Biondi joined Home Box Office in 1978 and held various positions there until his appointment as President, Chief Executive Officer in 1983. In 1984, he was elected to the additional position of Chairman and continued to serve in such capacities until October 1984. Mr. Biondi recently became a director of Maybelline, Inc.</w:t>
      </w:r>
    </w:p>
    <w:p>
      <w:pPr>
        <w:spacing w:after="0" w:line="200" w:lineRule="exact"/>
        <w:rPr>
          <w:sz w:val="20"/>
          <w:szCs w:val="20"/>
          <w:color w:val="auto"/>
        </w:rPr>
      </w:pPr>
    </w:p>
    <w:p>
      <w:pPr>
        <w:sectPr>
          <w:pgSz w:w="11900" w:h="16838" w:orient="portrait"/>
          <w:cols w:equalWidth="0" w:num="2">
            <w:col w:w="3500" w:space="720"/>
            <w:col w:w="5999"/>
          </w:cols>
          <w:pgMar w:left="240" w:top="717" w:right="1440" w:bottom="142" w:gutter="0" w:footer="0" w:header="0"/>
          <w:type w:val="continuous"/>
        </w:sect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Philippe P. Dauman</w:t>
      </w:r>
    </w:p>
    <w:p>
      <w:pPr>
        <w:ind w:left="860"/>
        <w:spacing w:after="0" w:line="238" w:lineRule="auto"/>
        <w:rPr>
          <w:sz w:val="20"/>
          <w:szCs w:val="20"/>
          <w:color w:val="auto"/>
        </w:rPr>
      </w:pPr>
      <w:r>
        <w:rPr>
          <w:rFonts w:ascii="Courier New" w:cs="Courier New" w:eastAsia="Courier New" w:hAnsi="Courier New"/>
          <w:sz w:val="18"/>
          <w:szCs w:val="18"/>
          <w:color w:val="auto"/>
        </w:rPr>
        <w:t>Age 40</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Director since 1987</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Vice President, General</w:t>
      </w:r>
    </w:p>
    <w:p>
      <w:pPr>
        <w:spacing w:after="0" w:line="238" w:lineRule="auto"/>
        <w:rPr>
          <w:sz w:val="20"/>
          <w:szCs w:val="20"/>
          <w:color w:val="auto"/>
        </w:rPr>
      </w:pPr>
      <w:r>
        <w:rPr>
          <w:rFonts w:ascii="Courier New" w:cs="Courier New" w:eastAsia="Courier New" w:hAnsi="Courier New"/>
          <w:sz w:val="18"/>
          <w:szCs w:val="18"/>
          <w:color w:val="auto"/>
        </w:rPr>
        <w:t>Counsel, Chief Administrative</w:t>
      </w:r>
    </w:p>
    <w:p>
      <w:pPr>
        <w:spacing w:after="0"/>
        <w:rPr>
          <w:sz w:val="20"/>
          <w:szCs w:val="20"/>
          <w:color w:val="auto"/>
        </w:rPr>
      </w:pPr>
      <w:r>
        <w:rPr>
          <w:rFonts w:ascii="Courier New" w:cs="Courier New" w:eastAsia="Courier New" w:hAnsi="Courier New"/>
          <w:sz w:val="18"/>
          <w:szCs w:val="18"/>
          <w:color w:val="auto"/>
        </w:rPr>
        <w:t>Officer and Secretary of Viacom Inc.,</w:t>
      </w:r>
    </w:p>
    <w:p>
      <w:pPr>
        <w:spacing w:after="0" w:line="237" w:lineRule="auto"/>
        <w:rPr>
          <w:sz w:val="20"/>
          <w:szCs w:val="20"/>
          <w:color w:val="auto"/>
        </w:rPr>
      </w:pPr>
      <w:r>
        <w:rPr>
          <w:rFonts w:ascii="Courier New" w:cs="Courier New" w:eastAsia="Courier New" w:hAnsi="Courier New"/>
          <w:sz w:val="18"/>
          <w:szCs w:val="18"/>
          <w:color w:val="auto"/>
        </w:rPr>
        <w:t>the Company and Paramount since March</w:t>
      </w:r>
    </w:p>
    <w:p>
      <w:pPr>
        <w:spacing w:after="0"/>
        <w:tabs>
          <w:tab w:leader="none" w:pos="720" w:val="left"/>
        </w:tabs>
        <w:rPr>
          <w:sz w:val="20"/>
          <w:szCs w:val="20"/>
          <w:color w:val="auto"/>
        </w:rPr>
      </w:pP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6"/>
          <w:szCs w:val="16"/>
          <w:color w:val="auto"/>
        </w:rPr>
        <w:t>Mr. Dauman became a director of</w:t>
      </w:r>
    </w:p>
    <w:p>
      <w:pPr>
        <w:spacing w:after="0"/>
        <w:rPr>
          <w:sz w:val="20"/>
          <w:szCs w:val="20"/>
          <w:color w:val="auto"/>
        </w:rPr>
      </w:pPr>
      <w:r>
        <w:rPr>
          <w:rFonts w:ascii="Courier New" w:cs="Courier New" w:eastAsia="Courier New" w:hAnsi="Courier New"/>
          <w:sz w:val="18"/>
          <w:szCs w:val="18"/>
          <w:color w:val="auto"/>
        </w:rPr>
        <w:t>Paramount in 1994 and NAI in 1992.</w:t>
      </w:r>
    </w:p>
    <w:p>
      <w:pPr>
        <w:spacing w:after="0" w:line="237" w:lineRule="auto"/>
        <w:rPr>
          <w:sz w:val="20"/>
          <w:szCs w:val="20"/>
          <w:color w:val="auto"/>
        </w:rPr>
      </w:pPr>
      <w:r>
        <w:rPr>
          <w:rFonts w:ascii="Courier New" w:cs="Courier New" w:eastAsia="Courier New" w:hAnsi="Courier New"/>
          <w:sz w:val="18"/>
          <w:szCs w:val="18"/>
          <w:color w:val="auto"/>
        </w:rPr>
        <w:t>From February 1993 to March 1994, Mr.</w:t>
      </w:r>
    </w:p>
    <w:p>
      <w:pPr>
        <w:spacing w:after="0"/>
        <w:rPr>
          <w:sz w:val="20"/>
          <w:szCs w:val="20"/>
          <w:color w:val="auto"/>
        </w:rPr>
      </w:pPr>
      <w:r>
        <w:rPr>
          <w:rFonts w:ascii="Courier New" w:cs="Courier New" w:eastAsia="Courier New" w:hAnsi="Courier New"/>
          <w:sz w:val="18"/>
          <w:szCs w:val="18"/>
          <w:color w:val="auto"/>
        </w:rPr>
        <w:t>Dauman served as Senior Vice President,</w:t>
      </w:r>
    </w:p>
    <w:p>
      <w:pPr>
        <w:spacing w:after="0" w:line="237" w:lineRule="auto"/>
        <w:rPr>
          <w:sz w:val="20"/>
          <w:szCs w:val="20"/>
          <w:color w:val="auto"/>
        </w:rPr>
      </w:pPr>
      <w:r>
        <w:rPr>
          <w:rFonts w:ascii="Courier New" w:cs="Courier New" w:eastAsia="Courier New" w:hAnsi="Courier New"/>
          <w:sz w:val="18"/>
          <w:szCs w:val="18"/>
          <w:color w:val="auto"/>
        </w:rPr>
        <w:t>General Counsel and Secretary of Viacom</w:t>
      </w:r>
    </w:p>
    <w:p>
      <w:pPr>
        <w:spacing w:after="0"/>
        <w:rPr>
          <w:sz w:val="20"/>
          <w:szCs w:val="20"/>
          <w:color w:val="auto"/>
        </w:rPr>
      </w:pPr>
      <w:r>
        <w:rPr>
          <w:rFonts w:ascii="Courier New" w:cs="Courier New" w:eastAsia="Courier New" w:hAnsi="Courier New"/>
          <w:sz w:val="18"/>
          <w:szCs w:val="18"/>
          <w:color w:val="auto"/>
        </w:rPr>
        <w:t>Inc. and the Company. Prior to that,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Dauman was a partner in the law firm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Shearman &amp; Sterling in New York,</w:t>
      </w:r>
    </w:p>
    <w:p>
      <w:pPr>
        <w:spacing w:after="0" w:line="238" w:lineRule="auto"/>
        <w:rPr>
          <w:sz w:val="20"/>
          <w:szCs w:val="20"/>
          <w:color w:val="auto"/>
        </w:rPr>
      </w:pPr>
      <w:r>
        <w:rPr>
          <w:rFonts w:ascii="Courier New" w:cs="Courier New" w:eastAsia="Courier New" w:hAnsi="Courier New"/>
          <w:sz w:val="18"/>
          <w:szCs w:val="18"/>
          <w:color w:val="auto"/>
        </w:rPr>
        <w:t>which he joined in 1978.</w:t>
      </w:r>
    </w:p>
    <w:p>
      <w:pPr>
        <w:spacing w:after="0" w:line="200" w:lineRule="exact"/>
        <w:rPr>
          <w:sz w:val="20"/>
          <w:szCs w:val="20"/>
          <w:color w:val="auto"/>
        </w:rPr>
      </w:pPr>
    </w:p>
    <w:p>
      <w:pPr>
        <w:sectPr>
          <w:pgSz w:w="11900" w:h="16838" w:orient="portrait"/>
          <w:cols w:equalWidth="0" w:num="2">
            <w:col w:w="3500" w:space="720"/>
            <w:col w:w="5999"/>
          </w:cols>
          <w:pgMar w:left="240" w:top="717" w:right="1440" w:bottom="142" w:gutter="0" w:footer="0" w:header="0"/>
          <w:type w:val="continuous"/>
        </w:sectPr>
      </w:pP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William C. Ferguson</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Age 63</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Director since 1993</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Chairman of the Board and Chief Executive Officer of NYNEX since October 1989. Mr. Ferguson became a director of Paramount in 1994. He served as Vice Chairman of the Board of NYNEX from 1987 to 1989 and as President and Chief Executive Officer from June to September 1989. He has served as a director of NYNEX since 1987. He is also a director of CPC International, Inc. and General Re Corporation.</w:t>
      </w:r>
    </w:p>
    <w:p>
      <w:pPr>
        <w:sectPr>
          <w:pgSz w:w="11900" w:h="16838" w:orient="portrait"/>
          <w:cols w:equalWidth="0" w:num="2">
            <w:col w:w="3500" w:space="720"/>
            <w:col w:w="5999"/>
          </w:cols>
          <w:pgMar w:left="240" w:top="717" w:right="1440" w:bottom="142" w:gutter="0" w:footer="0" w:header="0"/>
          <w:type w:val="continuous"/>
        </w:sectPr>
      </w:pPr>
    </w:p>
    <w:bookmarkStart w:id="125" w:name="page126"/>
    <w:bookmarkEnd w:id="125"/>
    <w:p>
      <w:pPr>
        <w:ind w:left="2180"/>
        <w:spacing w:after="0"/>
        <w:rPr>
          <w:sz w:val="20"/>
          <w:szCs w:val="20"/>
          <w:color w:val="auto"/>
        </w:rPr>
      </w:pPr>
      <w:r>
        <w:rPr>
          <w:rFonts w:ascii="Courier New" w:cs="Courier New" w:eastAsia="Courier New" w:hAnsi="Courier New"/>
          <w:sz w:val="16"/>
          <w:szCs w:val="16"/>
          <w:color w:val="auto"/>
        </w:rPr>
        <w:t>III-1</w:t>
      </w:r>
    </w:p>
    <w:p>
      <w:pPr>
        <w:sectPr>
          <w:pgSz w:w="11900" w:h="16838" w:orient="portrait"/>
          <w:cols w:equalWidth="0" w:num="1">
            <w:col w:w="9019"/>
          </w:cols>
          <w:pgMar w:left="1440" w:top="344" w:right="1440" w:bottom="1440" w:gutter="0" w:footer="0" w:header="0"/>
        </w:sectPr>
      </w:pPr>
    </w:p>
    <w:bookmarkStart w:id="126" w:name="page127"/>
    <w:bookmarkEnd w:id="126"/>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Corporation Offices</w:t>
      </w:r>
    </w:p>
    <w:p>
      <w:pPr>
        <w:ind w:left="840"/>
        <w:spacing w:after="0" w:line="238" w:lineRule="auto"/>
        <w:rPr>
          <w:sz w:val="20"/>
          <w:szCs w:val="20"/>
          <w:color w:val="auto"/>
        </w:rPr>
      </w:pPr>
      <w:r>
        <w:rPr>
          <w:rFonts w:ascii="Courier New" w:cs="Courier New" w:eastAsia="Courier New" w:hAnsi="Courier New"/>
          <w:sz w:val="18"/>
          <w:szCs w:val="18"/>
          <w:color w:val="auto"/>
        </w:rPr>
        <w:t>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Occupation**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3180" w:space="720"/>
            <w:col w:w="5899"/>
          </w:cols>
          <w:pgMar w:left="660" w:top="717" w:right="1440" w:bottom="784" w:gutter="0" w:footer="0" w:header="0"/>
        </w:sectPr>
      </w:pP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H. Wayne Huizenga</w:t>
      </w:r>
    </w:p>
    <w:p>
      <w:pPr>
        <w:ind w:left="440"/>
        <w:spacing w:after="0" w:line="238" w:lineRule="auto"/>
        <w:rPr>
          <w:sz w:val="20"/>
          <w:szCs w:val="20"/>
          <w:color w:val="auto"/>
        </w:rPr>
      </w:pPr>
      <w:r>
        <w:rPr>
          <w:rFonts w:ascii="Courier New" w:cs="Courier New" w:eastAsia="Courier New" w:hAnsi="Courier New"/>
          <w:sz w:val="18"/>
          <w:szCs w:val="18"/>
          <w:color w:val="auto"/>
        </w:rPr>
        <w:t>Age 56</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Director since 1993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Chairman of the Board and Chief</w:t>
      </w:r>
    </w:p>
    <w:p>
      <w:pPr>
        <w:spacing w:after="0" w:line="238" w:lineRule="auto"/>
        <w:rPr>
          <w:sz w:val="20"/>
          <w:szCs w:val="20"/>
          <w:color w:val="auto"/>
        </w:rPr>
      </w:pPr>
      <w:r>
        <w:rPr>
          <w:rFonts w:ascii="Courier New" w:cs="Courier New" w:eastAsia="Courier New" w:hAnsi="Courier New"/>
          <w:sz w:val="18"/>
          <w:szCs w:val="18"/>
          <w:color w:val="auto"/>
        </w:rPr>
        <w:t>Executive Officer of Blockbuster</w:t>
      </w:r>
    </w:p>
    <w:p>
      <w:pPr>
        <w:spacing w:after="0"/>
        <w:tabs>
          <w:tab w:leader="none" w:pos="1980" w:val="left"/>
        </w:tabs>
        <w:rPr>
          <w:sz w:val="20"/>
          <w:szCs w:val="20"/>
          <w:color w:val="auto"/>
        </w:rPr>
      </w:pPr>
      <w:r>
        <w:rPr>
          <w:rFonts w:ascii="Courier New" w:cs="Courier New" w:eastAsia="Courier New" w:hAnsi="Courier New"/>
          <w:sz w:val="18"/>
          <w:szCs w:val="18"/>
          <w:color w:val="auto"/>
        </w:rPr>
        <w:t>since April 1987.</w:t>
      </w:r>
      <w:r>
        <w:rPr>
          <w:sz w:val="20"/>
          <w:szCs w:val="20"/>
          <w:color w:val="auto"/>
        </w:rPr>
        <w:tab/>
      </w:r>
      <w:r>
        <w:rPr>
          <w:rFonts w:ascii="Courier New" w:cs="Courier New" w:eastAsia="Courier New" w:hAnsi="Courier New"/>
          <w:sz w:val="16"/>
          <w:szCs w:val="16"/>
          <w:color w:val="auto"/>
        </w:rPr>
        <w:t>Mr. Huizenga became</w:t>
      </w:r>
    </w:p>
    <w:p>
      <w:pPr>
        <w:spacing w:after="0"/>
        <w:tabs>
          <w:tab w:leader="none" w:pos="3560" w:val="left"/>
        </w:tabs>
        <w:rPr>
          <w:sz w:val="20"/>
          <w:szCs w:val="20"/>
          <w:color w:val="auto"/>
        </w:rPr>
      </w:pPr>
      <w:r>
        <w:rPr>
          <w:rFonts w:ascii="Courier New" w:cs="Courier New" w:eastAsia="Courier New" w:hAnsi="Courier New"/>
          <w:sz w:val="18"/>
          <w:szCs w:val="18"/>
          <w:color w:val="auto"/>
        </w:rPr>
        <w:t>a director of Paramount in 1994.</w:t>
      </w:r>
      <w:r>
        <w:rPr>
          <w:sz w:val="20"/>
          <w:szCs w:val="20"/>
          <w:color w:val="auto"/>
        </w:rPr>
        <w:tab/>
      </w:r>
      <w:r>
        <w:rPr>
          <w:rFonts w:ascii="Courier New" w:cs="Courier New" w:eastAsia="Courier New" w:hAnsi="Courier New"/>
          <w:sz w:val="16"/>
          <w:szCs w:val="16"/>
          <w:color w:val="auto"/>
        </w:rPr>
        <w:t>He</w:t>
      </w:r>
    </w:p>
    <w:p>
      <w:pPr>
        <w:spacing w:after="0" w:line="238" w:lineRule="auto"/>
        <w:rPr>
          <w:sz w:val="20"/>
          <w:szCs w:val="20"/>
          <w:color w:val="auto"/>
        </w:rPr>
      </w:pPr>
      <w:r>
        <w:rPr>
          <w:rFonts w:ascii="Courier New" w:cs="Courier New" w:eastAsia="Courier New" w:hAnsi="Courier New"/>
          <w:sz w:val="18"/>
          <w:szCs w:val="18"/>
          <w:color w:val="auto"/>
        </w:rPr>
        <w:t>served as President of Blockbuster from</w:t>
      </w:r>
    </w:p>
    <w:p>
      <w:pPr>
        <w:spacing w:after="0"/>
        <w:rPr>
          <w:sz w:val="20"/>
          <w:szCs w:val="20"/>
          <w:color w:val="auto"/>
        </w:rPr>
      </w:pPr>
      <w:r>
        <w:rPr>
          <w:rFonts w:ascii="Courier New" w:cs="Courier New" w:eastAsia="Courier New" w:hAnsi="Courier New"/>
          <w:sz w:val="18"/>
          <w:szCs w:val="18"/>
          <w:color w:val="auto"/>
        </w:rPr>
        <w:t>April 1987 until June 1988. He is a</w:t>
      </w:r>
    </w:p>
    <w:p>
      <w:pPr>
        <w:spacing w:after="0" w:line="237" w:lineRule="auto"/>
        <w:rPr>
          <w:sz w:val="20"/>
          <w:szCs w:val="20"/>
          <w:color w:val="auto"/>
        </w:rPr>
      </w:pPr>
      <w:r>
        <w:rPr>
          <w:rFonts w:ascii="Courier New" w:cs="Courier New" w:eastAsia="Courier New" w:hAnsi="Courier New"/>
          <w:sz w:val="18"/>
          <w:szCs w:val="18"/>
          <w:color w:val="auto"/>
        </w:rPr>
        <w:t>co-founder of Waste Management, Inc.</w:t>
      </w:r>
    </w:p>
    <w:p>
      <w:pPr>
        <w:spacing w:after="0"/>
        <w:rPr>
          <w:sz w:val="20"/>
          <w:szCs w:val="20"/>
          <w:color w:val="auto"/>
        </w:rPr>
      </w:pPr>
      <w:r>
        <w:rPr>
          <w:rFonts w:ascii="Courier New" w:cs="Courier New" w:eastAsia="Courier New" w:hAnsi="Courier New"/>
          <w:sz w:val="18"/>
          <w:szCs w:val="18"/>
          <w:color w:val="auto"/>
        </w:rPr>
        <w:t>(now known as WMX Technologies, Inc.),</w:t>
      </w:r>
    </w:p>
    <w:p>
      <w:pPr>
        <w:spacing w:after="0" w:line="237" w:lineRule="auto"/>
        <w:rPr>
          <w:sz w:val="20"/>
          <w:szCs w:val="20"/>
          <w:color w:val="auto"/>
        </w:rPr>
      </w:pPr>
      <w:r>
        <w:rPr>
          <w:rFonts w:ascii="Courier New" w:cs="Courier New" w:eastAsia="Courier New" w:hAnsi="Courier New"/>
          <w:sz w:val="18"/>
          <w:szCs w:val="18"/>
          <w:color w:val="auto"/>
        </w:rPr>
        <w:t>a waste disposal and</w:t>
      </w:r>
    </w:p>
    <w:p>
      <w:pPr>
        <w:spacing w:after="0"/>
        <w:rPr>
          <w:sz w:val="20"/>
          <w:szCs w:val="20"/>
          <w:color w:val="auto"/>
        </w:rPr>
      </w:pPr>
      <w:r>
        <w:rPr>
          <w:rFonts w:ascii="Courier New" w:cs="Courier New" w:eastAsia="Courier New" w:hAnsi="Courier New"/>
          <w:sz w:val="18"/>
          <w:szCs w:val="18"/>
          <w:color w:val="auto"/>
        </w:rPr>
        <w:t>collection company, where he served in</w:t>
      </w:r>
    </w:p>
    <w:p>
      <w:pPr>
        <w:spacing w:after="0" w:line="237" w:lineRule="auto"/>
        <w:rPr>
          <w:sz w:val="20"/>
          <w:szCs w:val="20"/>
          <w:color w:val="auto"/>
        </w:rPr>
      </w:pPr>
      <w:r>
        <w:rPr>
          <w:rFonts w:ascii="Courier New" w:cs="Courier New" w:eastAsia="Courier New" w:hAnsi="Courier New"/>
          <w:sz w:val="18"/>
          <w:szCs w:val="18"/>
          <w:color w:val="auto"/>
        </w:rPr>
        <w:t>various capacities, including President,</w:t>
      </w:r>
    </w:p>
    <w:p>
      <w:pPr>
        <w:spacing w:after="0" w:line="238" w:lineRule="auto"/>
        <w:rPr>
          <w:sz w:val="20"/>
          <w:szCs w:val="20"/>
          <w:color w:val="auto"/>
        </w:rPr>
      </w:pPr>
      <w:r>
        <w:rPr>
          <w:rFonts w:ascii="Courier New" w:cs="Courier New" w:eastAsia="Courier New" w:hAnsi="Courier New"/>
          <w:sz w:val="18"/>
          <w:szCs w:val="18"/>
          <w:color w:val="auto"/>
        </w:rPr>
        <w:t>Chief Operating Officer and a director,</w:t>
      </w:r>
    </w:p>
    <w:p>
      <w:pPr>
        <w:spacing w:after="0"/>
        <w:tabs>
          <w:tab w:leader="none" w:pos="1760" w:val="left"/>
        </w:tabs>
        <w:rPr>
          <w:sz w:val="20"/>
          <w:szCs w:val="20"/>
          <w:color w:val="auto"/>
        </w:rPr>
      </w:pPr>
      <w:r>
        <w:rPr>
          <w:rFonts w:ascii="Courier New" w:cs="Courier New" w:eastAsia="Courier New" w:hAnsi="Courier New"/>
          <w:sz w:val="18"/>
          <w:szCs w:val="18"/>
          <w:color w:val="auto"/>
        </w:rPr>
        <w:t>until May 1984.</w:t>
      </w:r>
      <w:r>
        <w:rPr>
          <w:sz w:val="20"/>
          <w:szCs w:val="20"/>
          <w:color w:val="auto"/>
        </w:rPr>
        <w:tab/>
      </w:r>
      <w:r>
        <w:rPr>
          <w:rFonts w:ascii="Courier New" w:cs="Courier New" w:eastAsia="Courier New" w:hAnsi="Courier New"/>
          <w:sz w:val="16"/>
          <w:szCs w:val="16"/>
          <w:color w:val="auto"/>
        </w:rPr>
        <w:t>From May 1984 to the</w:t>
      </w:r>
    </w:p>
    <w:p>
      <w:pPr>
        <w:spacing w:after="0" w:line="237" w:lineRule="auto"/>
        <w:rPr>
          <w:sz w:val="20"/>
          <w:szCs w:val="20"/>
          <w:color w:val="auto"/>
        </w:rPr>
      </w:pPr>
      <w:r>
        <w:rPr>
          <w:rFonts w:ascii="Courier New" w:cs="Courier New" w:eastAsia="Courier New" w:hAnsi="Courier New"/>
          <w:sz w:val="18"/>
          <w:szCs w:val="18"/>
          <w:color w:val="auto"/>
        </w:rPr>
        <w:t>present, Mr. Huizenga has been an</w:t>
      </w:r>
    </w:p>
    <w:p>
      <w:pPr>
        <w:spacing w:after="0"/>
        <w:rPr>
          <w:sz w:val="20"/>
          <w:szCs w:val="20"/>
          <w:color w:val="auto"/>
        </w:rPr>
      </w:pPr>
      <w:r>
        <w:rPr>
          <w:rFonts w:ascii="Courier New" w:cs="Courier New" w:eastAsia="Courier New" w:hAnsi="Courier New"/>
          <w:sz w:val="18"/>
          <w:szCs w:val="18"/>
          <w:color w:val="auto"/>
        </w:rPr>
        <w:t>investor in other businesses and is the</w:t>
      </w:r>
    </w:p>
    <w:p>
      <w:pPr>
        <w:spacing w:after="0" w:line="237" w:lineRule="auto"/>
        <w:rPr>
          <w:sz w:val="20"/>
          <w:szCs w:val="20"/>
          <w:color w:val="auto"/>
        </w:rPr>
      </w:pPr>
      <w:r>
        <w:rPr>
          <w:rFonts w:ascii="Courier New" w:cs="Courier New" w:eastAsia="Courier New" w:hAnsi="Courier New"/>
          <w:sz w:val="18"/>
          <w:szCs w:val="18"/>
          <w:color w:val="auto"/>
        </w:rPr>
        <w:t>sole shareholder and Chairman of the</w:t>
      </w:r>
    </w:p>
    <w:p>
      <w:pPr>
        <w:spacing w:after="0"/>
        <w:rPr>
          <w:sz w:val="20"/>
          <w:szCs w:val="20"/>
          <w:color w:val="auto"/>
        </w:rPr>
      </w:pPr>
      <w:r>
        <w:rPr>
          <w:rFonts w:ascii="Courier New" w:cs="Courier New" w:eastAsia="Courier New" w:hAnsi="Courier New"/>
          <w:sz w:val="18"/>
          <w:szCs w:val="18"/>
          <w:color w:val="auto"/>
        </w:rPr>
        <w:t>Board of Huizenga Holdings, Inc.</w:t>
      </w:r>
    </w:p>
    <w:p>
      <w:pPr>
        <w:spacing w:after="0" w:line="237" w:lineRule="auto"/>
        <w:rPr>
          <w:sz w:val="20"/>
          <w:szCs w:val="20"/>
          <w:color w:val="auto"/>
        </w:rPr>
      </w:pPr>
      <w:r>
        <w:rPr>
          <w:rFonts w:ascii="Courier New" w:cs="Courier New" w:eastAsia="Courier New" w:hAnsi="Courier New"/>
          <w:sz w:val="18"/>
          <w:szCs w:val="18"/>
          <w:color w:val="auto"/>
        </w:rPr>
        <w:t>("Holdings"), a holding and</w:t>
      </w:r>
    </w:p>
    <w:p>
      <w:pPr>
        <w:spacing w:after="0" w:line="238" w:lineRule="auto"/>
        <w:rPr>
          <w:sz w:val="20"/>
          <w:szCs w:val="20"/>
          <w:color w:val="auto"/>
        </w:rPr>
      </w:pPr>
      <w:r>
        <w:rPr>
          <w:rFonts w:ascii="Courier New" w:cs="Courier New" w:eastAsia="Courier New" w:hAnsi="Courier New"/>
          <w:sz w:val="18"/>
          <w:szCs w:val="18"/>
          <w:color w:val="auto"/>
        </w:rPr>
        <w:t>management company with various</w:t>
      </w:r>
    </w:p>
    <w:p>
      <w:pPr>
        <w:spacing w:after="0"/>
        <w:tabs>
          <w:tab w:leader="none" w:pos="2180" w:val="left"/>
        </w:tabs>
        <w:rPr>
          <w:sz w:val="20"/>
          <w:szCs w:val="20"/>
          <w:color w:val="auto"/>
        </w:rPr>
      </w:pPr>
      <w:r>
        <w:rPr>
          <w:rFonts w:ascii="Courier New" w:cs="Courier New" w:eastAsia="Courier New" w:hAnsi="Courier New"/>
          <w:sz w:val="18"/>
          <w:szCs w:val="18"/>
          <w:color w:val="auto"/>
        </w:rPr>
        <w:t>business interests.</w:t>
      </w:r>
      <w:r>
        <w:rPr>
          <w:sz w:val="20"/>
          <w:szCs w:val="20"/>
          <w:color w:val="auto"/>
        </w:rPr>
        <w:tab/>
      </w:r>
      <w:r>
        <w:rPr>
          <w:rFonts w:ascii="Courier New" w:cs="Courier New" w:eastAsia="Courier New" w:hAnsi="Courier New"/>
          <w:sz w:val="16"/>
          <w:szCs w:val="16"/>
          <w:color w:val="auto"/>
        </w:rPr>
        <w:t>In connection with</w:t>
      </w:r>
    </w:p>
    <w:p>
      <w:pPr>
        <w:spacing w:after="0" w:line="237" w:lineRule="auto"/>
        <w:rPr>
          <w:sz w:val="20"/>
          <w:szCs w:val="20"/>
          <w:color w:val="auto"/>
        </w:rPr>
      </w:pPr>
      <w:r>
        <w:rPr>
          <w:rFonts w:ascii="Courier New" w:cs="Courier New" w:eastAsia="Courier New" w:hAnsi="Courier New"/>
          <w:sz w:val="18"/>
          <w:szCs w:val="18"/>
          <w:color w:val="auto"/>
        </w:rPr>
        <w:t>these business interests, Mr. Huizenga</w:t>
      </w:r>
    </w:p>
    <w:p>
      <w:pPr>
        <w:spacing w:after="0"/>
        <w:rPr>
          <w:sz w:val="20"/>
          <w:szCs w:val="20"/>
          <w:color w:val="auto"/>
        </w:rPr>
      </w:pPr>
      <w:r>
        <w:rPr>
          <w:rFonts w:ascii="Courier New" w:cs="Courier New" w:eastAsia="Courier New" w:hAnsi="Courier New"/>
          <w:sz w:val="18"/>
          <w:szCs w:val="18"/>
          <w:color w:val="auto"/>
        </w:rPr>
        <w:t>has been actively involved in strategic</w:t>
      </w:r>
    </w:p>
    <w:p>
      <w:pPr>
        <w:spacing w:after="0" w:line="237" w:lineRule="auto"/>
        <w:rPr>
          <w:sz w:val="20"/>
          <w:szCs w:val="20"/>
          <w:color w:val="auto"/>
        </w:rPr>
      </w:pPr>
      <w:r>
        <w:rPr>
          <w:rFonts w:ascii="Courier New" w:cs="Courier New" w:eastAsia="Courier New" w:hAnsi="Courier New"/>
          <w:sz w:val="18"/>
          <w:szCs w:val="18"/>
          <w:color w:val="auto"/>
        </w:rPr>
        <w:t>planning for, and executive</w:t>
      </w:r>
    </w:p>
    <w:p>
      <w:pPr>
        <w:spacing w:after="0"/>
        <w:tabs>
          <w:tab w:leader="none" w:pos="3560" w:val="left"/>
        </w:tabs>
        <w:rPr>
          <w:sz w:val="20"/>
          <w:szCs w:val="20"/>
          <w:color w:val="auto"/>
        </w:rPr>
      </w:pPr>
      <w:r>
        <w:rPr>
          <w:rFonts w:ascii="Courier New" w:cs="Courier New" w:eastAsia="Courier New" w:hAnsi="Courier New"/>
          <w:sz w:val="18"/>
          <w:szCs w:val="18"/>
          <w:color w:val="auto"/>
        </w:rPr>
        <w:t>management of, these businesses.</w:t>
      </w:r>
      <w:r>
        <w:rPr>
          <w:sz w:val="20"/>
          <w:szCs w:val="20"/>
          <w:color w:val="auto"/>
        </w:rPr>
        <w:tab/>
      </w:r>
      <w:r>
        <w:rPr>
          <w:rFonts w:ascii="Courier New" w:cs="Courier New" w:eastAsia="Courier New" w:hAnsi="Courier New"/>
          <w:sz w:val="16"/>
          <w:szCs w:val="16"/>
          <w:color w:val="auto"/>
        </w:rPr>
        <w: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also has a majority ownership interest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Florida Marlins Baseball, Ltd., a Major</w:t>
      </w:r>
    </w:p>
    <w:p>
      <w:pPr>
        <w:spacing w:after="0" w:line="238" w:lineRule="auto"/>
        <w:rPr>
          <w:sz w:val="20"/>
          <w:szCs w:val="20"/>
          <w:color w:val="auto"/>
        </w:rPr>
      </w:pPr>
      <w:r>
        <w:rPr>
          <w:rFonts w:ascii="Courier New" w:cs="Courier New" w:eastAsia="Courier New" w:hAnsi="Courier New"/>
          <w:sz w:val="18"/>
          <w:szCs w:val="18"/>
          <w:color w:val="auto"/>
        </w:rPr>
        <w:t>League Baseball sports franchise, owns</w:t>
      </w:r>
    </w:p>
    <w:p>
      <w:pPr>
        <w:spacing w:after="0"/>
        <w:rPr>
          <w:sz w:val="20"/>
          <w:szCs w:val="20"/>
          <w:color w:val="auto"/>
        </w:rPr>
      </w:pPr>
      <w:r>
        <w:rPr>
          <w:rFonts w:ascii="Courier New" w:cs="Courier New" w:eastAsia="Courier New" w:hAnsi="Courier New"/>
          <w:sz w:val="18"/>
          <w:szCs w:val="18"/>
          <w:color w:val="auto"/>
        </w:rPr>
        <w:t>the Florida Panthers Hockey Club, Ltd.,</w:t>
      </w:r>
    </w:p>
    <w:p>
      <w:pPr>
        <w:spacing w:after="0" w:line="237" w:lineRule="auto"/>
        <w:rPr>
          <w:sz w:val="20"/>
          <w:szCs w:val="20"/>
          <w:color w:val="auto"/>
        </w:rPr>
      </w:pPr>
      <w:r>
        <w:rPr>
          <w:rFonts w:ascii="Courier New" w:cs="Courier New" w:eastAsia="Courier New" w:hAnsi="Courier New"/>
          <w:sz w:val="18"/>
          <w:szCs w:val="18"/>
          <w:color w:val="auto"/>
        </w:rPr>
        <w:t>a National Hockey League sports</w:t>
      </w:r>
    </w:p>
    <w:p>
      <w:pPr>
        <w:spacing w:after="0" w:line="238" w:lineRule="auto"/>
        <w:rPr>
          <w:sz w:val="20"/>
          <w:szCs w:val="20"/>
          <w:color w:val="auto"/>
        </w:rPr>
      </w:pPr>
      <w:r>
        <w:rPr>
          <w:rFonts w:ascii="Courier New" w:cs="Courier New" w:eastAsia="Courier New" w:hAnsi="Courier New"/>
          <w:sz w:val="18"/>
          <w:szCs w:val="18"/>
          <w:color w:val="auto"/>
        </w:rPr>
        <w:t>franchise, and has a limited partnership</w:t>
      </w:r>
    </w:p>
    <w:p>
      <w:pPr>
        <w:spacing w:after="0"/>
        <w:rPr>
          <w:sz w:val="20"/>
          <w:szCs w:val="20"/>
          <w:color w:val="auto"/>
        </w:rPr>
      </w:pPr>
      <w:r>
        <w:rPr>
          <w:rFonts w:ascii="Courier New" w:cs="Courier New" w:eastAsia="Courier New" w:hAnsi="Courier New"/>
          <w:sz w:val="18"/>
          <w:szCs w:val="18"/>
          <w:color w:val="auto"/>
        </w:rPr>
        <w:t>interest in Miami Dolphins, Ltd. ("Miami</w:t>
      </w:r>
    </w:p>
    <w:p>
      <w:pPr>
        <w:spacing w:after="0" w:line="237" w:lineRule="auto"/>
        <w:rPr>
          <w:sz w:val="20"/>
          <w:szCs w:val="20"/>
          <w:color w:val="auto"/>
        </w:rPr>
      </w:pPr>
      <w:r>
        <w:rPr>
          <w:rFonts w:ascii="Courier New" w:cs="Courier New" w:eastAsia="Courier New" w:hAnsi="Courier New"/>
          <w:sz w:val="18"/>
          <w:szCs w:val="18"/>
          <w:color w:val="auto"/>
        </w:rPr>
        <w:t>Dolphins"), a National Football League</w:t>
      </w:r>
    </w:p>
    <w:p>
      <w:pPr>
        <w:spacing w:after="0"/>
        <w:rPr>
          <w:sz w:val="20"/>
          <w:szCs w:val="20"/>
          <w:color w:val="auto"/>
        </w:rPr>
      </w:pPr>
      <w:r>
        <w:rPr>
          <w:rFonts w:ascii="Courier New" w:cs="Courier New" w:eastAsia="Courier New" w:hAnsi="Courier New"/>
          <w:sz w:val="18"/>
          <w:szCs w:val="18"/>
          <w:color w:val="auto"/>
        </w:rPr>
        <w:t>sports franchise, and an ownership</w:t>
      </w:r>
    </w:p>
    <w:p>
      <w:pPr>
        <w:spacing w:after="0" w:line="237" w:lineRule="auto"/>
        <w:rPr>
          <w:sz w:val="20"/>
          <w:szCs w:val="20"/>
          <w:color w:val="auto"/>
        </w:rPr>
      </w:pPr>
      <w:r>
        <w:rPr>
          <w:rFonts w:ascii="Courier New" w:cs="Courier New" w:eastAsia="Courier New" w:hAnsi="Courier New"/>
          <w:sz w:val="18"/>
          <w:szCs w:val="18"/>
          <w:color w:val="auto"/>
        </w:rPr>
        <w:t>interest in Robbie Stadium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certain affiliated entities, which own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operate Joe Robbie Stadium in</w:t>
      </w:r>
    </w:p>
    <w:p>
      <w:pPr>
        <w:spacing w:after="0"/>
        <w:tabs>
          <w:tab w:leader="none" w:pos="1660" w:val="left"/>
        </w:tabs>
        <w:rPr>
          <w:sz w:val="20"/>
          <w:szCs w:val="20"/>
          <w:color w:val="auto"/>
        </w:rPr>
      </w:pPr>
      <w:r>
        <w:rPr>
          <w:rFonts w:ascii="Courier New" w:cs="Courier New" w:eastAsia="Courier New" w:hAnsi="Courier New"/>
          <w:sz w:val="18"/>
          <w:szCs w:val="18"/>
          <w:color w:val="auto"/>
        </w:rPr>
        <w:t>South Florida.</w:t>
      </w:r>
      <w:r>
        <w:rPr>
          <w:sz w:val="20"/>
          <w:szCs w:val="20"/>
          <w:color w:val="auto"/>
        </w:rPr>
        <w:tab/>
      </w:r>
      <w:r>
        <w:rPr>
          <w:rFonts w:ascii="Courier New" w:cs="Courier New" w:eastAsia="Courier New" w:hAnsi="Courier New"/>
          <w:sz w:val="16"/>
          <w:szCs w:val="16"/>
          <w:color w:val="auto"/>
        </w:rPr>
        <w:t>Mr. Huizenga has</w:t>
      </w:r>
    </w:p>
    <w:p>
      <w:pPr>
        <w:spacing w:after="0"/>
        <w:rPr>
          <w:sz w:val="20"/>
          <w:szCs w:val="20"/>
          <w:color w:val="auto"/>
        </w:rPr>
      </w:pPr>
      <w:r>
        <w:rPr>
          <w:rFonts w:ascii="Courier New" w:cs="Courier New" w:eastAsia="Courier New" w:hAnsi="Courier New"/>
          <w:sz w:val="18"/>
          <w:szCs w:val="18"/>
          <w:color w:val="auto"/>
        </w:rPr>
        <w:t>entered into an agreement to purchase</w:t>
      </w:r>
    </w:p>
    <w:p>
      <w:pPr>
        <w:spacing w:after="0" w:line="237" w:lineRule="auto"/>
        <w:rPr>
          <w:sz w:val="20"/>
          <w:szCs w:val="20"/>
          <w:color w:val="auto"/>
        </w:rPr>
      </w:pPr>
      <w:r>
        <w:rPr>
          <w:rFonts w:ascii="Courier New" w:cs="Courier New" w:eastAsia="Courier New" w:hAnsi="Courier New"/>
          <w:sz w:val="18"/>
          <w:szCs w:val="18"/>
          <w:color w:val="auto"/>
        </w:rPr>
        <w:t>the remaining ownership interest in the</w:t>
      </w:r>
    </w:p>
    <w:p>
      <w:pPr>
        <w:spacing w:after="0"/>
        <w:tabs>
          <w:tab w:leader="none" w:pos="1760" w:val="left"/>
        </w:tabs>
        <w:rPr>
          <w:sz w:val="20"/>
          <w:szCs w:val="20"/>
          <w:color w:val="auto"/>
        </w:rPr>
      </w:pPr>
      <w:r>
        <w:rPr>
          <w:rFonts w:ascii="Courier New" w:cs="Courier New" w:eastAsia="Courier New" w:hAnsi="Courier New"/>
          <w:sz w:val="18"/>
          <w:szCs w:val="18"/>
          <w:color w:val="auto"/>
        </w:rPr>
        <w:t>Miami Dolphins.</w:t>
      </w:r>
      <w:r>
        <w:rPr>
          <w:sz w:val="20"/>
          <w:szCs w:val="20"/>
          <w:color w:val="auto"/>
        </w:rPr>
        <w:tab/>
      </w:r>
      <w:r>
        <w:rPr>
          <w:rFonts w:ascii="Courier New" w:cs="Courier New" w:eastAsia="Courier New" w:hAnsi="Courier New"/>
          <w:sz w:val="16"/>
          <w:szCs w:val="16"/>
          <w:color w:val="auto"/>
        </w:rPr>
        <w:t>He is Chairman of the</w:t>
      </w:r>
    </w:p>
    <w:p>
      <w:pPr>
        <w:spacing w:after="0"/>
        <w:rPr>
          <w:sz w:val="20"/>
          <w:szCs w:val="20"/>
          <w:color w:val="auto"/>
        </w:rPr>
      </w:pPr>
      <w:r>
        <w:rPr>
          <w:rFonts w:ascii="Courier New" w:cs="Courier New" w:eastAsia="Courier New" w:hAnsi="Courier New"/>
          <w:sz w:val="18"/>
          <w:szCs w:val="18"/>
          <w:color w:val="auto"/>
        </w:rPr>
        <w:t>Board of Directors of Spelling</w:t>
      </w:r>
    </w:p>
    <w:p>
      <w:pPr>
        <w:spacing w:after="0"/>
        <w:tabs>
          <w:tab w:leader="none" w:pos="2700" w:val="left"/>
        </w:tabs>
        <w:rPr>
          <w:sz w:val="20"/>
          <w:szCs w:val="20"/>
          <w:color w:val="auto"/>
        </w:rPr>
      </w:pPr>
      <w:r>
        <w:rPr>
          <w:rFonts w:ascii="Courier New" w:cs="Courier New" w:eastAsia="Courier New" w:hAnsi="Courier New"/>
          <w:sz w:val="18"/>
          <w:szCs w:val="18"/>
          <w:color w:val="auto"/>
        </w:rPr>
        <w:t>Entertainment Group Inc.</w:t>
      </w:r>
      <w:r>
        <w:rPr>
          <w:sz w:val="20"/>
          <w:szCs w:val="20"/>
          <w:color w:val="auto"/>
        </w:rPr>
        <w:tab/>
      </w:r>
      <w:r>
        <w:rPr>
          <w:rFonts w:ascii="Courier New" w:cs="Courier New" w:eastAsia="Courier New" w:hAnsi="Courier New"/>
          <w:sz w:val="16"/>
          <w:szCs w:val="16"/>
          <w:color w:val="auto"/>
        </w:rPr>
        <w:t>He is also a</w:t>
      </w:r>
    </w:p>
    <w:p>
      <w:pPr>
        <w:spacing w:after="0"/>
        <w:rPr>
          <w:sz w:val="20"/>
          <w:szCs w:val="20"/>
          <w:color w:val="auto"/>
        </w:rPr>
      </w:pPr>
      <w:r>
        <w:rPr>
          <w:rFonts w:ascii="Courier New" w:cs="Courier New" w:eastAsia="Courier New" w:hAnsi="Courier New"/>
          <w:sz w:val="18"/>
          <w:szCs w:val="18"/>
          <w:color w:val="auto"/>
        </w:rPr>
        <w:t>director of Discovery Zone, Inc. and</w:t>
      </w:r>
    </w:p>
    <w:p>
      <w:pPr>
        <w:spacing w:after="0" w:line="237" w:lineRule="auto"/>
        <w:rPr>
          <w:sz w:val="20"/>
          <w:szCs w:val="20"/>
          <w:color w:val="auto"/>
        </w:rPr>
      </w:pPr>
      <w:r>
        <w:rPr>
          <w:rFonts w:ascii="Courier New" w:cs="Courier New" w:eastAsia="Courier New" w:hAnsi="Courier New"/>
          <w:sz w:val="18"/>
          <w:szCs w:val="18"/>
          <w:color w:val="auto"/>
        </w:rPr>
        <w:t>Republic Pictures Corporation.</w:t>
      </w:r>
    </w:p>
    <w:p>
      <w:pPr>
        <w:spacing w:after="0" w:line="200" w:lineRule="exact"/>
        <w:rPr>
          <w:sz w:val="20"/>
          <w:szCs w:val="20"/>
          <w:color w:val="auto"/>
        </w:rPr>
      </w:pPr>
    </w:p>
    <w:p>
      <w:pPr>
        <w:sectPr>
          <w:pgSz w:w="11900" w:h="16838" w:orient="portrait"/>
          <w:cols w:equalWidth="0" w:num="2">
            <w:col w:w="2880" w:space="720"/>
            <w:col w:w="6199"/>
          </w:cols>
          <w:pgMar w:left="660" w:top="717" w:right="1440" w:bottom="784" w:gutter="0" w:footer="0" w:header="0"/>
          <w:type w:val="continuous"/>
        </w:sectPr>
      </w:pPr>
    </w:p>
    <w:p>
      <w:pPr>
        <w:spacing w:after="0" w:line="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Ken Miller</w:t>
      </w:r>
    </w:p>
    <w:p>
      <w:pPr>
        <w:ind w:left="320"/>
        <w:spacing w:after="0" w:line="238" w:lineRule="auto"/>
        <w:rPr>
          <w:sz w:val="20"/>
          <w:szCs w:val="20"/>
          <w:color w:val="auto"/>
        </w:rPr>
      </w:pPr>
      <w:r>
        <w:rPr>
          <w:rFonts w:ascii="Courier New" w:cs="Courier New" w:eastAsia="Courier New" w:hAnsi="Courier New"/>
          <w:sz w:val="18"/>
          <w:szCs w:val="18"/>
          <w:color w:val="auto"/>
        </w:rPr>
        <w:t>Age 51</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Director since 1987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President, Chief Executive Officer</w:t>
      </w:r>
    </w:p>
    <w:p>
      <w:pPr>
        <w:spacing w:after="0" w:line="238" w:lineRule="auto"/>
        <w:rPr>
          <w:sz w:val="20"/>
          <w:szCs w:val="20"/>
          <w:color w:val="auto"/>
        </w:rPr>
      </w:pPr>
      <w:r>
        <w:rPr>
          <w:rFonts w:ascii="Courier New" w:cs="Courier New" w:eastAsia="Courier New" w:hAnsi="Courier New"/>
          <w:sz w:val="18"/>
          <w:szCs w:val="18"/>
          <w:color w:val="auto"/>
        </w:rPr>
        <w:t>of The Lodestar Group, an</w:t>
      </w:r>
    </w:p>
    <w:p>
      <w:pPr>
        <w:spacing w:after="0"/>
        <w:rPr>
          <w:sz w:val="20"/>
          <w:szCs w:val="20"/>
          <w:color w:val="auto"/>
        </w:rPr>
      </w:pPr>
      <w:r>
        <w:rPr>
          <w:rFonts w:ascii="Courier New" w:cs="Courier New" w:eastAsia="Courier New" w:hAnsi="Courier New"/>
          <w:sz w:val="18"/>
          <w:szCs w:val="18"/>
          <w:color w:val="auto"/>
        </w:rPr>
        <w:t>investment firm, since 1988. Mr. Miller</w:t>
      </w:r>
    </w:p>
    <w:p>
      <w:pPr>
        <w:spacing w:after="0" w:line="237" w:lineRule="auto"/>
        <w:rPr>
          <w:sz w:val="20"/>
          <w:szCs w:val="20"/>
          <w:color w:val="auto"/>
        </w:rPr>
      </w:pPr>
      <w:r>
        <w:rPr>
          <w:rFonts w:ascii="Courier New" w:cs="Courier New" w:eastAsia="Courier New" w:hAnsi="Courier New"/>
          <w:sz w:val="18"/>
          <w:szCs w:val="18"/>
          <w:color w:val="auto"/>
        </w:rPr>
        <w:t>became a director of Paramount in 1994.</w:t>
      </w:r>
    </w:p>
    <w:p>
      <w:pPr>
        <w:spacing w:after="0" w:line="238" w:lineRule="auto"/>
        <w:rPr>
          <w:sz w:val="20"/>
          <w:szCs w:val="20"/>
          <w:color w:val="auto"/>
        </w:rPr>
      </w:pPr>
      <w:r>
        <w:rPr>
          <w:rFonts w:ascii="Courier New" w:cs="Courier New" w:eastAsia="Courier New" w:hAnsi="Courier New"/>
          <w:sz w:val="18"/>
          <w:szCs w:val="18"/>
          <w:color w:val="auto"/>
        </w:rPr>
        <w:t>He was Vice Chairman of Merrill Lynch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Markets during 1987 and a Managing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of Merrill Lynch Capital Markets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more than the preceding five years.</w:t>
      </w:r>
    </w:p>
    <w:p>
      <w:pPr>
        <w:spacing w:after="0" w:line="238" w:lineRule="auto"/>
        <w:rPr>
          <w:sz w:val="20"/>
          <w:szCs w:val="20"/>
          <w:color w:val="auto"/>
        </w:rPr>
      </w:pPr>
      <w:r>
        <w:rPr>
          <w:rFonts w:ascii="Courier New" w:cs="Courier New" w:eastAsia="Courier New" w:hAnsi="Courier New"/>
          <w:sz w:val="18"/>
          <w:szCs w:val="18"/>
          <w:color w:val="auto"/>
        </w:rPr>
        <w:t>He is Chairman of the Board of Directors</w:t>
      </w:r>
    </w:p>
    <w:p>
      <w:pPr>
        <w:spacing w:after="0"/>
        <w:rPr>
          <w:sz w:val="20"/>
          <w:szCs w:val="20"/>
          <w:color w:val="auto"/>
        </w:rPr>
      </w:pPr>
      <w:r>
        <w:rPr>
          <w:rFonts w:ascii="Courier New" w:cs="Courier New" w:eastAsia="Courier New" w:hAnsi="Courier New"/>
          <w:sz w:val="18"/>
          <w:szCs w:val="18"/>
          <w:color w:val="auto"/>
        </w:rPr>
        <w:t>of Kinder-Care Learning Centers, Inc.</w:t>
      </w:r>
    </w:p>
    <w:p>
      <w:pPr>
        <w:spacing w:after="0" w:line="200" w:lineRule="exact"/>
        <w:rPr>
          <w:sz w:val="20"/>
          <w:szCs w:val="20"/>
          <w:color w:val="auto"/>
        </w:rPr>
      </w:pPr>
    </w:p>
    <w:p>
      <w:pPr>
        <w:sectPr>
          <w:pgSz w:w="11900" w:h="16838" w:orient="portrait"/>
          <w:cols w:equalWidth="0" w:num="2">
            <w:col w:w="2880" w:space="720"/>
            <w:col w:w="6199"/>
          </w:cols>
          <w:pgMar w:left="660" w:top="717" w:right="1440" w:bottom="784" w:gutter="0" w:footer="0" w:header="0"/>
          <w:type w:val="continuous"/>
        </w:sectPr>
      </w:pPr>
    </w:p>
    <w:p>
      <w:pPr>
        <w:ind w:left="120"/>
        <w:spacing w:after="0"/>
        <w:rPr>
          <w:sz w:val="20"/>
          <w:szCs w:val="20"/>
          <w:color w:val="auto"/>
        </w:rPr>
      </w:pPr>
      <w:r>
        <w:rPr>
          <w:rFonts w:ascii="Courier New" w:cs="Courier New" w:eastAsia="Courier New" w:hAnsi="Courier New"/>
          <w:sz w:val="18"/>
          <w:szCs w:val="18"/>
          <w:color w:val="auto"/>
        </w:rPr>
        <w:t>Brent D. Redstone</w:t>
      </w:r>
    </w:p>
    <w:p>
      <w:pPr>
        <w:ind w:left="440"/>
        <w:spacing w:after="0" w:line="238" w:lineRule="auto"/>
        <w:rPr>
          <w:sz w:val="20"/>
          <w:szCs w:val="20"/>
          <w:color w:val="auto"/>
        </w:rPr>
      </w:pPr>
      <w:r>
        <w:rPr>
          <w:rFonts w:ascii="Courier New" w:cs="Courier New" w:eastAsia="Courier New" w:hAnsi="Courier New"/>
          <w:sz w:val="18"/>
          <w:szCs w:val="18"/>
          <w:color w:val="auto"/>
        </w:rPr>
        <w:t>Age 43</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Director since 1991</w:t>
      </w:r>
    </w:p>
    <w:p>
      <w:pPr>
        <w:spacing w:after="0" w:line="20" w:lineRule="exact"/>
        <w:rPr>
          <w:sz w:val="20"/>
          <w:szCs w:val="20"/>
          <w:color w:val="auto"/>
        </w:rPr>
      </w:pPr>
      <w:r>
        <w:rPr>
          <w:sz w:val="20"/>
          <w:szCs w:val="20"/>
          <w:color w:val="auto"/>
        </w:rPr>
        <w:br w:type="column"/>
      </w:r>
    </w:p>
    <w:p>
      <w:pPr>
        <w:ind w:right="2199"/>
        <w:spacing w:after="0" w:line="237" w:lineRule="auto"/>
        <w:rPr>
          <w:sz w:val="20"/>
          <w:szCs w:val="20"/>
          <w:color w:val="auto"/>
        </w:rPr>
      </w:pPr>
      <w:r>
        <w:rPr>
          <w:rFonts w:ascii="Courier New" w:cs="Courier New" w:eastAsia="Courier New" w:hAnsi="Courier New"/>
          <w:sz w:val="18"/>
          <w:szCs w:val="18"/>
          <w:color w:val="auto"/>
        </w:rPr>
        <w:t>Assistant District Attorney for Suffolk County, Massachusetts from 1976 to October 1991, serving from 1988 through 1991 on the Homicide Unit responsible for the investigation and trial of homicide cases. Mr. Redstone became a director of Paramount in 1994 and NAI in 1992.</w:t>
      </w:r>
    </w:p>
    <w:p>
      <w:pPr>
        <w:spacing w:after="0" w:line="200" w:lineRule="exact"/>
        <w:rPr>
          <w:sz w:val="20"/>
          <w:szCs w:val="20"/>
          <w:color w:val="auto"/>
        </w:rPr>
      </w:pPr>
    </w:p>
    <w:p>
      <w:pPr>
        <w:sectPr>
          <w:pgSz w:w="11900" w:h="16838" w:orient="portrait"/>
          <w:cols w:equalWidth="0" w:num="2">
            <w:col w:w="2880" w:space="720"/>
            <w:col w:w="6199"/>
          </w:cols>
          <w:pgMar w:left="660" w:top="717" w:right="1440" w:bottom="784"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III-2</w:t>
      </w:r>
    </w:p>
    <w:p>
      <w:pPr>
        <w:sectPr>
          <w:pgSz w:w="11900" w:h="16838" w:orient="portrait"/>
          <w:cols w:equalWidth="0" w:num="1">
            <w:col w:w="9799"/>
          </w:cols>
          <w:pgMar w:left="660" w:top="717" w:right="1440" w:bottom="784" w:gutter="0" w:footer="0" w:header="0"/>
          <w:type w:val="continuous"/>
        </w:sectPr>
      </w:pPr>
    </w:p>
    <w:bookmarkStart w:id="127" w:name="page128"/>
    <w:bookmarkEnd w:id="127"/>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Corporation Offices</w:t>
      </w:r>
    </w:p>
    <w:p>
      <w:pPr>
        <w:ind w:left="840"/>
        <w:spacing w:after="0" w:line="238" w:lineRule="auto"/>
        <w:rPr>
          <w:sz w:val="20"/>
          <w:szCs w:val="20"/>
          <w:color w:val="auto"/>
        </w:rPr>
      </w:pPr>
      <w:r>
        <w:rPr>
          <w:rFonts w:ascii="Courier New" w:cs="Courier New" w:eastAsia="Courier New" w:hAnsi="Courier New"/>
          <w:sz w:val="18"/>
          <w:szCs w:val="18"/>
          <w:color w:val="auto"/>
        </w:rPr>
        <w:t>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Occupation**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3180" w:space="720"/>
            <w:col w:w="5899"/>
          </w:cols>
          <w:pgMar w:left="660" w:top="717" w:right="1440" w:bottom="0" w:gutter="0" w:footer="0" w:header="0"/>
        </w:sectPr>
      </w:pP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740" w:type="dxa"/>
            <w:vAlign w:val="bottom"/>
          </w:tcPr>
          <w:p>
            <w:pPr>
              <w:spacing w:after="0"/>
              <w:rPr>
                <w:sz w:val="20"/>
                <w:szCs w:val="20"/>
                <w:color w:val="auto"/>
              </w:rPr>
            </w:pPr>
            <w:r>
              <w:rPr>
                <w:rFonts w:ascii="Courier New" w:cs="Courier New" w:eastAsia="Courier New" w:hAnsi="Courier New"/>
                <w:sz w:val="18"/>
                <w:szCs w:val="18"/>
                <w:color w:val="auto"/>
              </w:rPr>
              <w:t>Sumner M. Redstone</w:t>
            </w:r>
          </w:p>
        </w:tc>
        <w:tc>
          <w:tcPr>
            <w:tcW w:w="516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Chairman of the Board of Viacom Inc.</w:t>
            </w: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Age 69</w:t>
            </w: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and the Company since June 1987 and</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since 1986</w:t>
            </w:r>
          </w:p>
        </w:tc>
        <w:tc>
          <w:tcPr>
            <w:tcW w:w="35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6"/>
              </w:rPr>
              <w:t>Paramount since April 1994.</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Mr. Redstone</w:t>
            </w:r>
          </w:p>
        </w:tc>
      </w:tr>
      <w:tr>
        <w:trPr>
          <w:trHeight w:val="203"/>
        </w:trPr>
        <w:tc>
          <w:tcPr>
            <w:tcW w:w="2740" w:type="dxa"/>
            <w:vAlign w:val="bottom"/>
          </w:tcPr>
          <w:p>
            <w:pPr>
              <w:spacing w:after="0"/>
              <w:rPr>
                <w:sz w:val="17"/>
                <w:szCs w:val="17"/>
                <w:color w:val="auto"/>
              </w:rPr>
            </w:pP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became a director of Paramount in 1994.</w:t>
            </w:r>
          </w:p>
        </w:tc>
      </w:tr>
      <w:tr>
        <w:trPr>
          <w:trHeight w:val="203"/>
        </w:trPr>
        <w:tc>
          <w:tcPr>
            <w:tcW w:w="2740" w:type="dxa"/>
            <w:vAlign w:val="bottom"/>
          </w:tcPr>
          <w:p>
            <w:pPr>
              <w:spacing w:after="0"/>
              <w:rPr>
                <w:sz w:val="17"/>
                <w:szCs w:val="17"/>
                <w:color w:val="auto"/>
              </w:rPr>
            </w:pP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9"/>
              </w:rPr>
              <w:t>He has served as Chairman of the Board of</w:t>
            </w:r>
          </w:p>
        </w:tc>
      </w:tr>
      <w:tr>
        <w:trPr>
          <w:trHeight w:val="203"/>
        </w:trPr>
        <w:tc>
          <w:tcPr>
            <w:tcW w:w="2740" w:type="dxa"/>
            <w:vAlign w:val="bottom"/>
          </w:tcPr>
          <w:p>
            <w:pPr>
              <w:spacing w:after="0"/>
              <w:rPr>
                <w:sz w:val="17"/>
                <w:szCs w:val="17"/>
                <w:color w:val="auto"/>
              </w:rPr>
            </w:pP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NAI since 1986 and President, Chief</w:t>
            </w:r>
          </w:p>
        </w:tc>
      </w:tr>
      <w:tr>
        <w:trPr>
          <w:trHeight w:val="203"/>
        </w:trPr>
        <w:tc>
          <w:tcPr>
            <w:tcW w:w="2740" w:type="dxa"/>
            <w:vAlign w:val="bottom"/>
          </w:tcPr>
          <w:p>
            <w:pPr>
              <w:spacing w:after="0"/>
              <w:rPr>
                <w:sz w:val="17"/>
                <w:szCs w:val="17"/>
                <w:color w:val="auto"/>
              </w:rPr>
            </w:pP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Executive Officer of NAI since 1967.</w:t>
            </w:r>
          </w:p>
        </w:tc>
      </w:tr>
      <w:tr>
        <w:trPr>
          <w:trHeight w:val="203"/>
        </w:trPr>
        <w:tc>
          <w:tcPr>
            <w:tcW w:w="2740" w:type="dxa"/>
            <w:vAlign w:val="bottom"/>
          </w:tcPr>
          <w:p>
            <w:pPr>
              <w:spacing w:after="0"/>
              <w:rPr>
                <w:sz w:val="17"/>
                <w:szCs w:val="17"/>
                <w:color w:val="auto"/>
              </w:rPr>
            </w:pP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Mr. Redstone is the former Chairman of</w:t>
            </w:r>
          </w:p>
        </w:tc>
      </w:tr>
      <w:tr>
        <w:trPr>
          <w:trHeight w:val="203"/>
        </w:trPr>
        <w:tc>
          <w:tcPr>
            <w:tcW w:w="2740" w:type="dxa"/>
            <w:vAlign w:val="bottom"/>
          </w:tcPr>
          <w:p>
            <w:pPr>
              <w:spacing w:after="0"/>
              <w:rPr>
                <w:sz w:val="17"/>
                <w:szCs w:val="17"/>
                <w:color w:val="auto"/>
              </w:rPr>
            </w:pP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the Board of the National Association</w:t>
            </w:r>
          </w:p>
        </w:tc>
      </w:tr>
      <w:tr>
        <w:trPr>
          <w:trHeight w:val="203"/>
        </w:trPr>
        <w:tc>
          <w:tcPr>
            <w:tcW w:w="2740" w:type="dxa"/>
            <w:vAlign w:val="bottom"/>
          </w:tcPr>
          <w:p>
            <w:pPr>
              <w:spacing w:after="0"/>
              <w:rPr>
                <w:sz w:val="17"/>
                <w:szCs w:val="17"/>
                <w:color w:val="auto"/>
              </w:rPr>
            </w:pP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of Theater Owners and is currently a</w:t>
            </w:r>
          </w:p>
        </w:tc>
      </w:tr>
      <w:tr>
        <w:trPr>
          <w:trHeight w:val="203"/>
        </w:trPr>
        <w:tc>
          <w:tcPr>
            <w:tcW w:w="2740" w:type="dxa"/>
            <w:vAlign w:val="bottom"/>
          </w:tcPr>
          <w:p>
            <w:pPr>
              <w:spacing w:after="0"/>
              <w:rPr>
                <w:sz w:val="17"/>
                <w:szCs w:val="17"/>
                <w:color w:val="auto"/>
              </w:rPr>
            </w:pP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6"/>
              </w:rPr>
              <w:t>member of its Executive Committee.  During</w:t>
            </w:r>
          </w:p>
        </w:tc>
      </w:tr>
      <w:tr>
        <w:trPr>
          <w:trHeight w:val="203"/>
        </w:trPr>
        <w:tc>
          <w:tcPr>
            <w:tcW w:w="2740" w:type="dxa"/>
            <w:vAlign w:val="bottom"/>
          </w:tcPr>
          <w:p>
            <w:pPr>
              <w:spacing w:after="0"/>
              <w:rPr>
                <w:sz w:val="17"/>
                <w:szCs w:val="17"/>
                <w:color w:val="auto"/>
              </w:rPr>
            </w:pP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the Carter Administration, Mr. Redstone</w:t>
            </w:r>
          </w:p>
        </w:tc>
      </w:tr>
      <w:tr>
        <w:trPr>
          <w:trHeight w:val="203"/>
        </w:trPr>
        <w:tc>
          <w:tcPr>
            <w:tcW w:w="2740" w:type="dxa"/>
            <w:vAlign w:val="bottom"/>
          </w:tcPr>
          <w:p>
            <w:pPr>
              <w:spacing w:after="0"/>
              <w:rPr>
                <w:sz w:val="17"/>
                <w:szCs w:val="17"/>
                <w:color w:val="auto"/>
              </w:rPr>
            </w:pP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6"/>
              </w:rPr>
              <w:t>was appointed a member of the Presidential</w:t>
            </w:r>
          </w:p>
        </w:tc>
      </w:tr>
      <w:tr>
        <w:trPr>
          <w:trHeight w:val="203"/>
        </w:trPr>
        <w:tc>
          <w:tcPr>
            <w:tcW w:w="2740" w:type="dxa"/>
            <w:vAlign w:val="bottom"/>
          </w:tcPr>
          <w:p>
            <w:pPr>
              <w:spacing w:after="0"/>
              <w:rPr>
                <w:sz w:val="17"/>
                <w:szCs w:val="17"/>
                <w:color w:val="auto"/>
              </w:rPr>
            </w:pP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Advisory Committee on the Arts for the</w:t>
            </w:r>
          </w:p>
        </w:tc>
      </w:tr>
      <w:tr>
        <w:trPr>
          <w:trHeight w:val="203"/>
        </w:trPr>
        <w:tc>
          <w:tcPr>
            <w:tcW w:w="2740" w:type="dxa"/>
            <w:vAlign w:val="bottom"/>
          </w:tcPr>
          <w:p>
            <w:pPr>
              <w:spacing w:after="0"/>
              <w:rPr>
                <w:sz w:val="17"/>
                <w:szCs w:val="17"/>
                <w:color w:val="auto"/>
              </w:rPr>
            </w:pPr>
          </w:p>
        </w:tc>
        <w:tc>
          <w:tcPr>
            <w:tcW w:w="35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John F. Kennedy Center for</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the Performing</w:t>
            </w:r>
          </w:p>
        </w:tc>
      </w:tr>
      <w:tr>
        <w:trPr>
          <w:trHeight w:val="203"/>
        </w:trPr>
        <w:tc>
          <w:tcPr>
            <w:tcW w:w="2740" w:type="dxa"/>
            <w:vAlign w:val="bottom"/>
          </w:tcPr>
          <w:p>
            <w:pPr>
              <w:spacing w:after="0"/>
              <w:rPr>
                <w:sz w:val="17"/>
                <w:szCs w:val="17"/>
                <w:color w:val="auto"/>
              </w:rPr>
            </w:pPr>
          </w:p>
        </w:tc>
        <w:tc>
          <w:tcPr>
            <w:tcW w:w="35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Arts and, in 1984, he was</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appointed a</w:t>
            </w:r>
          </w:p>
        </w:tc>
      </w:tr>
      <w:tr>
        <w:trPr>
          <w:trHeight w:val="203"/>
        </w:trPr>
        <w:tc>
          <w:tcPr>
            <w:tcW w:w="2740" w:type="dxa"/>
            <w:vAlign w:val="bottom"/>
          </w:tcPr>
          <w:p>
            <w:pPr>
              <w:spacing w:after="0"/>
              <w:rPr>
                <w:sz w:val="17"/>
                <w:szCs w:val="17"/>
                <w:color w:val="auto"/>
              </w:rPr>
            </w:pP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Director of the Kennedy Presidential</w:t>
            </w:r>
          </w:p>
        </w:tc>
      </w:tr>
      <w:tr>
        <w:trPr>
          <w:trHeight w:val="203"/>
        </w:trPr>
        <w:tc>
          <w:tcPr>
            <w:tcW w:w="2740" w:type="dxa"/>
            <w:vAlign w:val="bottom"/>
          </w:tcPr>
          <w:p>
            <w:pPr>
              <w:spacing w:after="0"/>
              <w:rPr>
                <w:sz w:val="17"/>
                <w:szCs w:val="17"/>
                <w:color w:val="auto"/>
              </w:rPr>
            </w:pP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Library Foundation.  Mr. Redstone has</w:t>
            </w:r>
          </w:p>
        </w:tc>
      </w:tr>
      <w:tr>
        <w:trPr>
          <w:trHeight w:val="203"/>
        </w:trPr>
        <w:tc>
          <w:tcPr>
            <w:tcW w:w="2740" w:type="dxa"/>
            <w:vAlign w:val="bottom"/>
          </w:tcPr>
          <w:p>
            <w:pPr>
              <w:spacing w:after="0"/>
              <w:rPr>
                <w:sz w:val="17"/>
                <w:szCs w:val="17"/>
                <w:color w:val="auto"/>
              </w:rPr>
            </w:pP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6"/>
              </w:rPr>
              <w:t>recently accepted a visiting professorship</w:t>
            </w:r>
          </w:p>
        </w:tc>
      </w:tr>
      <w:tr>
        <w:trPr>
          <w:trHeight w:val="203"/>
        </w:trPr>
        <w:tc>
          <w:tcPr>
            <w:tcW w:w="2740" w:type="dxa"/>
            <w:vAlign w:val="bottom"/>
          </w:tcPr>
          <w:p>
            <w:pPr>
              <w:spacing w:after="0"/>
              <w:rPr>
                <w:sz w:val="17"/>
                <w:szCs w:val="17"/>
                <w:color w:val="auto"/>
              </w:rPr>
            </w:pP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at Brandeis University.  Since 1982, Mr.</w:t>
            </w:r>
          </w:p>
        </w:tc>
      </w:tr>
      <w:tr>
        <w:trPr>
          <w:trHeight w:val="203"/>
        </w:trPr>
        <w:tc>
          <w:tcPr>
            <w:tcW w:w="2740" w:type="dxa"/>
            <w:vAlign w:val="bottom"/>
          </w:tcPr>
          <w:p>
            <w:pPr>
              <w:spacing w:after="0"/>
              <w:rPr>
                <w:sz w:val="17"/>
                <w:szCs w:val="17"/>
                <w:color w:val="auto"/>
              </w:rPr>
            </w:pP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9"/>
              </w:rPr>
              <w:t>Redstone has been a member of the faculty</w:t>
            </w:r>
          </w:p>
        </w:tc>
      </w:tr>
      <w:tr>
        <w:trPr>
          <w:trHeight w:val="203"/>
        </w:trPr>
        <w:tc>
          <w:tcPr>
            <w:tcW w:w="2740" w:type="dxa"/>
            <w:vAlign w:val="bottom"/>
          </w:tcPr>
          <w:p>
            <w:pPr>
              <w:spacing w:after="0"/>
              <w:rPr>
                <w:sz w:val="17"/>
                <w:szCs w:val="17"/>
                <w:color w:val="auto"/>
              </w:rPr>
            </w:pP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9"/>
              </w:rPr>
              <w:t>of Boston University Law School, where he</w:t>
            </w:r>
          </w:p>
        </w:tc>
      </w:tr>
      <w:tr>
        <w:trPr>
          <w:trHeight w:val="203"/>
        </w:trPr>
        <w:tc>
          <w:tcPr>
            <w:tcW w:w="2740" w:type="dxa"/>
            <w:vAlign w:val="bottom"/>
          </w:tcPr>
          <w:p>
            <w:pPr>
              <w:spacing w:after="0"/>
              <w:rPr>
                <w:sz w:val="17"/>
                <w:szCs w:val="17"/>
                <w:color w:val="auto"/>
              </w:rPr>
            </w:pP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has lectured in entertainment law. Mr.</w:t>
            </w:r>
          </w:p>
        </w:tc>
      </w:tr>
      <w:tr>
        <w:trPr>
          <w:trHeight w:val="203"/>
        </w:trPr>
        <w:tc>
          <w:tcPr>
            <w:tcW w:w="2740" w:type="dxa"/>
            <w:vAlign w:val="bottom"/>
          </w:tcPr>
          <w:p>
            <w:pPr>
              <w:spacing w:after="0"/>
              <w:rPr>
                <w:sz w:val="17"/>
                <w:szCs w:val="17"/>
                <w:color w:val="auto"/>
              </w:rPr>
            </w:pP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6"/>
              </w:rPr>
              <w:t>Redstone graduated from Harvard University</w:t>
            </w:r>
          </w:p>
        </w:tc>
      </w:tr>
      <w:tr>
        <w:trPr>
          <w:trHeight w:val="203"/>
        </w:trPr>
        <w:tc>
          <w:tcPr>
            <w:tcW w:w="2740" w:type="dxa"/>
            <w:vAlign w:val="bottom"/>
          </w:tcPr>
          <w:p>
            <w:pPr>
              <w:spacing w:after="0"/>
              <w:rPr>
                <w:sz w:val="17"/>
                <w:szCs w:val="17"/>
                <w:color w:val="auto"/>
              </w:rPr>
            </w:pP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6"/>
              </w:rPr>
              <w:t>in 1944 and received an LL.B. from Harvard</w:t>
            </w:r>
          </w:p>
        </w:tc>
      </w:tr>
      <w:tr>
        <w:trPr>
          <w:trHeight w:val="203"/>
        </w:trPr>
        <w:tc>
          <w:tcPr>
            <w:tcW w:w="2740" w:type="dxa"/>
            <w:vAlign w:val="bottom"/>
          </w:tcPr>
          <w:p>
            <w:pPr>
              <w:spacing w:after="0"/>
              <w:rPr>
                <w:sz w:val="17"/>
                <w:szCs w:val="17"/>
                <w:color w:val="auto"/>
              </w:rPr>
            </w:pP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University School of Law in 1947.  Upon</w:t>
            </w:r>
          </w:p>
        </w:tc>
      </w:tr>
      <w:tr>
        <w:trPr>
          <w:trHeight w:val="203"/>
        </w:trPr>
        <w:tc>
          <w:tcPr>
            <w:tcW w:w="2740" w:type="dxa"/>
            <w:vAlign w:val="bottom"/>
          </w:tcPr>
          <w:p>
            <w:pPr>
              <w:spacing w:after="0"/>
              <w:rPr>
                <w:sz w:val="17"/>
                <w:szCs w:val="17"/>
                <w:color w:val="auto"/>
              </w:rPr>
            </w:pP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graduation, Mr. Redstone served as Law</w:t>
            </w:r>
          </w:p>
        </w:tc>
      </w:tr>
      <w:tr>
        <w:trPr>
          <w:trHeight w:val="203"/>
        </w:trPr>
        <w:tc>
          <w:tcPr>
            <w:tcW w:w="2740" w:type="dxa"/>
            <w:vAlign w:val="bottom"/>
          </w:tcPr>
          <w:p>
            <w:pPr>
              <w:spacing w:after="0"/>
              <w:rPr>
                <w:sz w:val="17"/>
                <w:szCs w:val="17"/>
                <w:color w:val="auto"/>
              </w:rPr>
            </w:pP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9"/>
              </w:rPr>
              <w:t>Secretary with the United States Court of</w:t>
            </w:r>
          </w:p>
        </w:tc>
      </w:tr>
      <w:tr>
        <w:trPr>
          <w:trHeight w:val="203"/>
        </w:trPr>
        <w:tc>
          <w:tcPr>
            <w:tcW w:w="2740" w:type="dxa"/>
            <w:vAlign w:val="bottom"/>
          </w:tcPr>
          <w:p>
            <w:pPr>
              <w:spacing w:after="0"/>
              <w:rPr>
                <w:sz w:val="17"/>
                <w:szCs w:val="17"/>
                <w:color w:val="auto"/>
              </w:rPr>
            </w:pP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Appeals, and then as a Special Assistant</w:t>
            </w:r>
          </w:p>
        </w:tc>
      </w:tr>
      <w:tr>
        <w:trPr>
          <w:trHeight w:val="203"/>
        </w:trPr>
        <w:tc>
          <w:tcPr>
            <w:tcW w:w="2740" w:type="dxa"/>
            <w:vAlign w:val="bottom"/>
          </w:tcPr>
          <w:p>
            <w:pPr>
              <w:spacing w:after="0"/>
              <w:rPr>
                <w:sz w:val="17"/>
                <w:szCs w:val="17"/>
                <w:color w:val="auto"/>
              </w:rPr>
            </w:pP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to the United States Attorney General.</w:t>
            </w:r>
          </w:p>
        </w:tc>
      </w:tr>
      <w:tr>
        <w:trPr>
          <w:trHeight w:val="608"/>
        </w:trPr>
        <w:tc>
          <w:tcPr>
            <w:tcW w:w="2740" w:type="dxa"/>
            <w:vAlign w:val="bottom"/>
          </w:tcPr>
          <w:p>
            <w:pPr>
              <w:spacing w:after="0"/>
              <w:rPr>
                <w:sz w:val="20"/>
                <w:szCs w:val="20"/>
                <w:color w:val="auto"/>
              </w:rPr>
            </w:pPr>
            <w:r>
              <w:rPr>
                <w:rFonts w:ascii="Courier New" w:cs="Courier New" w:eastAsia="Courier New" w:hAnsi="Courier New"/>
                <w:sz w:val="18"/>
                <w:szCs w:val="18"/>
                <w:color w:val="auto"/>
              </w:rPr>
              <w:t>Frederic V. Salerno</w:t>
            </w:r>
          </w:p>
        </w:tc>
        <w:tc>
          <w:tcPr>
            <w:tcW w:w="516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Vice Chairman -- Finance and and</w:t>
            </w: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Age 49</w:t>
            </w: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Business Development of NYNEX since</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since 1994</w:t>
            </w: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March 1, 1994.  Mr. Salerno became a</w:t>
            </w:r>
          </w:p>
        </w:tc>
      </w:tr>
      <w:tr>
        <w:trPr>
          <w:trHeight w:val="203"/>
        </w:trPr>
        <w:tc>
          <w:tcPr>
            <w:tcW w:w="2740" w:type="dxa"/>
            <w:vAlign w:val="bottom"/>
          </w:tcPr>
          <w:p>
            <w:pPr>
              <w:spacing w:after="0"/>
              <w:rPr>
                <w:sz w:val="17"/>
                <w:szCs w:val="17"/>
                <w:color w:val="auto"/>
              </w:rPr>
            </w:pP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director of Paramount in 1994.  He was</w:t>
            </w:r>
          </w:p>
        </w:tc>
      </w:tr>
      <w:tr>
        <w:trPr>
          <w:trHeight w:val="203"/>
        </w:trPr>
        <w:tc>
          <w:tcPr>
            <w:tcW w:w="2740" w:type="dxa"/>
            <w:vAlign w:val="bottom"/>
          </w:tcPr>
          <w:p>
            <w:pPr>
              <w:spacing w:after="0"/>
              <w:rPr>
                <w:sz w:val="17"/>
                <w:szCs w:val="17"/>
                <w:color w:val="auto"/>
              </w:rPr>
            </w:pP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Vice Chairman of the Board of NYNEX and</w:t>
            </w:r>
          </w:p>
        </w:tc>
      </w:tr>
      <w:tr>
        <w:trPr>
          <w:trHeight w:val="203"/>
        </w:trPr>
        <w:tc>
          <w:tcPr>
            <w:tcW w:w="2740" w:type="dxa"/>
            <w:vAlign w:val="bottom"/>
          </w:tcPr>
          <w:p>
            <w:pPr>
              <w:spacing w:after="0"/>
              <w:rPr>
                <w:sz w:val="17"/>
                <w:szCs w:val="17"/>
                <w:color w:val="auto"/>
              </w:rPr>
            </w:pP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President of the Worldwide Services</w:t>
            </w:r>
          </w:p>
        </w:tc>
      </w:tr>
      <w:tr>
        <w:trPr>
          <w:trHeight w:val="203"/>
        </w:trPr>
        <w:tc>
          <w:tcPr>
            <w:tcW w:w="2740" w:type="dxa"/>
            <w:vAlign w:val="bottom"/>
          </w:tcPr>
          <w:p>
            <w:pPr>
              <w:spacing w:after="0"/>
              <w:rPr>
                <w:sz w:val="17"/>
                <w:szCs w:val="17"/>
                <w:color w:val="auto"/>
              </w:rPr>
            </w:pP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Group from 1991 to 1994 and President</w:t>
            </w:r>
          </w:p>
        </w:tc>
      </w:tr>
      <w:tr>
        <w:trPr>
          <w:trHeight w:val="203"/>
        </w:trPr>
        <w:tc>
          <w:tcPr>
            <w:tcW w:w="2740" w:type="dxa"/>
            <w:vAlign w:val="bottom"/>
          </w:tcPr>
          <w:p>
            <w:pPr>
              <w:spacing w:after="0"/>
              <w:rPr>
                <w:sz w:val="17"/>
                <w:szCs w:val="17"/>
                <w:color w:val="auto"/>
              </w:rPr>
            </w:pP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and Chief Executive Officer of New York</w:t>
            </w:r>
          </w:p>
        </w:tc>
      </w:tr>
      <w:tr>
        <w:trPr>
          <w:trHeight w:val="203"/>
        </w:trPr>
        <w:tc>
          <w:tcPr>
            <w:tcW w:w="2740" w:type="dxa"/>
            <w:vAlign w:val="bottom"/>
          </w:tcPr>
          <w:p>
            <w:pPr>
              <w:spacing w:after="0"/>
              <w:rPr>
                <w:sz w:val="17"/>
                <w:szCs w:val="17"/>
                <w:color w:val="auto"/>
              </w:rPr>
            </w:pP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Telephone Company from 1987 to 1991.  He</w:t>
            </w:r>
          </w:p>
        </w:tc>
      </w:tr>
      <w:tr>
        <w:trPr>
          <w:trHeight w:val="203"/>
        </w:trPr>
        <w:tc>
          <w:tcPr>
            <w:tcW w:w="2740" w:type="dxa"/>
            <w:vAlign w:val="bottom"/>
          </w:tcPr>
          <w:p>
            <w:pPr>
              <w:spacing w:after="0"/>
              <w:rPr>
                <w:sz w:val="17"/>
                <w:szCs w:val="17"/>
                <w:color w:val="auto"/>
              </w:rPr>
            </w:pP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has served as a director of NYNEX since</w:t>
            </w:r>
          </w:p>
        </w:tc>
      </w:tr>
      <w:tr>
        <w:trPr>
          <w:trHeight w:val="203"/>
        </w:trPr>
        <w:tc>
          <w:tcPr>
            <w:tcW w:w="2740" w:type="dxa"/>
            <w:vAlign w:val="bottom"/>
          </w:tcPr>
          <w:p>
            <w:pPr>
              <w:spacing w:after="0"/>
              <w:rPr>
                <w:sz w:val="17"/>
                <w:szCs w:val="17"/>
                <w:color w:val="auto"/>
              </w:rPr>
            </w:pP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1991.  He is also a director of The Bear</w:t>
            </w:r>
          </w:p>
        </w:tc>
      </w:tr>
      <w:tr>
        <w:trPr>
          <w:trHeight w:val="203"/>
        </w:trPr>
        <w:tc>
          <w:tcPr>
            <w:tcW w:w="2740" w:type="dxa"/>
            <w:vAlign w:val="bottom"/>
          </w:tcPr>
          <w:p>
            <w:pPr>
              <w:spacing w:after="0"/>
              <w:rPr>
                <w:sz w:val="17"/>
                <w:szCs w:val="17"/>
                <w:color w:val="auto"/>
              </w:rPr>
            </w:pP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Stearns Companies Inc. and Avnet, Inc.</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William Schwartz</w:t>
            </w:r>
          </w:p>
        </w:tc>
        <w:tc>
          <w:tcPr>
            <w:tcW w:w="516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Vice President for Academic Affairs</w:t>
            </w:r>
          </w:p>
        </w:tc>
      </w:tr>
      <w:tr>
        <w:trPr>
          <w:trHeight w:val="203"/>
        </w:trPr>
        <w:tc>
          <w:tcPr>
            <w:tcW w:w="2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Age 59</w:t>
            </w: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(the chief academic officer) of Yeshiva</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since 1987</w:t>
            </w: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University since 1992 and University</w:t>
            </w:r>
          </w:p>
        </w:tc>
      </w:tr>
      <w:tr>
        <w:trPr>
          <w:trHeight w:val="203"/>
        </w:trPr>
        <w:tc>
          <w:tcPr>
            <w:tcW w:w="2740" w:type="dxa"/>
            <w:vAlign w:val="bottom"/>
          </w:tcPr>
          <w:p>
            <w:pPr>
              <w:spacing w:after="0"/>
              <w:rPr>
                <w:sz w:val="17"/>
                <w:szCs w:val="17"/>
                <w:color w:val="auto"/>
              </w:rPr>
            </w:pPr>
          </w:p>
        </w:tc>
        <w:tc>
          <w:tcPr>
            <w:tcW w:w="51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Professor of Law at Yeshiva University</w:t>
            </w:r>
          </w:p>
        </w:tc>
      </w:tr>
    </w:tbl>
    <w:p>
      <w:pPr>
        <w:ind w:left="3600"/>
        <w:spacing w:after="0" w:line="238" w:lineRule="auto"/>
        <w:rPr>
          <w:sz w:val="20"/>
          <w:szCs w:val="20"/>
          <w:color w:val="auto"/>
        </w:rPr>
      </w:pPr>
      <w:r>
        <w:rPr>
          <w:rFonts w:ascii="Courier New" w:cs="Courier New" w:eastAsia="Courier New" w:hAnsi="Courier New"/>
          <w:sz w:val="18"/>
          <w:szCs w:val="18"/>
          <w:color w:val="auto"/>
        </w:rPr>
        <w:t>and the Cardozo School of Law since</w:t>
      </w:r>
    </w:p>
    <w:p>
      <w:pPr>
        <w:ind w:left="3600"/>
        <w:spacing w:after="0"/>
        <w:tabs>
          <w:tab w:leader="none" w:pos="4300" w:val="left"/>
        </w:tabs>
        <w:rPr>
          <w:sz w:val="20"/>
          <w:szCs w:val="20"/>
          <w:color w:val="auto"/>
        </w:rPr>
      </w:pPr>
      <w:r>
        <w:rPr>
          <w:rFonts w:ascii="Courier New" w:cs="Courier New" w:eastAsia="Courier New" w:hAnsi="Courier New"/>
          <w:sz w:val="18"/>
          <w:szCs w:val="18"/>
          <w:color w:val="auto"/>
        </w:rPr>
        <w:t>1991.</w:t>
        <w:tab/>
        <w:t>Mr. Schwartz became a director of</w:t>
      </w:r>
    </w:p>
    <w:p>
      <w:pPr>
        <w:ind w:left="3600"/>
        <w:spacing w:after="0"/>
        <w:tabs>
          <w:tab w:leader="none" w:pos="5680" w:val="left"/>
        </w:tabs>
        <w:rPr>
          <w:sz w:val="20"/>
          <w:szCs w:val="20"/>
          <w:color w:val="auto"/>
        </w:rPr>
      </w:pPr>
      <w:r>
        <w:rPr>
          <w:rFonts w:ascii="Courier New" w:cs="Courier New" w:eastAsia="Courier New" w:hAnsi="Courier New"/>
          <w:sz w:val="18"/>
          <w:szCs w:val="18"/>
          <w:color w:val="auto"/>
        </w:rPr>
        <w:t>Paramount in 1994.</w:t>
      </w:r>
      <w:r>
        <w:rPr>
          <w:sz w:val="20"/>
          <w:szCs w:val="20"/>
          <w:color w:val="auto"/>
        </w:rPr>
        <w:tab/>
      </w:r>
      <w:r>
        <w:rPr>
          <w:rFonts w:ascii="Courier New" w:cs="Courier New" w:eastAsia="Courier New" w:hAnsi="Courier New"/>
          <w:sz w:val="16"/>
          <w:szCs w:val="16"/>
          <w:color w:val="auto"/>
        </w:rPr>
        <w:t>He has been of</w:t>
      </w:r>
    </w:p>
    <w:p>
      <w:pPr>
        <w:ind w:left="3600"/>
        <w:spacing w:after="0" w:line="238" w:lineRule="auto"/>
        <w:rPr>
          <w:sz w:val="20"/>
          <w:szCs w:val="20"/>
          <w:color w:val="auto"/>
        </w:rPr>
      </w:pPr>
      <w:r>
        <w:rPr>
          <w:rFonts w:ascii="Courier New" w:cs="Courier New" w:eastAsia="Courier New" w:hAnsi="Courier New"/>
          <w:sz w:val="18"/>
          <w:szCs w:val="18"/>
          <w:color w:val="auto"/>
        </w:rPr>
        <w:t>Counsel to Cadwalader, Wickersham &amp; Taft</w:t>
      </w:r>
    </w:p>
    <w:p>
      <w:pPr>
        <w:ind w:left="3600"/>
        <w:spacing w:after="0"/>
        <w:tabs>
          <w:tab w:leader="none" w:pos="4940" w:val="left"/>
        </w:tabs>
        <w:rPr>
          <w:sz w:val="20"/>
          <w:szCs w:val="20"/>
          <w:color w:val="auto"/>
        </w:rPr>
      </w:pPr>
      <w:r>
        <w:rPr>
          <w:rFonts w:ascii="Courier New" w:cs="Courier New" w:eastAsia="Courier New" w:hAnsi="Courier New"/>
          <w:sz w:val="18"/>
          <w:szCs w:val="18"/>
          <w:color w:val="auto"/>
        </w:rPr>
        <w:t>since 1988.</w:t>
      </w:r>
      <w:r>
        <w:rPr>
          <w:sz w:val="20"/>
          <w:szCs w:val="20"/>
          <w:color w:val="auto"/>
        </w:rPr>
        <w:tab/>
      </w:r>
      <w:r>
        <w:rPr>
          <w:rFonts w:ascii="Courier New" w:cs="Courier New" w:eastAsia="Courier New" w:hAnsi="Courier New"/>
          <w:sz w:val="16"/>
          <w:szCs w:val="16"/>
          <w:color w:val="auto"/>
        </w:rPr>
        <w:t>Mr. Schwartz was Dean of</w:t>
      </w:r>
    </w:p>
    <w:p>
      <w:pPr>
        <w:ind w:left="3600"/>
        <w:spacing w:after="0" w:line="237" w:lineRule="auto"/>
        <w:rPr>
          <w:sz w:val="20"/>
          <w:szCs w:val="20"/>
          <w:color w:val="auto"/>
        </w:rPr>
      </w:pPr>
      <w:r>
        <w:rPr>
          <w:rFonts w:ascii="Courier New" w:cs="Courier New" w:eastAsia="Courier New" w:hAnsi="Courier New"/>
          <w:sz w:val="18"/>
          <w:szCs w:val="18"/>
          <w:color w:val="auto"/>
        </w:rPr>
        <w:t>the Boston University School of Law from</w:t>
      </w:r>
    </w:p>
    <w:p>
      <w:pPr>
        <w:ind w:left="3600"/>
        <w:spacing w:after="0"/>
        <w:rPr>
          <w:sz w:val="20"/>
          <w:szCs w:val="20"/>
          <w:color w:val="auto"/>
        </w:rPr>
      </w:pPr>
      <w:r>
        <w:rPr>
          <w:rFonts w:ascii="Courier New" w:cs="Courier New" w:eastAsia="Courier New" w:hAnsi="Courier New"/>
          <w:sz w:val="18"/>
          <w:szCs w:val="18"/>
          <w:color w:val="auto"/>
        </w:rPr>
        <w:t>1980 to 1988, a professor of law at</w:t>
      </w:r>
    </w:p>
    <w:p>
      <w:pPr>
        <w:ind w:left="3600"/>
        <w:spacing w:after="0" w:line="237" w:lineRule="auto"/>
        <w:rPr>
          <w:sz w:val="20"/>
          <w:szCs w:val="20"/>
          <w:color w:val="auto"/>
        </w:rPr>
      </w:pPr>
      <w:r>
        <w:rPr>
          <w:rFonts w:ascii="Courier New" w:cs="Courier New" w:eastAsia="Courier New" w:hAnsi="Courier New"/>
          <w:sz w:val="18"/>
          <w:szCs w:val="18"/>
          <w:color w:val="auto"/>
        </w:rPr>
        <w:t>Boston University from 1955 to 1991 and</w:t>
      </w:r>
    </w:p>
    <w:p>
      <w:pPr>
        <w:ind w:left="3600"/>
        <w:spacing w:after="0"/>
        <w:rPr>
          <w:sz w:val="20"/>
          <w:szCs w:val="20"/>
          <w:color w:val="auto"/>
        </w:rPr>
      </w:pPr>
      <w:r>
        <w:rPr>
          <w:rFonts w:ascii="Courier New" w:cs="Courier New" w:eastAsia="Courier New" w:hAnsi="Courier New"/>
          <w:sz w:val="18"/>
          <w:szCs w:val="18"/>
          <w:color w:val="auto"/>
        </w:rPr>
        <w:t>Director of the Feder Center for Estate</w:t>
      </w:r>
    </w:p>
    <w:p>
      <w:pPr>
        <w:ind w:left="3600"/>
        <w:spacing w:after="0" w:line="237" w:lineRule="auto"/>
        <w:rPr>
          <w:sz w:val="20"/>
          <w:szCs w:val="20"/>
          <w:color w:val="auto"/>
        </w:rPr>
      </w:pPr>
      <w:r>
        <w:rPr>
          <w:rFonts w:ascii="Courier New" w:cs="Courier New" w:eastAsia="Courier New" w:hAnsi="Courier New"/>
          <w:sz w:val="18"/>
          <w:szCs w:val="18"/>
          <w:color w:val="auto"/>
        </w:rPr>
        <w:t>Planning at Boston University School of</w:t>
      </w:r>
    </w:p>
    <w:p>
      <w:pPr>
        <w:ind w:left="3600"/>
        <w:spacing w:after="0" w:line="238" w:lineRule="auto"/>
        <w:rPr>
          <w:sz w:val="20"/>
          <w:szCs w:val="20"/>
          <w:color w:val="auto"/>
        </w:rPr>
      </w:pPr>
      <w:r>
        <w:rPr>
          <w:rFonts w:ascii="Courier New" w:cs="Courier New" w:eastAsia="Courier New" w:hAnsi="Courier New"/>
          <w:sz w:val="18"/>
          <w:szCs w:val="18"/>
          <w:color w:val="auto"/>
        </w:rPr>
        <w:t>Law from 1988 to 1991. He has served as</w:t>
      </w:r>
    </w:p>
    <w:p>
      <w:pPr>
        <w:ind w:left="3600"/>
        <w:spacing w:after="0"/>
        <w:rPr>
          <w:sz w:val="20"/>
          <w:szCs w:val="20"/>
          <w:color w:val="auto"/>
        </w:rPr>
      </w:pPr>
      <w:r>
        <w:rPr>
          <w:rFonts w:ascii="Courier New" w:cs="Courier New" w:eastAsia="Courier New" w:hAnsi="Courier New"/>
          <w:sz w:val="18"/>
          <w:szCs w:val="18"/>
          <w:color w:val="auto"/>
        </w:rPr>
        <w:t>Chairman of the Board of Directors of</w:t>
      </w:r>
    </w:p>
    <w:p>
      <w:pPr>
        <w:ind w:left="3600"/>
        <w:spacing w:after="0"/>
        <w:tabs>
          <w:tab w:leader="none" w:pos="6620" w:val="left"/>
        </w:tabs>
        <w:rPr>
          <w:sz w:val="20"/>
          <w:szCs w:val="20"/>
          <w:color w:val="auto"/>
        </w:rPr>
      </w:pPr>
      <w:r>
        <w:rPr>
          <w:rFonts w:ascii="Courier New" w:cs="Courier New" w:eastAsia="Courier New" w:hAnsi="Courier New"/>
          <w:sz w:val="18"/>
          <w:szCs w:val="18"/>
          <w:color w:val="auto"/>
        </w:rPr>
        <w:t>UST Corporation since 1993.</w:t>
      </w:r>
      <w:r>
        <w:rPr>
          <w:sz w:val="20"/>
          <w:szCs w:val="20"/>
          <w:color w:val="auto"/>
        </w:rPr>
        <w:tab/>
      </w:r>
      <w:r>
        <w:rPr>
          <w:rFonts w:ascii="Courier New" w:cs="Courier New" w:eastAsia="Courier New" w:hAnsi="Courier New"/>
          <w:sz w:val="16"/>
          <w:szCs w:val="16"/>
          <w:color w:val="auto"/>
        </w:rPr>
        <w:t>He previously</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served as Vice Chairman of UST Corporation</w:t>
      </w:r>
    </w:p>
    <w:p>
      <w:pPr>
        <w:spacing w:after="0" w:line="2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since 1985 and has been a director of UST</w:t>
      </w:r>
    </w:p>
    <w:p>
      <w:pPr>
        <w:spacing w:after="0" w:line="16" w:lineRule="exact"/>
        <w:rPr>
          <w:sz w:val="20"/>
          <w:szCs w:val="20"/>
          <w:color w:val="auto"/>
        </w:rPr>
      </w:pPr>
    </w:p>
    <w:p>
      <w:pPr>
        <w:ind w:left="3600"/>
        <w:spacing w:after="0"/>
        <w:rPr>
          <w:sz w:val="20"/>
          <w:szCs w:val="20"/>
          <w:color w:val="auto"/>
        </w:rPr>
      </w:pPr>
      <w:r>
        <w:rPr>
          <w:rFonts w:ascii="Courier New" w:cs="Courier New" w:eastAsia="Courier New" w:hAnsi="Courier New"/>
          <w:sz w:val="18"/>
          <w:szCs w:val="18"/>
          <w:color w:val="auto"/>
        </w:rPr>
        <w:t>Corporation for more than five years.</w:t>
      </w:r>
    </w:p>
    <w:p>
      <w:pPr>
        <w:ind w:left="3600"/>
        <w:spacing w:after="0" w:line="238" w:lineRule="auto"/>
        <w:rPr>
          <w:sz w:val="20"/>
          <w:szCs w:val="20"/>
          <w:color w:val="auto"/>
        </w:rPr>
      </w:pPr>
      <w:r>
        <w:rPr>
          <w:rFonts w:ascii="Courier New" w:cs="Courier New" w:eastAsia="Courier New" w:hAnsi="Courier New"/>
          <w:sz w:val="18"/>
          <w:szCs w:val="18"/>
          <w:color w:val="auto"/>
        </w:rPr>
        <w:t>Mr. Schwartz is a trustee of several</w:t>
      </w:r>
    </w:p>
    <w:p>
      <w:pPr>
        <w:ind w:left="3600"/>
        <w:spacing w:after="0"/>
        <w:rPr>
          <w:sz w:val="20"/>
          <w:szCs w:val="20"/>
          <w:color w:val="auto"/>
        </w:rPr>
      </w:pPr>
      <w:r>
        <w:rPr>
          <w:rFonts w:ascii="Courier New" w:cs="Courier New" w:eastAsia="Courier New" w:hAnsi="Courier New"/>
          <w:sz w:val="18"/>
          <w:szCs w:val="18"/>
          <w:color w:val="auto"/>
        </w:rPr>
        <w:t>educational and charitable organizations</w:t>
      </w:r>
    </w:p>
    <w:p>
      <w:pPr>
        <w:ind w:left="3600"/>
        <w:spacing w:after="0" w:line="237" w:lineRule="auto"/>
        <w:rPr>
          <w:sz w:val="20"/>
          <w:szCs w:val="20"/>
          <w:color w:val="auto"/>
        </w:rPr>
      </w:pPr>
      <w:r>
        <w:rPr>
          <w:rFonts w:ascii="Courier New" w:cs="Courier New" w:eastAsia="Courier New" w:hAnsi="Courier New"/>
          <w:sz w:val="18"/>
          <w:szCs w:val="18"/>
          <w:color w:val="auto"/>
        </w:rPr>
        <w:t>and an honorary member of the National</w:t>
      </w:r>
    </w:p>
    <w:p>
      <w:pPr>
        <w:ind w:left="3600"/>
        <w:spacing w:after="0"/>
        <w:tabs>
          <w:tab w:leader="none" w:pos="6520" w:val="left"/>
        </w:tabs>
        <w:rPr>
          <w:sz w:val="20"/>
          <w:szCs w:val="20"/>
          <w:color w:val="auto"/>
        </w:rPr>
      </w:pPr>
      <w:r>
        <w:rPr>
          <w:rFonts w:ascii="Courier New" w:cs="Courier New" w:eastAsia="Courier New" w:hAnsi="Courier New"/>
          <w:sz w:val="18"/>
          <w:szCs w:val="18"/>
          <w:color w:val="auto"/>
        </w:rPr>
        <w:t>College of Probate Judges.</w:t>
      </w:r>
      <w:r>
        <w:rPr>
          <w:sz w:val="20"/>
          <w:szCs w:val="20"/>
          <w:color w:val="auto"/>
        </w:rPr>
        <w:tab/>
      </w:r>
      <w:r>
        <w:rPr>
          <w:rFonts w:ascii="Courier New" w:cs="Courier New" w:eastAsia="Courier New" w:hAnsi="Courier New"/>
          <w:sz w:val="16"/>
          <w:szCs w:val="16"/>
          <w:color w:val="auto"/>
        </w:rPr>
        <w:t>He served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III-3</w:t>
      </w:r>
    </w:p>
    <w:p>
      <w:pPr>
        <w:sectPr>
          <w:pgSz w:w="11900" w:h="16838" w:orient="portrait"/>
          <w:cols w:equalWidth="0" w:num="1">
            <w:col w:w="9799"/>
          </w:cols>
          <w:pgMar w:left="660" w:top="717" w:right="1440" w:bottom="0" w:gutter="0" w:footer="0" w:header="0"/>
          <w:type w:val="continuous"/>
        </w:sectPr>
      </w:pPr>
    </w:p>
    <w:bookmarkStart w:id="128" w:name="page129"/>
    <w:bookmarkEnd w:id="128"/>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Director*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Corporation Offices</w:t>
      </w:r>
    </w:p>
    <w:p>
      <w:pPr>
        <w:ind w:left="840"/>
        <w:spacing w:after="0" w:line="238" w:lineRule="auto"/>
        <w:rPr>
          <w:sz w:val="20"/>
          <w:szCs w:val="20"/>
          <w:color w:val="auto"/>
        </w:rPr>
      </w:pPr>
      <w:r>
        <w:rPr>
          <w:rFonts w:ascii="Courier New" w:cs="Courier New" w:eastAsia="Courier New" w:hAnsi="Courier New"/>
          <w:sz w:val="18"/>
          <w:szCs w:val="18"/>
          <w:color w:val="auto"/>
        </w:rPr>
        <w:t>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Occupation**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3600" w:space="720"/>
            <w:col w:w="5899"/>
          </w:cols>
          <w:pgMar w:left="240" w:top="717" w:right="1440" w:bottom="1440" w:gutter="0" w:footer="0" w:header="0"/>
        </w:sectPr>
      </w:pPr>
    </w:p>
    <w:p>
      <w:pPr>
        <w:spacing w:after="0" w:line="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as Chairman of the Boston Mayor's</w:t>
      </w:r>
    </w:p>
    <w:p>
      <w:pPr>
        <w:ind w:left="4020"/>
        <w:spacing w:after="0" w:line="238" w:lineRule="auto"/>
        <w:rPr>
          <w:sz w:val="20"/>
          <w:szCs w:val="20"/>
          <w:color w:val="auto"/>
        </w:rPr>
      </w:pPr>
      <w:r>
        <w:rPr>
          <w:rFonts w:ascii="Courier New" w:cs="Courier New" w:eastAsia="Courier New" w:hAnsi="Courier New"/>
          <w:sz w:val="18"/>
          <w:szCs w:val="18"/>
          <w:color w:val="auto"/>
        </w:rPr>
        <w:t>Special Commission on Police</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Procedures and was formerly a member</w:t>
      </w:r>
    </w:p>
    <w:p>
      <w:pPr>
        <w:sectPr>
          <w:pgSz w:w="11900" w:h="16838" w:orient="portrait"/>
          <w:cols w:equalWidth="0" w:num="1">
            <w:col w:w="10219"/>
          </w:cols>
          <w:pgMar w:left="240" w:top="717" w:right="1440" w:bottom="1440" w:gutter="0" w:footer="0" w:header="0"/>
          <w:type w:val="continuous"/>
        </w:sectPr>
      </w:pP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of the Legal Advisory Board of the New</w:t>
      </w:r>
    </w:p>
    <w:p>
      <w:pPr>
        <w:ind w:left="4020"/>
        <w:spacing w:after="0" w:line="238" w:lineRule="auto"/>
        <w:rPr>
          <w:sz w:val="20"/>
          <w:szCs w:val="20"/>
          <w:color w:val="auto"/>
        </w:rPr>
      </w:pPr>
      <w:r>
        <w:rPr>
          <w:rFonts w:ascii="Courier New" w:cs="Courier New" w:eastAsia="Courier New" w:hAnsi="Courier New"/>
          <w:sz w:val="18"/>
          <w:szCs w:val="18"/>
          <w:color w:val="auto"/>
        </w:rPr>
        <w:t>York Stock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1879" w:firstLine="113"/>
        <w:spacing w:after="0" w:line="235" w:lineRule="auto"/>
        <w:tabs>
          <w:tab w:leader="none" w:pos="527"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Brent Redstone is the son of Sumner Redstone. None of the other directors is related to any other director or executive officer of Viacom</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 the Company or Paramount by blood, marriage or adoption.</w:t>
      </w:r>
    </w:p>
    <w:p>
      <w:pPr>
        <w:spacing w:after="0" w:line="207" w:lineRule="exact"/>
        <w:rPr>
          <w:sz w:val="20"/>
          <w:szCs w:val="20"/>
          <w:color w:val="auto"/>
        </w:rPr>
      </w:pPr>
    </w:p>
    <w:p>
      <w:pPr>
        <w:ind w:right="2419" w:firstLine="8"/>
        <w:spacing w:after="0" w:line="236" w:lineRule="auto"/>
        <w:tabs>
          <w:tab w:leader="none" w:pos="527"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NAI, Paramount and the Company are affiliates of Viacom Inc. None of the other corporations or organizations indicated herein is a parent, subsidiary or other affiliate of Viacom Inc.</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III-4</w:t>
      </w:r>
    </w:p>
    <w:p>
      <w:pPr>
        <w:sectPr>
          <w:pgSz w:w="11900" w:h="16838" w:orient="portrait"/>
          <w:cols w:equalWidth="0" w:num="1">
            <w:col w:w="10219"/>
          </w:cols>
          <w:pgMar w:left="240" w:top="717" w:right="1440" w:bottom="1440" w:gutter="0" w:footer="0" w:header="0"/>
          <w:type w:val="continuous"/>
        </w:sectPr>
      </w:pPr>
    </w:p>
    <w:bookmarkStart w:id="129" w:name="page130"/>
    <w:bookmarkEnd w:id="129"/>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Executive Compensation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 Report on Executive Compensation</w:t>
      </w:r>
    </w:p>
    <w:p>
      <w:pPr>
        <w:spacing w:after="0" w:line="238" w:lineRule="auto"/>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members of the Compensation Committee are non-employee directors. The members include Mr. Sumner Redstone, the controlling shareholder of Viacom Inc. The Committee reviews and, with any changes it believes appropriate, approves Viacom Inc.'s executive compensation. Independent compensation consultants have advised the Committee with respect to the long-term incentive compensation plans since 1987.</w:t>
      </w:r>
    </w:p>
    <w:p>
      <w:pPr>
        <w:spacing w:after="0" w:line="210"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objectives of the executive compensation package for Viacom Inc.'s executive officers are to:</w:t>
      </w:r>
    </w:p>
    <w:p>
      <w:pPr>
        <w:spacing w:after="0" w:line="208" w:lineRule="exact"/>
        <w:rPr>
          <w:sz w:val="20"/>
          <w:szCs w:val="20"/>
          <w:color w:val="auto"/>
        </w:rPr>
      </w:pPr>
    </w:p>
    <w:p>
      <w:pPr>
        <w:ind w:left="1060" w:right="2319" w:hanging="525"/>
        <w:spacing w:after="0" w:line="236" w:lineRule="auto"/>
        <w:tabs>
          <w:tab w:leader="none" w:pos="10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 levels of base salary and annual bonus compensation that will attract and retain superior executives in the highly competitive environment of media companies;</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annual bonus compensation for executive officers that varies directly with Viacom Inc.'s financial performance and, in the case of executive officers with divisional responsibilities, also with the financial performance of their respective divisions, and, in addition, reflects the executive officer's individual contribution to that performance; and</w:t>
      </w:r>
    </w:p>
    <w:p>
      <w:pPr>
        <w:spacing w:after="0" w:line="209" w:lineRule="exact"/>
        <w:rPr>
          <w:rFonts w:ascii="Courier New" w:cs="Courier New" w:eastAsia="Courier New" w:hAnsi="Courier New"/>
          <w:sz w:val="18"/>
          <w:szCs w:val="18"/>
          <w:color w:val="auto"/>
        </w:rPr>
      </w:pPr>
    </w:p>
    <w:p>
      <w:pPr>
        <w:ind w:left="1060" w:right="1779" w:hanging="525"/>
        <w:spacing w:after="0" w:line="279" w:lineRule="auto"/>
        <w:tabs>
          <w:tab w:leader="none" w:pos="10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long-term incentive compensation that is tied to Viacom Inc.'s stock price so as to focus the attention of executives on managing Viacom Inc. from the perspective of an owner with an equity stake.</w:t>
      </w:r>
    </w:p>
    <w:p>
      <w:pPr>
        <w:spacing w:after="0" w:line="17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Viacom Inc. has just completed a historic transaction in the acquisition of Paramount. It is therefore more crucial than ever that Viacom Inc. attract and retain executives with broad media-based experience. The Committee's goal is to develop a compensation package that enables Viacom Inc. to accomplish this.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that connection, the Committee evaluates the competitiveness of its executive compensation packages based on information from a variety of sources, including information supplied by consultants and information obtained from the media or from Viacom Inc.'s own experience. The Committee also focuses on executive compensation offered by the members of the peer group included in the Performance Graph* set forth below. At times, the Committee also evaluates compensation at a broader range of companies whether or not included in the peer group that have particular lines of business comparable to those of Viacom Inc.</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 ----------</w:t>
      </w:r>
    </w:p>
    <w:p>
      <w:pPr>
        <w:spacing w:after="0" w:line="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*As a result of the Paramount Merger and the anticipated Blockbuster Merger, it is likely that the composition of the peer group included in the Performance Graph will be reviewed and adjusted for subsequent years.</w:t>
      </w: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III-5</w:t>
      </w:r>
    </w:p>
    <w:p>
      <w:pPr>
        <w:sectPr>
          <w:pgSz w:w="11900" w:h="16838" w:orient="portrait"/>
          <w:cols w:equalWidth="0" w:num="1">
            <w:col w:w="10219"/>
          </w:cols>
          <w:pgMar w:left="240" w:top="717" w:right="1440" w:bottom="1440" w:gutter="0" w:footer="0" w:header="0"/>
        </w:sectPr>
      </w:pPr>
    </w:p>
    <w:bookmarkStart w:id="130" w:name="page131"/>
    <w:bookmarkEnd w:id="130"/>
    <w:p>
      <w:pPr>
        <w:ind w:right="1879" w:firstLine="527"/>
        <w:spacing w:after="0" w:line="237" w:lineRule="auto"/>
        <w:rPr>
          <w:sz w:val="20"/>
          <w:szCs w:val="20"/>
          <w:color w:val="auto"/>
        </w:rPr>
      </w:pPr>
      <w:r>
        <w:rPr>
          <w:rFonts w:ascii="Courier New" w:cs="Courier New" w:eastAsia="Courier New" w:hAnsi="Courier New"/>
          <w:sz w:val="18"/>
          <w:szCs w:val="18"/>
          <w:color w:val="auto"/>
        </w:rPr>
        <w:t>While the Committee evaluates this information and has generally attempted to peg overall compensation to the median to 75th percentile level (with base salaries generally being pegged to the median level and annual bonus compensation to the 75th percentile level), it ultimately determines the appropriate compensation for each position based on the requirements and characteristics of that position and the knowledge, skills and abilities of the executive. For Viacom Inc.'s executive officers as a whole and for Mr. Biondi specifically, the Committee believes that it has achieved its goal of providing overall 1993 compensation, and the base salary and annual bonus components, at the median to 75th percentile level.</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Compensation</w:t>
      </w:r>
    </w:p>
    <w:p>
      <w:pPr>
        <w:spacing w:after="0" w:line="238" w:lineRule="auto"/>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Executive compensation is comprised of base salary, annual bonus compensation and long-term incentive compensation in the form of stock options and phantom share awards. Long-term incentive compensation for executive officers with divisional responsibilities has also included performance share awards tied to divisional performance.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Base Salaries</w:t>
      </w:r>
    </w:p>
    <w:p>
      <w:pPr>
        <w:spacing w:after="0" w:line="238" w:lineRule="auto"/>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Base salary levels for executive officers are consistent with competitive practice and level of responsibility. Base salary levels for the more senior executive officers are generally set forth in the executives' employment contracts and increases in their base salary in 1993 were generally made in accordance with their contracts. Increases in base salary in 1993 for other senior executives were set consistent with the considerations discussed above with respect to base salary levels and increases were within the range of percentages by which the salaries of other senior executives at that level increased. The employment contracts for Mr. Biondi and the other four named executive officers are described below under the caption "Employment Contracts".</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Incentive Compensation</w:t>
      </w:r>
    </w:p>
    <w:p>
      <w:pPr>
        <w:spacing w:after="0" w:line="238" w:lineRule="auto"/>
        <w:rPr>
          <w:sz w:val="20"/>
          <w:szCs w:val="20"/>
          <w:color w:val="auto"/>
        </w:rPr>
      </w:pPr>
      <w:r>
        <w:rPr>
          <w:rFonts w:ascii="Courier New" w:cs="Courier New" w:eastAsia="Courier New" w:hAnsi="Courier New"/>
          <w:sz w:val="18"/>
          <w:szCs w:val="18"/>
          <w:color w:val="auto"/>
        </w:rPr>
        <w:t>- -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Limits to Tax Deductibility of Executive Compensation</w:t>
      </w:r>
    </w:p>
    <w:p>
      <w:pPr>
        <w:spacing w:after="0" w:line="238" w:lineRule="auto"/>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Omnibus Budget Reconciliation Act of 1993 added Section 162(m) to the Internal Revenue Code of 1986, as amended, generally limiting to $1,000,000 the federal tax deductibility of compensation (including stock options) paid to Viacom Inc.'s Chief Executive Officer and the four most highly compensated officers, other than the Chief Executive Officer, starting with the 1994 calendar year. The tax law change includes an exception to the deduction limitation for performance-based compensation (including stock-based compensation, such as stock options), provided such compensation meets certain requirements, including shareholder approval. The Viacom Inc.</w:t>
      </w:r>
    </w:p>
    <w:p>
      <w:pPr>
        <w:spacing w:after="0" w:line="11" w:lineRule="exact"/>
        <w:rPr>
          <w:sz w:val="20"/>
          <w:szCs w:val="20"/>
          <w:color w:val="auto"/>
        </w:rPr>
      </w:pPr>
    </w:p>
    <w:p>
      <w:pPr>
        <w:ind w:right="1999"/>
        <w:spacing w:after="0"/>
        <w:rPr>
          <w:sz w:val="20"/>
          <w:szCs w:val="20"/>
          <w:color w:val="auto"/>
        </w:rPr>
      </w:pPr>
      <w:r>
        <w:rPr>
          <w:rFonts w:ascii="Courier New" w:cs="Courier New" w:eastAsia="Courier New" w:hAnsi="Courier New"/>
          <w:sz w:val="18"/>
          <w:szCs w:val="18"/>
          <w:color w:val="auto"/>
        </w:rPr>
        <w:t>Senior Executive Short-Term Incentive Plan (the "Senior Executive STIP") and the 1994 Viacom Inc. Long-Term Management Incentive Plan (the "New LTMIP") have been designed to comply with this exception. The Senior Executive STIP will provide objective performance-based annual bonuses for selected executive officers of Viacom Inc., subject to a maximum limit, starting with the 1994 calendar year. Long-term incentive compensation for Viacom Inc.'s executive officers will be provided under the New LTMIP starting with the 1994 calendar year, primarily through grants of stock options. The Viacom Inc. Board of Directors has adopted, and is recommending that the shareholders approve, the Senior Executive STIP and the New LTMIP. Viacom Inc. does not expect compensation paid to Viacom Inc.'s Chief Executive Officer and the other four most highly compensated officers for 1994 to exceed the Section 162(m) deductibility limit because of the anticipated shareholder approval of the Senior Executive STIP and the New LTMIP, the effect of the "grandfathering" provisions of the tax laws and the deferral of a portion (not in excess of 15%) of annual cash compensation under the Company's 401(k) and excess 401(k) plans.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III-6</w:t>
      </w:r>
    </w:p>
    <w:p>
      <w:pPr>
        <w:sectPr>
          <w:pgSz w:w="11900" w:h="16838" w:orient="portrait"/>
          <w:cols w:equalWidth="0" w:num="1">
            <w:col w:w="10219"/>
          </w:cols>
          <w:pgMar w:left="240" w:top="722" w:right="1440" w:bottom="1440" w:gutter="0" w:footer="0" w:header="0"/>
        </w:sectPr>
      </w:pPr>
    </w:p>
    <w:bookmarkStart w:id="131" w:name="page132"/>
    <w:bookmarkEnd w:id="131"/>
    <w:p>
      <w:pPr>
        <w:spacing w:after="0"/>
        <w:rPr>
          <w:sz w:val="20"/>
          <w:szCs w:val="20"/>
          <w:color w:val="auto"/>
        </w:rPr>
      </w:pPr>
      <w:r>
        <w:rPr>
          <w:rFonts w:ascii="Courier New" w:cs="Courier New" w:eastAsia="Courier New" w:hAnsi="Courier New"/>
          <w:sz w:val="18"/>
          <w:szCs w:val="18"/>
          <w:color w:val="auto"/>
        </w:rPr>
        <w:t>Annual Bonus Compensation</w:t>
      </w:r>
    </w:p>
    <w:p>
      <w:pPr>
        <w:spacing w:after="0" w:line="238" w:lineRule="auto"/>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Annual bonus compensation for Viacom Inc.'s executive officers from 1989 through 1993 was provided under the Company's Short-Term Incentive Plan (the "STIP"). During each of those calendar years, target levels of annual operating income and cash flow were established for Viacom Inc. as a whole</w:t>
      </w:r>
    </w:p>
    <w:p>
      <w:pPr>
        <w:spacing w:after="0" w:line="1"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and for each of its divisions and subsidiaries. Operating income is defined as revenues less operating expenses (other than depreciation and amortization); cash flow is defined as operating income (as defined) less cash capital expenditures and increases or decreases in working capital and in other balance sheet investments. Historically, the operating income and cash flow goals have generally been given equal weight. Additional targets have also been established for specific divisions and subsidiaries. For 1993, operating income and cash flow goals were given equal weight for Viacom Inc. as a whole and were generally given equal weight for its divisions and subsidiaries.</w:t>
      </w:r>
    </w:p>
    <w:p>
      <w:pPr>
        <w:spacing w:after="0" w:line="184"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level of achievement of the applicable corporate or divisional goals determined the aggregate amounts available for funding awards for corporate or divisional executives; the amounts were subject to upward or downward adjustment pursuant to a mathematical formula based on the level of achievement and could exceed 100% of targeted amounts. The aggregate amount available for funding annual bonuses for executive officers with exclusive corporate responsibilities was based exclusively on achievement of Viacom Inc.'s annual financial targets. For executive officers with divisional responsibilities, most (approximately 80%) of their annual bonuses (including 1993 bonuses) was based on the aggregate amounts available for annual bonuses for their particular divisions, which was determined by the level of achievement of the applicable divisional targets; the remaining 20% was based on the aggregate amount available for annual bonuses for corporate executives.</w:t>
      </w:r>
    </w:p>
    <w:p>
      <w:pPr>
        <w:spacing w:after="0" w:line="38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Committee approved a specific target bonus for each executive officer which was expressed as a percentage of his salary. These targets are included in the executive officers' employment contracts and for the named executive officers other than Mr. Biondi are described below under the caption "Employment Contracts".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 the beginning of each calendar year, the executive officers were assigned individual goals for that year. The goals for executive officers with divisional responsibilities tended to parallel the applicable divisional goals. At the end of each calendar year, an assessment was made of each executive officer's individual performance. If the officer had achieved 100% of his individual goals, he would receive an award of 100% of his target bonus, assuming the applicable corporate and/or divisional targets had been fully achieved. Thus, since the applicable individual and corporate and/or divisional targets for 1991 and 1992 were both fully met or exceeded, each of the named executives received at least 100% of their target bonus for those years. The applicable individual and corporate targets and the targets of each division, other than the Cable Division, were also fully met or exceeded for 1993 and each of the named executives, other that Mr. Goddard, received at least 100% of their target bonus for 1993. In addition, each of such executives also received a special bonus in recognition of their outstanding personal contributions to such achievement, as well as their special efforts to effect the Paramount Merger. Mr. Goddard's 1993 annual bonus reflected the Cable Division's less than 100% achievement of its targets.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III-7</w:t>
      </w:r>
    </w:p>
    <w:p>
      <w:pPr>
        <w:sectPr>
          <w:pgSz w:w="11900" w:h="16838" w:orient="portrait"/>
          <w:cols w:equalWidth="0" w:num="1">
            <w:col w:w="10219"/>
          </w:cols>
          <w:pgMar w:left="240" w:top="919" w:right="1440" w:bottom="1440" w:gutter="0" w:footer="0" w:header="0"/>
        </w:sectPr>
      </w:pPr>
    </w:p>
    <w:bookmarkStart w:id="132" w:name="page133"/>
    <w:bookmarkEnd w:id="132"/>
    <w:p>
      <w:pPr>
        <w:spacing w:after="0"/>
        <w:rPr>
          <w:sz w:val="20"/>
          <w:szCs w:val="20"/>
          <w:color w:val="auto"/>
        </w:rPr>
      </w:pPr>
      <w:r>
        <w:rPr>
          <w:rFonts w:ascii="Courier New" w:cs="Courier New" w:eastAsia="Courier New" w:hAnsi="Courier New"/>
          <w:sz w:val="18"/>
          <w:szCs w:val="18"/>
          <w:color w:val="auto"/>
        </w:rPr>
        <w:t>Long-Term Incentive Compensation</w:t>
      </w:r>
    </w:p>
    <w:p>
      <w:pPr>
        <w:spacing w:after="0" w:line="238" w:lineRule="auto"/>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The Committee believes that the use of equity-based long-term incentive plans directly links executive interests to enhancing shareholder value.</w:t>
      </w:r>
    </w:p>
    <w:p>
      <w:pPr>
        <w:spacing w:after="0" w:line="170" w:lineRule="exact"/>
        <w:rPr>
          <w:sz w:val="20"/>
          <w:szCs w:val="20"/>
          <w:color w:val="auto"/>
        </w:rPr>
      </w:pPr>
    </w:p>
    <w:p>
      <w:pPr>
        <w:ind w:right="2199" w:firstLine="527"/>
        <w:spacing w:after="0" w:line="268" w:lineRule="auto"/>
        <w:rPr>
          <w:sz w:val="20"/>
          <w:szCs w:val="20"/>
          <w:color w:val="auto"/>
        </w:rPr>
      </w:pPr>
      <w:r>
        <w:rPr>
          <w:rFonts w:ascii="Courier New" w:cs="Courier New" w:eastAsia="Courier New" w:hAnsi="Courier New"/>
          <w:sz w:val="16"/>
          <w:szCs w:val="16"/>
          <w:color w:val="auto"/>
        </w:rPr>
        <w:t>Viacom Inc.'s first long-term incentive program was provided under the Viacom Inc. Long-Term Incentive Plan ("LTIP"), established in 1987 after the Company was acquired by NAI. The LTIP was developed with the assistance</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of Towers Perrin, an independent consultant. Since it was crucial to the success of Viacom Inc. that it attract and retain the services of experienced executives, the Committee awarded a single substantial grant of phantom shares to Viacom Inc.'s executive officers as of August 1987. The size of the grant to each executive was within the range assigned to the executive's relative level of responsibility. Payment for most LTIP phantom shares was accelerated and made in December 1992. The reasons for the acceleration and the operation of the LTIP are described in more detail below.</w:t>
      </w:r>
    </w:p>
    <w:p>
      <w:pPr>
        <w:spacing w:after="0" w:line="212"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Most subsequent long-term incentive compensation for Viacom Inc.'s executive officers has been provided under the five (5) year Viacom Inc. 1989 Long-Term Management Incentive Plan (the "LTMIP") through annual stock option grants. The LTMIP was also developed with the assistance of Towers Perrin.</w:t>
      </w:r>
    </w:p>
    <w:p>
      <w:pPr>
        <w:spacing w:after="0" w:line="18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Payments for phantom shares granted under the LTIP was based on the amount by which the fair market value of the Viacom Inc. Common Stock as of certain valuation dates exceeded the initial value of the phantom shares on the date of grant, subject to a $31.23 per share payment limit. These phantom shares had an average initial value of $19.50. In 1990, Viacom Inc. issued a share of Class B Common Stock for each share of Class A Common Stock then outstanding. As adjusted by the Committee for this stock split, the value of each phantom share was determined by reference to the combined fair market values of a share of Class A Common Stock and a share of Class B Common Stock. The first valuation date was December 15, 1992 for 25% of the grant, although a portion of these phantom shares were valued as of December 15, 1990. The second valuation date was December 15, 1993 for another 25% and the final valuation date is December 15, 1994 for the remaining 50%. These phantom shares vested over the three year period from 1987 through 1990.</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Subsequent minor grants of LTIP phantom shares were made with initial values set at the fair market value of the Viacom Inc. Common Stock at the time of grant.</w:t>
      </w: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On December 17, 1992, the Committee approved the acceleration of the valuation and payment to active employees, including Viacom Inc.'s executive officers, of the LTIP phantom shares granted as of August 1987 that would otherwise be valued and paid after the December 15, 1993 and December 15, 1994 valuation dates. Payment for these phantom shares was made in December 1992 at the same time that payment was made for the LTIP phantom shares with a December 15, 1992 valuation date. The Committee took this action, in part, to preserve individual and corporate tax benefits which might be lost in the future if certain announced tax law changes were enacted. The Committee also took this action because these phantom shares had already reached the $31.23 per share payment limit, thereby reducing their value as incentives to enhancing shareholder value, and because the remaining valuation and payment dates (i.e., December 15, 1993 and December 15, 1994) were more than six or seven years after the original grant. For a description of the acceleration of the valuation and payment of Mr. Biondi's LTIP phantom shares, see "Chief Executive Officer's Compensation" below.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III-8</w:t>
      </w:r>
    </w:p>
    <w:p>
      <w:pPr>
        <w:sectPr>
          <w:pgSz w:w="11900" w:h="16838" w:orient="portrait"/>
          <w:cols w:equalWidth="0" w:num="1">
            <w:col w:w="10219"/>
          </w:cols>
          <w:pgMar w:left="240" w:top="717" w:right="1440" w:bottom="1440" w:gutter="0" w:footer="0" w:header="0"/>
        </w:sectPr>
      </w:pPr>
    </w:p>
    <w:bookmarkStart w:id="133" w:name="page134"/>
    <w:bookmarkEnd w:id="133"/>
    <w:p>
      <w:pPr>
        <w:ind w:right="1879" w:firstLine="527"/>
        <w:spacing w:after="0" w:line="269" w:lineRule="auto"/>
        <w:rPr>
          <w:sz w:val="20"/>
          <w:szCs w:val="20"/>
          <w:color w:val="auto"/>
        </w:rPr>
      </w:pPr>
      <w:r>
        <w:rPr>
          <w:rFonts w:ascii="Courier New" w:cs="Courier New" w:eastAsia="Courier New" w:hAnsi="Courier New"/>
          <w:sz w:val="16"/>
          <w:szCs w:val="16"/>
          <w:color w:val="auto"/>
        </w:rPr>
        <w:t>Under the LTMIP, the Committee awarded annual grants of stock options for Class B Common Stock to Viacom Inc.'s executive officers for the years 1990, 1991, 1992 and 1993. The Committee also awarded Mr. Dauman a special one-time grant of 60,000 stock options for Class B Common Stock as of February 1, 1993 when he became an executive officer of Viacom Inc. and the Company. The exercise price of all of these stock options was set at the fair market value of the Class B Common Stock at the time of grant. The grant awarded by the Committee for 1989 consisted of a combination of stock options and phantom shares. Included in Messrs. Biondi, Braun, Goddard and Weinstein's 1989 grant were certain stock options conditioned upon their becoming available from forfeitures by other participants in the LTMIP. After the 1990 stock split, the Committee adjusted the phantom shares granted in 1989 in the same manner that it adjusted the LTIP phantom shares and each stock option granted in 1989 became exercisable for a share of Class A Common Stock and a share of Class B Common Stock. All of the stock options granted under the LTMIP are ten-year non-qualified options that become fully exercisable four years after the grant.</w:t>
      </w:r>
    </w:p>
    <w:p>
      <w:pPr>
        <w:spacing w:after="0" w:line="200" w:lineRule="exact"/>
        <w:rPr>
          <w:sz w:val="20"/>
          <w:szCs w:val="20"/>
          <w:color w:val="auto"/>
        </w:rPr>
      </w:pPr>
    </w:p>
    <w:p>
      <w:pPr>
        <w:spacing w:after="0" w:line="39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pattern for determining awards to Viacom Inc.'s executive officers under the LTMIP was essentially consistent with the pattern developed for the LTIP except that (i) each of the five awards to these officers for the 1989 through 1993 period was approximately one-fifth of the size of the 1987 LTIP grants to executives at their level and (ii) an effort was made to reduce the difference between the grants at the divisional Chairman level and the grants at the divisional President level. The 1993 LTMIP awards were generally consistent with the pattern described above. The amounts therefore reflected the amounts of outstanding awards, as adjusted for promotions. In addition, from time to time, in determining the amount of the LTMIP awards, special note was taken of either a unique competitive situation or extraordinary individual contributions which had already occurred or were expected in the future. Mr. Dauman's initial LTMIP grant was thus intended in part, to attract him to Viacom Inc. and, in part, to recognize his extraordinary services to Viacom Inc. before he became an executive officer of Viacom Inc.</w:t>
      </w:r>
    </w:p>
    <w:p>
      <w:pPr>
        <w:spacing w:after="0" w:line="208"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In 1993, the Viacom Inc. Long-Term Incentive Plan (Divisional) (the "Divisional LTIP") was adopted by the Committee. The Divisional LTIP was developed with the assistance of Frederic W. Cook &amp; Co., Inc. to provide long-term compensation for divisional executives based on the performance of their respective divisions. The Divisional LTIP is designed to provide divisional executives with annual grants of performance shares that vest after three years. Long-term financial and strategic goals are established by the Committee for each division or subsidiary at the time the performance shares are granted. The amount payable for the performance shares is based on the achievement during the three years of those goals, with the amounts payable varying directly with the level of achievement. Amounts are payable if certain, though not all, of the goals are achieved provided certain minimum levels are achieved.</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first grant of performance shares under the Divisional LTIP was made in June 1993 with respect to the three year period that commenced January 1, 1993. The financial goals included the attainment of specified levels of cumulative operating income and average return on net assets employed. In addition, strategic targets were established for specific divisions and subsidiaries. The Committee established the amounts and terms of these grants. Executive officers with divisional responsibilities such as Messrs. Braun and Goddard received a grant under the Divisional LTIP for the three year period that commenced January 1, 1993. The 1992 and 1993 LTMIP grants to these executives were reduced to reflect their participation in the Divisional Plan. It is expected that long-term compensation for 1994 and subsequent years for executive officers with divisional responsibilities will be awarded under the New LTMIP and not under the Divisional LTIP.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Executive Officer's Compensation</w:t>
      </w:r>
    </w:p>
    <w:p>
      <w:pPr>
        <w:spacing w:after="0" w:line="238" w:lineRule="auto"/>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Mr. Biondi's compensation package was negotiated in 1987 when he became President, Chief Executive Officer of Viacom Inc. and the Company. It included his initial base salary and 10% annual rate of increase, his guaranteed annual bonus compensation and a grant of 240,000 LTIP phantom shares. His employment contract is more fully described below under the caption "Employment Contracts".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III-9</w:t>
      </w:r>
    </w:p>
    <w:p>
      <w:pPr>
        <w:sectPr>
          <w:pgSz w:w="11900" w:h="16838" w:orient="portrait"/>
          <w:cols w:equalWidth="0" w:num="1">
            <w:col w:w="10219"/>
          </w:cols>
          <w:pgMar w:left="240" w:top="722" w:right="1440" w:bottom="362" w:gutter="0" w:footer="0" w:header="0"/>
        </w:sectPr>
      </w:pPr>
    </w:p>
    <w:bookmarkStart w:id="134" w:name="page135"/>
    <w:bookmarkEnd w:id="134"/>
    <w:p>
      <w:pPr>
        <w:ind w:right="1879" w:firstLine="527"/>
        <w:spacing w:after="0" w:line="237" w:lineRule="auto"/>
        <w:rPr>
          <w:sz w:val="20"/>
          <w:szCs w:val="20"/>
          <w:color w:val="auto"/>
        </w:rPr>
      </w:pPr>
      <w:r>
        <w:rPr>
          <w:rFonts w:ascii="Courier New" w:cs="Courier New" w:eastAsia="Courier New" w:hAnsi="Courier New"/>
          <w:sz w:val="18"/>
          <w:szCs w:val="18"/>
          <w:color w:val="auto"/>
        </w:rPr>
        <w:t>Mr. Biondi's salary increased during 1993 by the stipulated 10%. His 1993 annual bonus reflected full achievement of Viacom Inc.'s operating income and cash flow goals for the year. In addition, he received a special bonus in recognition of his outstanding personal contribution to that achievement, as well as his special efforts to effect the Paramount Merger. Mr. Biondi's 1993 stock option award under the LTMIP is consistent with the overall program and is shown below in the Summary Compensation Table.</w:t>
      </w:r>
    </w:p>
    <w:p>
      <w:pPr>
        <w:spacing w:after="0" w:line="211"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As part of the Committee's approval of the accelerated valuation and payment of the LTIP phantom shares discussed above, the Committee approved the December 1992 payment of Mr. Biondi's LTIP phantom shares with December 15, 1993 and December 15, 1994 valuation dates. Payment was made in shares of Class B Common Stock with the number of shares based on the fair market value of the Class B Common Stock on December 17, 1992. The Committee determined that payment to Mr. Biondi in stock, rather than cash, was preferable because Mr. Biondi's LTIP phantom shares, unlike those of other employees, were not subject to the $31.23 per share payment limit, and the payment in stock would allow him to continue to benefit from, and would further link his interests to, increases in shareholder value. As a result of the foregoing, Mr. Biondi recognized taxable income and the Company recognized a corresponding deduction, of $10,263,600, of which $3,370,053 was withheld as taxes and the remainder paid as 177,897 shares of Class B Common Stock, all of which have been retained by Mr. Biondi. Mr. Biondi also received a cash payment in December 1992 in the amount of $3,421,200 for his LTIP phantom shares with a December 15, 1992 valuation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Sumner M. Redstone, Chairman</w:t>
      </w:r>
    </w:p>
    <w:p>
      <w:pPr>
        <w:spacing w:after="0" w:line="238" w:lineRule="auto"/>
        <w:rPr>
          <w:sz w:val="20"/>
          <w:szCs w:val="20"/>
          <w:color w:val="auto"/>
        </w:rPr>
      </w:pPr>
      <w:r>
        <w:rPr>
          <w:rFonts w:ascii="Courier New" w:cs="Courier New" w:eastAsia="Courier New" w:hAnsi="Courier New"/>
          <w:sz w:val="18"/>
          <w:szCs w:val="18"/>
          <w:color w:val="auto"/>
        </w:rPr>
        <w:t>George S. Abrams</w:t>
      </w:r>
    </w:p>
    <w:p>
      <w:pPr>
        <w:spacing w:after="0"/>
        <w:rPr>
          <w:sz w:val="20"/>
          <w:szCs w:val="20"/>
          <w:color w:val="auto"/>
        </w:rPr>
      </w:pPr>
      <w:r>
        <w:rPr>
          <w:rFonts w:ascii="Courier New" w:cs="Courier New" w:eastAsia="Courier New" w:hAnsi="Courier New"/>
          <w:sz w:val="18"/>
          <w:szCs w:val="18"/>
          <w:color w:val="auto"/>
        </w:rPr>
        <w:t>Philippe P. Dauman*</w:t>
      </w:r>
    </w:p>
    <w:p>
      <w:pPr>
        <w:spacing w:after="0" w:line="237" w:lineRule="auto"/>
        <w:rPr>
          <w:sz w:val="20"/>
          <w:szCs w:val="20"/>
          <w:color w:val="auto"/>
        </w:rPr>
      </w:pPr>
      <w:r>
        <w:rPr>
          <w:rFonts w:ascii="Courier New" w:cs="Courier New" w:eastAsia="Courier New" w:hAnsi="Courier New"/>
          <w:sz w:val="18"/>
          <w:szCs w:val="18"/>
          <w:color w:val="auto"/>
        </w:rPr>
        <w:t>William C. Ferguson</w:t>
      </w:r>
    </w:p>
    <w:p>
      <w:pPr>
        <w:spacing w:after="0" w:line="238" w:lineRule="auto"/>
        <w:rPr>
          <w:sz w:val="20"/>
          <w:szCs w:val="20"/>
          <w:color w:val="auto"/>
        </w:rPr>
      </w:pPr>
      <w:r>
        <w:rPr>
          <w:rFonts w:ascii="Courier New" w:cs="Courier New" w:eastAsia="Courier New" w:hAnsi="Courier New"/>
          <w:sz w:val="18"/>
          <w:szCs w:val="18"/>
          <w:color w:val="auto"/>
        </w:rPr>
        <w:t>H. Wayne Huizenga</w:t>
      </w:r>
    </w:p>
    <w:p>
      <w:pPr>
        <w:spacing w:after="0"/>
        <w:rPr>
          <w:sz w:val="20"/>
          <w:szCs w:val="20"/>
          <w:color w:val="auto"/>
        </w:rPr>
      </w:pPr>
      <w:r>
        <w:rPr>
          <w:rFonts w:ascii="Courier New" w:cs="Courier New" w:eastAsia="Courier New" w:hAnsi="Courier New"/>
          <w:sz w:val="18"/>
          <w:szCs w:val="18"/>
          <w:color w:val="auto"/>
        </w:rPr>
        <w:t>Ira A. Korff**</w:t>
      </w:r>
    </w:p>
    <w:p>
      <w:pPr>
        <w:spacing w:after="0" w:line="237" w:lineRule="auto"/>
        <w:rPr>
          <w:sz w:val="20"/>
          <w:szCs w:val="20"/>
          <w:color w:val="auto"/>
        </w:rPr>
      </w:pPr>
      <w:r>
        <w:rPr>
          <w:rFonts w:ascii="Courier New" w:cs="Courier New" w:eastAsia="Courier New" w:hAnsi="Courier New"/>
          <w:sz w:val="18"/>
          <w:szCs w:val="18"/>
          <w:color w:val="auto"/>
        </w:rPr>
        <w:t>Jerome Magner**</w:t>
      </w:r>
    </w:p>
    <w:p>
      <w:pPr>
        <w:spacing w:after="0"/>
        <w:rPr>
          <w:sz w:val="20"/>
          <w:szCs w:val="20"/>
          <w:color w:val="auto"/>
        </w:rPr>
      </w:pPr>
      <w:r>
        <w:rPr>
          <w:rFonts w:ascii="Courier New" w:cs="Courier New" w:eastAsia="Courier New" w:hAnsi="Courier New"/>
          <w:sz w:val="18"/>
          <w:szCs w:val="18"/>
          <w:color w:val="auto"/>
        </w:rPr>
        <w:t>Ken Miller</w:t>
      </w:r>
    </w:p>
    <w:p>
      <w:pPr>
        <w:spacing w:after="0" w:line="237" w:lineRule="auto"/>
        <w:rPr>
          <w:sz w:val="20"/>
          <w:szCs w:val="20"/>
          <w:color w:val="auto"/>
        </w:rPr>
      </w:pPr>
      <w:r>
        <w:rPr>
          <w:rFonts w:ascii="Courier New" w:cs="Courier New" w:eastAsia="Courier New" w:hAnsi="Courier New"/>
          <w:sz w:val="18"/>
          <w:szCs w:val="18"/>
          <w:color w:val="auto"/>
        </w:rPr>
        <w:t>Brent D. Redstone</w:t>
      </w:r>
    </w:p>
    <w:p>
      <w:pPr>
        <w:spacing w:after="0"/>
        <w:rPr>
          <w:sz w:val="20"/>
          <w:szCs w:val="20"/>
          <w:color w:val="auto"/>
        </w:rPr>
      </w:pPr>
      <w:r>
        <w:rPr>
          <w:rFonts w:ascii="Courier New" w:cs="Courier New" w:eastAsia="Courier New" w:hAnsi="Courier New"/>
          <w:sz w:val="18"/>
          <w:szCs w:val="18"/>
          <w:color w:val="auto"/>
        </w:rPr>
        <w:t>Frederic V. Salerno***</w:t>
      </w:r>
    </w:p>
    <w:p>
      <w:pPr>
        <w:spacing w:after="0" w:line="237" w:lineRule="auto"/>
        <w:rPr>
          <w:sz w:val="20"/>
          <w:szCs w:val="20"/>
          <w:color w:val="auto"/>
        </w:rPr>
      </w:pPr>
      <w:r>
        <w:rPr>
          <w:rFonts w:ascii="Courier New" w:cs="Courier New" w:eastAsia="Courier New" w:hAnsi="Courier New"/>
          <w:sz w:val="18"/>
          <w:szCs w:val="18"/>
          <w:color w:val="auto"/>
        </w:rPr>
        <w:t>William Schwartz</w:t>
      </w:r>
    </w:p>
    <w:p>
      <w:pPr>
        <w:spacing w:after="0" w:line="238" w:lineRule="auto"/>
        <w:rPr>
          <w:sz w:val="20"/>
          <w:szCs w:val="20"/>
          <w:color w:val="auto"/>
        </w:rPr>
      </w:pPr>
      <w:r>
        <w:rPr>
          <w:rFonts w:ascii="Courier New" w:cs="Courier New" w:eastAsia="Courier New" w:hAnsi="Courier New"/>
          <w:sz w:val="18"/>
          <w:szCs w:val="18"/>
          <w:color w:val="auto"/>
        </w:rPr>
        <w:t>Members of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 ----------</w:t>
      </w:r>
    </w:p>
    <w:p>
      <w:pPr>
        <w:spacing w:after="0" w:line="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*Mr. Dauman resigned from the Compensation Committee on February 1, 1993 when he became an executive officer of Viacom Inc. and the Company.</w:t>
      </w:r>
    </w:p>
    <w:p>
      <w:pPr>
        <w:spacing w:after="0" w:line="6"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**Messrs. Korff and Magner resigned on March 15, 1994 when they resigned from the Boards of Directors of Viacom Inc. and the Company.</w:t>
      </w:r>
    </w:p>
    <w:p>
      <w:pPr>
        <w:spacing w:after="0" w:line="6"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***Mr. Salerno became a member of the Compensation Committee when he became a director of Viacom Inc. and the Company on January 27, 1994.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III-10</w:t>
      </w:r>
    </w:p>
    <w:p>
      <w:pPr>
        <w:sectPr>
          <w:pgSz w:w="11900" w:h="16838" w:orient="portrait"/>
          <w:cols w:equalWidth="0" w:num="1">
            <w:col w:w="10219"/>
          </w:cols>
          <w:pgMar w:left="240" w:top="723" w:right="1440" w:bottom="1440" w:gutter="0" w:footer="0" w:header="0"/>
        </w:sectPr>
      </w:pPr>
    </w:p>
    <w:bookmarkStart w:id="135" w:name="page136"/>
    <w:bookmarkEnd w:id="135"/>
    <w:p>
      <w:pPr>
        <w:spacing w:after="0" w:line="290" w:lineRule="exact"/>
        <w:rPr>
          <w:sz w:val="20"/>
          <w:szCs w:val="20"/>
          <w:color w:val="auto"/>
        </w:rPr>
      </w:pPr>
    </w:p>
    <w:p>
      <w:pPr>
        <w:ind w:left="4321"/>
        <w:spacing w:after="0"/>
        <w:rPr>
          <w:sz w:val="20"/>
          <w:szCs w:val="20"/>
          <w:color w:val="auto"/>
        </w:rPr>
      </w:pPr>
      <w:r>
        <w:rPr>
          <w:rFonts w:ascii="Courier New" w:cs="Courier New" w:eastAsia="Courier New" w:hAnsi="Courier New"/>
          <w:sz w:val="18"/>
          <w:szCs w:val="18"/>
          <w:color w:val="auto"/>
        </w:rPr>
        <w:t>Summary Compensation Table</w:t>
      </w:r>
    </w:p>
    <w:p>
      <w:pPr>
        <w:ind w:left="4321"/>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tbl>
      <w:tblPr>
        <w:tblLayout w:type="fixed"/>
        <w:tblInd w:w="1" w:type="dxa"/>
        <w:tblCellMar>
          <w:top w:w="0" w:type="dxa"/>
          <w:left w:w="0" w:type="dxa"/>
          <w:bottom w:w="0" w:type="dxa"/>
          <w:right w:w="0" w:type="dxa"/>
        </w:tblCellMar>
      </w:tblPr>
      <w:tr>
        <w:trPr>
          <w:trHeight w:val="204"/>
        </w:trPr>
        <w:tc>
          <w:tcPr>
            <w:tcW w:w="2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580" w:type="dxa"/>
            <w:vAlign w:val="bottom"/>
            <w:gridSpan w:val="4"/>
          </w:tcPr>
          <w:p>
            <w:pPr>
              <w:jc w:val="right"/>
              <w:ind w:right="132"/>
              <w:spacing w:after="0"/>
              <w:rPr>
                <w:sz w:val="20"/>
                <w:szCs w:val="20"/>
                <w:color w:val="auto"/>
              </w:rPr>
            </w:pPr>
            <w:r>
              <w:rPr>
                <w:rFonts w:ascii="Courier New" w:cs="Courier New" w:eastAsia="Courier New" w:hAnsi="Courier New"/>
                <w:sz w:val="18"/>
                <w:szCs w:val="18"/>
                <w:color w:val="auto"/>
                <w:w w:val="98"/>
              </w:rPr>
              <w:t>Annual Compensation(1)</w:t>
            </w:r>
          </w:p>
        </w:tc>
        <w:tc>
          <w:tcPr>
            <w:tcW w:w="3000" w:type="dxa"/>
            <w:vAlign w:val="bottom"/>
            <w:gridSpan w:val="3"/>
          </w:tcPr>
          <w:p>
            <w:pPr>
              <w:jc w:val="right"/>
              <w:ind w:right="492"/>
              <w:spacing w:after="0"/>
              <w:rPr>
                <w:sz w:val="20"/>
                <w:szCs w:val="20"/>
                <w:color w:val="auto"/>
              </w:rPr>
            </w:pPr>
            <w:r>
              <w:rPr>
                <w:rFonts w:ascii="Courier New" w:cs="Courier New" w:eastAsia="Courier New" w:hAnsi="Courier New"/>
                <w:sz w:val="18"/>
                <w:szCs w:val="18"/>
                <w:color w:val="auto"/>
              </w:rPr>
              <w:t>Long-Term Compensation</w:t>
            </w:r>
          </w:p>
        </w:tc>
        <w:tc>
          <w:tcPr>
            <w:tcW w:w="120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58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w:t>
            </w:r>
          </w:p>
        </w:tc>
        <w:tc>
          <w:tcPr>
            <w:tcW w:w="3000" w:type="dxa"/>
            <w:vAlign w:val="bottom"/>
            <w:gridSpan w:val="3"/>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Awards</w:t>
            </w:r>
          </w:p>
        </w:tc>
        <w:tc>
          <w:tcPr>
            <w:tcW w:w="160" w:type="dxa"/>
            <w:vAlign w:val="bottom"/>
          </w:tcPr>
          <w:p>
            <w:pPr>
              <w:spacing w:after="0"/>
              <w:rPr>
                <w:sz w:val="17"/>
                <w:szCs w:val="17"/>
                <w:color w:val="auto"/>
              </w:rPr>
            </w:pP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Payouts</w:t>
            </w:r>
          </w:p>
        </w:tc>
        <w:tc>
          <w:tcPr>
            <w:tcW w:w="120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60" w:type="dxa"/>
            <w:vAlign w:val="bottom"/>
          </w:tcPr>
          <w:p>
            <w:pPr>
              <w:spacing w:after="0"/>
              <w:rPr>
                <w:sz w:val="17"/>
                <w:szCs w:val="17"/>
                <w:color w:val="auto"/>
              </w:rPr>
            </w:pP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Principal</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Securities</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All Other</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Position at</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Underlying</w:t>
            </w:r>
          </w:p>
        </w:tc>
        <w:tc>
          <w:tcPr>
            <w:tcW w:w="160" w:type="dxa"/>
            <w:vAlign w:val="bottom"/>
          </w:tcPr>
          <w:p>
            <w:pPr>
              <w:spacing w:after="0"/>
              <w:rPr>
                <w:sz w:val="17"/>
                <w:szCs w:val="17"/>
                <w:color w:val="auto"/>
              </w:rPr>
            </w:pPr>
          </w:p>
        </w:tc>
        <w:tc>
          <w:tcPr>
            <w:tcW w:w="15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LTIP</w:t>
            </w:r>
          </w:p>
        </w:tc>
        <w:tc>
          <w:tcPr>
            <w:tcW w:w="1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Compensa-</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End of Fiscal 1993</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Year</w:t>
            </w:r>
          </w:p>
        </w:tc>
        <w:tc>
          <w:tcPr>
            <w:tcW w:w="26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Salary</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Bonus</w:t>
            </w:r>
          </w:p>
        </w:tc>
        <w:tc>
          <w:tcPr>
            <w:tcW w:w="13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Options(2)</w:t>
            </w:r>
          </w:p>
        </w:tc>
        <w:tc>
          <w:tcPr>
            <w:tcW w:w="160" w:type="dxa"/>
            <w:vAlign w:val="bottom"/>
          </w:tcPr>
          <w:p>
            <w:pPr>
              <w:spacing w:after="0"/>
              <w:rPr>
                <w:sz w:val="17"/>
                <w:szCs w:val="17"/>
                <w:color w:val="auto"/>
              </w:rPr>
            </w:pP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Payouts</w:t>
            </w:r>
          </w:p>
        </w:tc>
        <w:tc>
          <w:tcPr>
            <w:tcW w:w="1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tion (3)</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160" w:type="dxa"/>
            <w:vAlign w:val="bottom"/>
          </w:tcPr>
          <w:p>
            <w:pPr>
              <w:spacing w:after="0"/>
              <w:rPr>
                <w:sz w:val="17"/>
                <w:szCs w:val="17"/>
                <w:color w:val="auto"/>
              </w:rPr>
            </w:pP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Frank J. Biondi, Jr.</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1993</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4"/>
              </w:rPr>
              <w:t>1,010,904</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1,600,000</w:t>
            </w:r>
          </w:p>
        </w:tc>
        <w:tc>
          <w:tcPr>
            <w:tcW w:w="1300" w:type="dxa"/>
            <w:vAlign w:val="bottom"/>
          </w:tcPr>
          <w:p>
            <w:pPr>
              <w:jc w:val="center"/>
              <w:spacing w:after="0"/>
              <w:rPr>
                <w:sz w:val="20"/>
                <w:szCs w:val="20"/>
                <w:color w:val="auto"/>
              </w:rPr>
            </w:pPr>
            <w:r>
              <w:rPr>
                <w:rFonts w:ascii="Courier New" w:cs="Courier New" w:eastAsia="Courier New" w:hAnsi="Courier New"/>
                <w:sz w:val="18"/>
                <w:szCs w:val="18"/>
                <w:color w:val="auto"/>
                <w:w w:val="98"/>
              </w:rPr>
              <w:t>90,000</w:t>
            </w:r>
          </w:p>
        </w:tc>
        <w:tc>
          <w:tcPr>
            <w:tcW w:w="160" w:type="dxa"/>
            <w:vAlign w:val="bottom"/>
          </w:tcPr>
          <w:p>
            <w:pPr>
              <w:spacing w:after="0"/>
              <w:rPr>
                <w:sz w:val="24"/>
                <w:szCs w:val="24"/>
                <w:color w:val="auto"/>
              </w:rPr>
            </w:pPr>
          </w:p>
        </w:tc>
        <w:tc>
          <w:tcPr>
            <w:tcW w:w="154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0</w:t>
            </w:r>
          </w:p>
        </w:tc>
        <w:tc>
          <w:tcPr>
            <w:tcW w:w="12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$65,180</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 Chief</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1992</w:t>
            </w:r>
          </w:p>
        </w:tc>
        <w:tc>
          <w:tcPr>
            <w:tcW w:w="2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922,045</w:t>
            </w:r>
          </w:p>
        </w:tc>
        <w:tc>
          <w:tcPr>
            <w:tcW w:w="2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1,000,000</w:t>
            </w:r>
          </w:p>
        </w:tc>
        <w:tc>
          <w:tcPr>
            <w:tcW w:w="13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90,000</w:t>
            </w:r>
          </w:p>
        </w:tc>
        <w:tc>
          <w:tcPr>
            <w:tcW w:w="17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$13,684,800(4)</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46,032</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Officer</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1991</w:t>
            </w:r>
          </w:p>
        </w:tc>
        <w:tc>
          <w:tcPr>
            <w:tcW w:w="2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835,151</w:t>
            </w:r>
          </w:p>
        </w:tc>
        <w:tc>
          <w:tcPr>
            <w:tcW w:w="2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900,000</w:t>
            </w:r>
          </w:p>
        </w:tc>
        <w:tc>
          <w:tcPr>
            <w:tcW w:w="13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90,000</w:t>
            </w:r>
          </w:p>
        </w:tc>
        <w:tc>
          <w:tcPr>
            <w:tcW w:w="160" w:type="dxa"/>
            <w:vAlign w:val="bottom"/>
          </w:tcPr>
          <w:p>
            <w:pPr>
              <w:spacing w:after="0"/>
              <w:rPr>
                <w:sz w:val="17"/>
                <w:szCs w:val="17"/>
                <w:color w:val="auto"/>
              </w:rPr>
            </w:pPr>
          </w:p>
        </w:tc>
        <w:tc>
          <w:tcPr>
            <w:tcW w:w="15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0</w:t>
            </w: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of Viacom Inc. and</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Company</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Neil S. Braun</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1993</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552,115</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450,000</w:t>
            </w:r>
          </w:p>
        </w:tc>
        <w:tc>
          <w:tcPr>
            <w:tcW w:w="1300" w:type="dxa"/>
            <w:vAlign w:val="bottom"/>
          </w:tcPr>
          <w:p>
            <w:pPr>
              <w:jc w:val="center"/>
              <w:spacing w:after="0"/>
              <w:rPr>
                <w:sz w:val="20"/>
                <w:szCs w:val="20"/>
                <w:color w:val="auto"/>
              </w:rPr>
            </w:pPr>
            <w:r>
              <w:rPr>
                <w:rFonts w:ascii="Courier New" w:cs="Courier New" w:eastAsia="Courier New" w:hAnsi="Courier New"/>
                <w:sz w:val="18"/>
                <w:szCs w:val="18"/>
                <w:color w:val="auto"/>
                <w:w w:val="98"/>
              </w:rPr>
              <w:t>30,000</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39,038</w:t>
            </w:r>
          </w:p>
        </w:tc>
        <w:tc>
          <w:tcPr>
            <w:tcW w:w="12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$24,788</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Senior Vice President</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1992</w:t>
            </w:r>
          </w:p>
        </w:tc>
        <w:tc>
          <w:tcPr>
            <w:tcW w:w="2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456,130</w:t>
            </w:r>
          </w:p>
        </w:tc>
        <w:tc>
          <w:tcPr>
            <w:tcW w:w="2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375,000</w:t>
            </w:r>
          </w:p>
        </w:tc>
        <w:tc>
          <w:tcPr>
            <w:tcW w:w="13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30,000</w:t>
            </w:r>
          </w:p>
        </w:tc>
        <w:tc>
          <w:tcPr>
            <w:tcW w:w="160" w:type="dxa"/>
            <w:vAlign w:val="bottom"/>
          </w:tcPr>
          <w:p>
            <w:pPr>
              <w:spacing w:after="0"/>
              <w:rPr>
                <w:sz w:val="17"/>
                <w:szCs w:val="17"/>
                <w:color w:val="auto"/>
              </w:rPr>
            </w:pP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2,037,485(5)</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16,275</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of Viacom Inc. and</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1991</w:t>
            </w:r>
          </w:p>
        </w:tc>
        <w:tc>
          <w:tcPr>
            <w:tcW w:w="2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414,087</w:t>
            </w:r>
          </w:p>
        </w:tc>
        <w:tc>
          <w:tcPr>
            <w:tcW w:w="2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320,000</w:t>
            </w:r>
          </w:p>
        </w:tc>
        <w:tc>
          <w:tcPr>
            <w:tcW w:w="13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36,000</w:t>
            </w:r>
          </w:p>
        </w:tc>
        <w:tc>
          <w:tcPr>
            <w:tcW w:w="160" w:type="dxa"/>
            <w:vAlign w:val="bottom"/>
          </w:tcPr>
          <w:p>
            <w:pPr>
              <w:spacing w:after="0"/>
              <w:rPr>
                <w:sz w:val="17"/>
                <w:szCs w:val="17"/>
                <w:color w:val="auto"/>
              </w:rPr>
            </w:pPr>
          </w:p>
        </w:tc>
        <w:tc>
          <w:tcPr>
            <w:tcW w:w="15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0</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the Company; Chairman,</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of the Viacom</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Entertainment Group*</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Philippe P. Dauman</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1993</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553,846</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900,000</w:t>
            </w: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120,000***</w:t>
            </w:r>
          </w:p>
        </w:tc>
        <w:tc>
          <w:tcPr>
            <w:tcW w:w="160" w:type="dxa"/>
            <w:vAlign w:val="bottom"/>
          </w:tcPr>
          <w:p>
            <w:pPr>
              <w:spacing w:after="0"/>
              <w:rPr>
                <w:sz w:val="24"/>
                <w:szCs w:val="24"/>
                <w:color w:val="auto"/>
              </w:rPr>
            </w:pPr>
          </w:p>
        </w:tc>
        <w:tc>
          <w:tcPr>
            <w:tcW w:w="154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0</w:t>
            </w:r>
          </w:p>
        </w:tc>
        <w:tc>
          <w:tcPr>
            <w:tcW w:w="12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Senior Vice President,</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Counsel and</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Secretary of Viacom Inc.</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and the Company**</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John W. Goddard</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1993</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rPr>
              <w:t>562,154</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500,000</w:t>
            </w:r>
          </w:p>
        </w:tc>
        <w:tc>
          <w:tcPr>
            <w:tcW w:w="1300" w:type="dxa"/>
            <w:vAlign w:val="bottom"/>
          </w:tcPr>
          <w:p>
            <w:pPr>
              <w:jc w:val="center"/>
              <w:spacing w:after="0"/>
              <w:rPr>
                <w:sz w:val="20"/>
                <w:szCs w:val="20"/>
                <w:color w:val="auto"/>
              </w:rPr>
            </w:pPr>
            <w:r>
              <w:rPr>
                <w:rFonts w:ascii="Courier New" w:cs="Courier New" w:eastAsia="Courier New" w:hAnsi="Courier New"/>
                <w:sz w:val="18"/>
                <w:szCs w:val="18"/>
                <w:color w:val="auto"/>
                <w:w w:val="98"/>
              </w:rPr>
              <w:t>40,500</w:t>
            </w:r>
          </w:p>
        </w:tc>
        <w:tc>
          <w:tcPr>
            <w:tcW w:w="160" w:type="dxa"/>
            <w:vAlign w:val="bottom"/>
          </w:tcPr>
          <w:p>
            <w:pPr>
              <w:spacing w:after="0"/>
              <w:rPr>
                <w:sz w:val="24"/>
                <w:szCs w:val="24"/>
                <w:color w:val="auto"/>
              </w:rPr>
            </w:pPr>
          </w:p>
        </w:tc>
        <w:tc>
          <w:tcPr>
            <w:tcW w:w="154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0</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$26,500</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Senior Vice President</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1992</w:t>
            </w:r>
          </w:p>
        </w:tc>
        <w:tc>
          <w:tcPr>
            <w:tcW w:w="260" w:type="dxa"/>
            <w:vAlign w:val="bottom"/>
          </w:tcPr>
          <w:p>
            <w:pPr>
              <w:spacing w:after="0"/>
              <w:rPr>
                <w:sz w:val="17"/>
                <w:szCs w:val="17"/>
                <w:color w:val="auto"/>
              </w:rPr>
            </w:pP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513,923</w:t>
            </w:r>
          </w:p>
        </w:tc>
        <w:tc>
          <w:tcPr>
            <w:tcW w:w="2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764,664</w:t>
            </w:r>
          </w:p>
        </w:tc>
        <w:tc>
          <w:tcPr>
            <w:tcW w:w="13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40,500</w:t>
            </w:r>
          </w:p>
        </w:tc>
        <w:tc>
          <w:tcPr>
            <w:tcW w:w="160" w:type="dxa"/>
            <w:vAlign w:val="bottom"/>
          </w:tcPr>
          <w:p>
            <w:pPr>
              <w:spacing w:after="0"/>
              <w:rPr>
                <w:sz w:val="17"/>
                <w:szCs w:val="17"/>
                <w:color w:val="auto"/>
              </w:rPr>
            </w:pP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$4,028,670(4)</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32,362</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of Viacom Inc. and</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1991</w:t>
            </w:r>
          </w:p>
        </w:tc>
        <w:tc>
          <w:tcPr>
            <w:tcW w:w="260" w:type="dxa"/>
            <w:vAlign w:val="bottom"/>
          </w:tcPr>
          <w:p>
            <w:pPr>
              <w:spacing w:after="0"/>
              <w:rPr>
                <w:sz w:val="17"/>
                <w:szCs w:val="17"/>
                <w:color w:val="auto"/>
              </w:rPr>
            </w:pP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474,228</w:t>
            </w:r>
          </w:p>
        </w:tc>
        <w:tc>
          <w:tcPr>
            <w:tcW w:w="2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708,000</w:t>
            </w:r>
          </w:p>
        </w:tc>
        <w:tc>
          <w:tcPr>
            <w:tcW w:w="13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54,000</w:t>
            </w:r>
          </w:p>
        </w:tc>
        <w:tc>
          <w:tcPr>
            <w:tcW w:w="160" w:type="dxa"/>
            <w:vAlign w:val="bottom"/>
          </w:tcPr>
          <w:p>
            <w:pPr>
              <w:spacing w:after="0"/>
              <w:rPr>
                <w:sz w:val="17"/>
                <w:szCs w:val="17"/>
                <w:color w:val="auto"/>
              </w:rPr>
            </w:pPr>
          </w:p>
        </w:tc>
        <w:tc>
          <w:tcPr>
            <w:tcW w:w="15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Company;</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 Chief</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r>
    </w:tbl>
    <w:p>
      <w:pPr>
        <w:ind w:left="1"/>
        <w:spacing w:after="0" w:line="238" w:lineRule="auto"/>
        <w:rPr>
          <w:sz w:val="20"/>
          <w:szCs w:val="20"/>
          <w:color w:val="auto"/>
        </w:rPr>
      </w:pPr>
      <w:r>
        <w:rPr>
          <w:rFonts w:ascii="Courier New" w:cs="Courier New" w:eastAsia="Courier New" w:hAnsi="Courier New"/>
          <w:sz w:val="18"/>
          <w:szCs w:val="18"/>
          <w:color w:val="auto"/>
        </w:rPr>
        <w:t>Executive Officer of</w:t>
      </w:r>
    </w:p>
    <w:p>
      <w:pPr>
        <w:ind w:left="1"/>
        <w:spacing w:after="0"/>
        <w:rPr>
          <w:sz w:val="20"/>
          <w:szCs w:val="20"/>
          <w:color w:val="auto"/>
        </w:rPr>
      </w:pPr>
      <w:r>
        <w:rPr>
          <w:rFonts w:ascii="Courier New" w:cs="Courier New" w:eastAsia="Courier New" w:hAnsi="Courier New"/>
          <w:sz w:val="18"/>
          <w:szCs w:val="18"/>
          <w:color w:val="auto"/>
        </w:rPr>
        <w:t>the Viacom Cable</w:t>
      </w:r>
    </w:p>
    <w:p>
      <w:pPr>
        <w:ind w:left="1"/>
        <w:spacing w:after="0" w:line="237" w:lineRule="auto"/>
        <w:rPr>
          <w:sz w:val="20"/>
          <w:szCs w:val="20"/>
          <w:color w:val="auto"/>
        </w:rPr>
      </w:pPr>
      <w:r>
        <w:rPr>
          <w:rFonts w:ascii="Courier New" w:cs="Courier New" w:eastAsia="Courier New" w:hAnsi="Courier New"/>
          <w:sz w:val="18"/>
          <w:szCs w:val="18"/>
          <w:color w:val="auto"/>
        </w:rPr>
        <w:t>Division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521" w:hanging="521"/>
        <w:spacing w:after="0" w:line="235" w:lineRule="auto"/>
        <w:tabs>
          <w:tab w:leader="none" w:pos="521"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March 17, 1994, Mr. Braun relinquished his responsiblities as Chairman, Chief Executive Officer of the Viacom Entertainment Group.</w:t>
      </w:r>
    </w:p>
    <w:p>
      <w:pPr>
        <w:spacing w:after="0" w:line="208" w:lineRule="exact"/>
        <w:rPr>
          <w:sz w:val="20"/>
          <w:szCs w:val="20"/>
          <w:color w:val="auto"/>
        </w:rPr>
      </w:pPr>
    </w:p>
    <w:p>
      <w:pPr>
        <w:ind w:left="521" w:right="520" w:hanging="521"/>
        <w:spacing w:after="0" w:line="235" w:lineRule="auto"/>
        <w:tabs>
          <w:tab w:leader="none" w:pos="521"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March 15, 1994, Mr. Dauman became Executive Vice President, General Counsel, Chief Administrative Officer and Secretary of Viacom Inc. and the Company.</w:t>
      </w:r>
    </w:p>
    <w:p>
      <w:pPr>
        <w:spacing w:after="0" w:line="208" w:lineRule="exact"/>
        <w:rPr>
          <w:rFonts w:ascii="Courier New" w:cs="Courier New" w:eastAsia="Courier New" w:hAnsi="Courier New"/>
          <w:sz w:val="18"/>
          <w:szCs w:val="18"/>
          <w:color w:val="auto"/>
        </w:rPr>
      </w:pPr>
    </w:p>
    <w:p>
      <w:pPr>
        <w:ind w:left="521" w:right="200" w:hanging="521"/>
        <w:spacing w:after="0" w:line="237" w:lineRule="auto"/>
        <w:tabs>
          <w:tab w:leader="none" w:pos="521"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Dauman received two grants in 1993: a special one-time grant of 60,000 options for Class B Common Stock as of February 1, 1993 when he joined Viacom Inc. and a regular grant of 60,000 options for Class B Common Stock as of August 1, 1993. See Option Grant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161"/>
        <w:spacing w:after="0"/>
        <w:rPr>
          <w:sz w:val="20"/>
          <w:szCs w:val="20"/>
          <w:color w:val="auto"/>
        </w:rPr>
      </w:pPr>
      <w:r>
        <w:rPr>
          <w:rFonts w:ascii="Courier New" w:cs="Courier New" w:eastAsia="Courier New" w:hAnsi="Courier New"/>
          <w:sz w:val="18"/>
          <w:szCs w:val="18"/>
          <w:color w:val="auto"/>
        </w:rPr>
        <w:t>III-11</w:t>
      </w:r>
    </w:p>
    <w:p>
      <w:pPr>
        <w:sectPr>
          <w:pgSz w:w="11900" w:h="16838" w:orient="portrait"/>
          <w:cols w:equalWidth="0" w:num="1">
            <w:col w:w="10001"/>
          </w:cols>
          <w:pgMar w:left="459" w:top="1440" w:right="1439" w:bottom="1440" w:gutter="0" w:footer="0" w:header="0"/>
        </w:sectPr>
      </w:pPr>
    </w:p>
    <w:bookmarkStart w:id="136" w:name="page137"/>
    <w:bookmarkEnd w:id="136"/>
    <w:p>
      <w:pPr>
        <w:ind w:left="3901"/>
        <w:spacing w:after="0"/>
        <w:rPr>
          <w:sz w:val="20"/>
          <w:szCs w:val="20"/>
          <w:color w:val="auto"/>
        </w:rPr>
      </w:pPr>
      <w:r>
        <w:rPr>
          <w:rFonts w:ascii="Courier New" w:cs="Courier New" w:eastAsia="Courier New" w:hAnsi="Courier New"/>
          <w:sz w:val="18"/>
          <w:szCs w:val="18"/>
          <w:color w:val="auto"/>
        </w:rPr>
        <w:t>Summary Compensation Table (cont'd)</w:t>
      </w:r>
    </w:p>
    <w:p>
      <w:pPr>
        <w:ind w:left="3901"/>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tbl>
      <w:tblPr>
        <w:tblLayout w:type="fixed"/>
        <w:tblInd w:w="1" w:type="dxa"/>
        <w:tblCellMar>
          <w:top w:w="0" w:type="dxa"/>
          <w:left w:w="0" w:type="dxa"/>
          <w:bottom w:w="0" w:type="dxa"/>
          <w:right w:w="0" w:type="dxa"/>
        </w:tblCellMar>
      </w:tblPr>
      <w:tr>
        <w:trPr>
          <w:trHeight w:val="204"/>
        </w:trPr>
        <w:tc>
          <w:tcPr>
            <w:tcW w:w="2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6"/>
              </w:rPr>
              <w:t>Annual Compensation(1)</w:t>
            </w:r>
          </w:p>
        </w:tc>
        <w:tc>
          <w:tcPr>
            <w:tcW w:w="300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Long-Term Compensation</w:t>
            </w:r>
          </w:p>
        </w:tc>
        <w:tc>
          <w:tcPr>
            <w:tcW w:w="110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w:t>
            </w:r>
          </w:p>
        </w:tc>
        <w:tc>
          <w:tcPr>
            <w:tcW w:w="30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Awards</w:t>
            </w:r>
          </w:p>
        </w:tc>
        <w:tc>
          <w:tcPr>
            <w:tcW w:w="17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Payouts</w:t>
            </w:r>
          </w:p>
        </w:tc>
        <w:tc>
          <w:tcPr>
            <w:tcW w:w="110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w:t>
            </w:r>
          </w:p>
        </w:tc>
        <w:tc>
          <w:tcPr>
            <w:tcW w:w="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7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Principal</w:t>
            </w:r>
          </w:p>
        </w:tc>
        <w:tc>
          <w:tcPr>
            <w:tcW w:w="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Securities</w:t>
            </w:r>
          </w:p>
        </w:tc>
        <w:tc>
          <w:tcPr>
            <w:tcW w:w="17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All Other</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Position at</w:t>
            </w:r>
          </w:p>
        </w:tc>
        <w:tc>
          <w:tcPr>
            <w:tcW w:w="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Underlying</w:t>
            </w:r>
          </w:p>
        </w:tc>
        <w:tc>
          <w:tcPr>
            <w:tcW w:w="17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LTIP</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Compensa-</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End of Fiscal 1993</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Year</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Salary</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Bonus</w:t>
            </w: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Options(2)</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Payouts</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tion (3)</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Mark M. Weinstein</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1993</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$ 493,039</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$ 450,000</w:t>
            </w:r>
          </w:p>
        </w:tc>
        <w:tc>
          <w:tcPr>
            <w:tcW w:w="13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30,000</w:t>
            </w:r>
          </w:p>
        </w:tc>
        <w:tc>
          <w:tcPr>
            <w:tcW w:w="170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$23,538</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Senior Vice President,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1992</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368,538</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225,000</w:t>
            </w: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30,000</w:t>
            </w:r>
          </w:p>
        </w:tc>
        <w:tc>
          <w:tcPr>
            <w:tcW w:w="1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$2,014,335(5)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15,118</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Government Affairs of</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1991</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337,038</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300,000</w:t>
            </w: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27,000</w:t>
            </w:r>
          </w:p>
        </w:tc>
        <w:tc>
          <w:tcPr>
            <w:tcW w:w="170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Viacom Inc. and the</w:t>
            </w:r>
          </w:p>
        </w:tc>
        <w:tc>
          <w:tcPr>
            <w:tcW w:w="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w:t>
            </w:r>
          </w:p>
        </w:tc>
        <w:tc>
          <w:tcPr>
            <w:tcW w:w="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
        <w:spacing w:after="0"/>
        <w:rPr>
          <w:sz w:val="20"/>
          <w:szCs w:val="20"/>
          <w:color w:val="auto"/>
        </w:rPr>
      </w:pPr>
      <w:r>
        <w:rPr>
          <w:rFonts w:ascii="Courier New" w:cs="Courier New" w:eastAsia="Courier New" w:hAnsi="Courier New"/>
          <w:sz w:val="18"/>
          <w:szCs w:val="18"/>
          <w:color w:val="auto"/>
        </w:rPr>
        <w:t>NOTES:</w:t>
      </w:r>
    </w:p>
    <w:p>
      <w:pPr>
        <w:spacing w:after="0" w:line="207" w:lineRule="exact"/>
        <w:rPr>
          <w:sz w:val="20"/>
          <w:szCs w:val="20"/>
          <w:color w:val="auto"/>
        </w:rPr>
      </w:pPr>
    </w:p>
    <w:p>
      <w:pPr>
        <w:ind w:left="521" w:right="100" w:hanging="521"/>
        <w:spacing w:after="0" w:line="237" w:lineRule="auto"/>
        <w:tabs>
          <w:tab w:leader="none" w:pos="521"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1993, salary and bonus include compensation deferred under the Company's 401(k) and excess 401(k) plans for Mr. Biondi in the amount of $253,285, for Mr. Braun in the amount of $150,000, for Mr. Goddard in the amount of $53,000 and for Mr. Weinstein in the amount of $47,077.</w:t>
      </w:r>
    </w:p>
    <w:p>
      <w:pPr>
        <w:spacing w:after="0" w:line="207" w:lineRule="exact"/>
        <w:rPr>
          <w:rFonts w:ascii="Courier New" w:cs="Courier New" w:eastAsia="Courier New" w:hAnsi="Courier New"/>
          <w:sz w:val="18"/>
          <w:szCs w:val="18"/>
          <w:color w:val="auto"/>
        </w:rPr>
      </w:pPr>
    </w:p>
    <w:p>
      <w:pPr>
        <w:ind w:left="521" w:hanging="521"/>
        <w:spacing w:after="0" w:line="237" w:lineRule="auto"/>
        <w:tabs>
          <w:tab w:leader="none" w:pos="521"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conditions relating to certain options granted in 1989 were met as follows: for Mr. Biondi for 834 options in 1993, 373 options in 1992 and 1,189 options in 1991; for Mr. Braun for 334 options in 1993, 149 options in 1992 and 475 options in 1991; for Mr. Goddard for 667 options in 1993, 299 options in 1992 and 951 options in 1991; and for Mr. Weinstein for 334 options in 1993, 149 options in 1992 and 475 options in 1991. These options are more fully described above in the "Compensation Committee Report on Executive Compensation".</w:t>
      </w:r>
    </w:p>
    <w:p>
      <w:pPr>
        <w:spacing w:after="0" w:line="211" w:lineRule="exact"/>
        <w:rPr>
          <w:rFonts w:ascii="Courier New" w:cs="Courier New" w:eastAsia="Courier New" w:hAnsi="Courier New"/>
          <w:sz w:val="18"/>
          <w:szCs w:val="18"/>
          <w:color w:val="auto"/>
        </w:rPr>
      </w:pPr>
    </w:p>
    <w:p>
      <w:pPr>
        <w:ind w:left="521" w:right="300" w:hanging="521"/>
        <w:spacing w:after="0" w:line="271" w:lineRule="auto"/>
        <w:tabs>
          <w:tab w:leader="none" w:pos="52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following: the Company's matching contributions under its 401(k) plan for Mr. Biondi of $4,497 for 1993 and $3,491 for 1992; for Mr. Braun of $1,375 for 1993 and $1,374 for 1992; and for each of Messrs. Goddard and Weinstein of $4,497 for 1993 and $4,364 for 1992; and credits for the Company's matching contributions under its excess 401(k) plan for Mr. Biondi of $60,682 for 1993 and $42,541 for 1992; for Mr. Braun of $23,413 for 1993 and $14,901 for 1992; for Mr. Goddard of $22,003 for 1993 and $27,998 for 1992; and for Mr. Weinstein of $19,041 for 1993 and $10,754 for 1992. Disclosure regarding these items is not required for calendar year 1991.</w:t>
      </w:r>
    </w:p>
    <w:p>
      <w:pPr>
        <w:spacing w:after="0" w:line="185" w:lineRule="exact"/>
        <w:rPr>
          <w:rFonts w:ascii="Courier New" w:cs="Courier New" w:eastAsia="Courier New" w:hAnsi="Courier New"/>
          <w:sz w:val="16"/>
          <w:szCs w:val="16"/>
          <w:color w:val="auto"/>
        </w:rPr>
      </w:pPr>
    </w:p>
    <w:p>
      <w:pPr>
        <w:ind w:left="521" w:right="100" w:hanging="521"/>
        <w:spacing w:after="0" w:line="273" w:lineRule="auto"/>
        <w:tabs>
          <w:tab w:leader="none" w:pos="52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$3,421,200 paid in cash for Mr. Biondi's LTIP phantom shares with a December 1992 valuation date; and 177,897 shares of Class B Common Stock valued on December 17, 1992 and $3,370,053 which was withheld as taxes for his LTIP phantom shares for which the valuation and payment was accelerated. Mr. Biondi's LTIP payout is more fully described above in the "Compensation Committee Report on Executive Compensation".</w:t>
      </w:r>
    </w:p>
    <w:p>
      <w:pPr>
        <w:spacing w:after="0" w:line="184" w:lineRule="exact"/>
        <w:rPr>
          <w:rFonts w:ascii="Courier New" w:cs="Courier New" w:eastAsia="Courier New" w:hAnsi="Courier New"/>
          <w:sz w:val="16"/>
          <w:szCs w:val="16"/>
          <w:color w:val="auto"/>
        </w:rPr>
      </w:pPr>
    </w:p>
    <w:p>
      <w:pPr>
        <w:ind w:left="521" w:right="100" w:hanging="521"/>
        <w:spacing w:after="0" w:line="268" w:lineRule="auto"/>
        <w:tabs>
          <w:tab w:leader="none" w:pos="52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substantially all amounts payable with respect to the LTIP phantom shares granted to the named executives. Includes payment for the LTIP phantom shares with a December 1992 valuation date, as well as the accelerated payment of the LTIP phantom shares with future valuation dates. The amount payable for their LTIP phantom shares was the $31.23 per share payment limit (except for certain minor grants made after 1987).</w:t>
      </w:r>
    </w:p>
    <w:p>
      <w:pPr>
        <w:ind w:left="521" w:right="200"/>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LTIP payouts are more fully described above in the "Compensation Committee Report on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161"/>
        <w:spacing w:after="0"/>
        <w:rPr>
          <w:sz w:val="20"/>
          <w:szCs w:val="20"/>
          <w:color w:val="auto"/>
        </w:rPr>
      </w:pPr>
      <w:r>
        <w:rPr>
          <w:rFonts w:ascii="Courier New" w:cs="Courier New" w:eastAsia="Courier New" w:hAnsi="Courier New"/>
          <w:sz w:val="18"/>
          <w:szCs w:val="18"/>
          <w:color w:val="auto"/>
        </w:rPr>
        <w:t>III-12</w:t>
      </w:r>
    </w:p>
    <w:p>
      <w:pPr>
        <w:sectPr>
          <w:pgSz w:w="11900" w:h="16838" w:orient="portrait"/>
          <w:cols w:equalWidth="0" w:num="1">
            <w:col w:w="10001"/>
          </w:cols>
          <w:pgMar w:left="459" w:top="1325" w:right="1439" w:bottom="1440" w:gutter="0" w:footer="0" w:header="0"/>
        </w:sectPr>
      </w:pPr>
    </w:p>
    <w:bookmarkStart w:id="137" w:name="page138"/>
    <w:bookmarkEnd w:id="137"/>
    <w:p>
      <w:pPr>
        <w:spacing w:after="0" w:line="290"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Option Grants in Fiscal 1993</w:t>
      </w:r>
    </w:p>
    <w:p>
      <w:pPr>
        <w:ind w:left="4001"/>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 w:right="420" w:firstLine="527"/>
        <w:spacing w:after="0" w:line="237" w:lineRule="auto"/>
        <w:rPr>
          <w:sz w:val="20"/>
          <w:szCs w:val="20"/>
          <w:color w:val="auto"/>
        </w:rPr>
      </w:pPr>
      <w:r>
        <w:rPr>
          <w:rFonts w:ascii="Courier New" w:cs="Courier New" w:eastAsia="Courier New" w:hAnsi="Courier New"/>
          <w:sz w:val="18"/>
          <w:szCs w:val="18"/>
          <w:color w:val="auto"/>
        </w:rPr>
        <w:t>The following Option Grant Table includes columns designated "Potential Realizable Gain". The calculations in those columns are based on hypothetical 5% and 10% growth assumptions proposed by the Securities and Exchange Commission. There is no way to anticipate what the actual growth rate of the Class B Common Stock will be.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 w:type="dxa"/>
        <w:tblCellMar>
          <w:top w:w="0" w:type="dxa"/>
          <w:left w:w="0" w:type="dxa"/>
          <w:bottom w:w="0" w:type="dxa"/>
          <w:right w:w="0" w:type="dxa"/>
        </w:tblCellMar>
      </w:tblPr>
      <w:tr>
        <w:trPr>
          <w:trHeight w:val="204"/>
        </w:trPr>
        <w:tc>
          <w:tcPr>
            <w:tcW w:w="2100" w:type="dxa"/>
            <w:vAlign w:val="bottom"/>
          </w:tcPr>
          <w:p>
            <w:pPr>
              <w:spacing w:after="0"/>
              <w:rPr>
                <w:sz w:val="17"/>
                <w:szCs w:val="17"/>
                <w:color w:val="auto"/>
              </w:rPr>
            </w:pPr>
          </w:p>
        </w:tc>
        <w:tc>
          <w:tcPr>
            <w:tcW w:w="27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Individual Grants</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100" w:type="dxa"/>
            <w:vAlign w:val="bottom"/>
          </w:tcPr>
          <w:p>
            <w:pPr>
              <w:spacing w:after="0"/>
              <w:rPr>
                <w:sz w:val="17"/>
                <w:szCs w:val="17"/>
                <w:color w:val="auto"/>
              </w:rPr>
            </w:pPr>
          </w:p>
        </w:tc>
        <w:tc>
          <w:tcPr>
            <w:tcW w:w="27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Potential Realizable Gain at</w:t>
            </w:r>
          </w:p>
        </w:tc>
      </w:tr>
      <w:tr>
        <w:trPr>
          <w:trHeight w:val="203"/>
        </w:trPr>
        <w:tc>
          <w:tcPr>
            <w:tcW w:w="2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 of Total</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Assumed Annual</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Rates of</w:t>
            </w:r>
          </w:p>
        </w:tc>
      </w:tr>
      <w:tr>
        <w:trPr>
          <w:trHeight w:val="203"/>
        </w:trPr>
        <w:tc>
          <w:tcPr>
            <w:tcW w:w="2100" w:type="dxa"/>
            <w:vAlign w:val="bottom"/>
          </w:tcPr>
          <w:p>
            <w:pPr>
              <w:spacing w:after="0"/>
              <w:rPr>
                <w:sz w:val="17"/>
                <w:szCs w:val="17"/>
                <w:color w:val="auto"/>
              </w:rPr>
            </w:pPr>
          </w:p>
        </w:tc>
        <w:tc>
          <w:tcPr>
            <w:tcW w:w="1580" w:type="dxa"/>
            <w:vAlign w:val="bottom"/>
          </w:tcPr>
          <w:p>
            <w:pPr>
              <w:jc w:val="center"/>
              <w:ind w:right="114"/>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Options</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Stock Price Appreciation for</w:t>
            </w:r>
          </w:p>
        </w:tc>
      </w:tr>
      <w:tr>
        <w:trPr>
          <w:trHeight w:val="203"/>
        </w:trPr>
        <w:tc>
          <w:tcPr>
            <w:tcW w:w="2100" w:type="dxa"/>
            <w:vAlign w:val="bottom"/>
          </w:tcPr>
          <w:p>
            <w:pPr>
              <w:spacing w:after="0"/>
              <w:rPr>
                <w:sz w:val="17"/>
                <w:szCs w:val="17"/>
                <w:color w:val="auto"/>
              </w:rPr>
            </w:pPr>
          </w:p>
        </w:tc>
        <w:tc>
          <w:tcPr>
            <w:tcW w:w="1580" w:type="dxa"/>
            <w:vAlign w:val="bottom"/>
          </w:tcPr>
          <w:p>
            <w:pPr>
              <w:jc w:val="center"/>
              <w:ind w:right="114"/>
              <w:spacing w:after="0" w:line="203" w:lineRule="exact"/>
              <w:rPr>
                <w:sz w:val="20"/>
                <w:szCs w:val="20"/>
                <w:color w:val="auto"/>
              </w:rPr>
            </w:pPr>
            <w:r>
              <w:rPr>
                <w:rFonts w:ascii="Courier New" w:cs="Courier New" w:eastAsia="Courier New" w:hAnsi="Courier New"/>
                <w:sz w:val="18"/>
                <w:szCs w:val="18"/>
                <w:color w:val="auto"/>
                <w:w w:val="96"/>
              </w:rPr>
              <w:t>Shares of</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Granted to</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1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Option Term Compounded</w:t>
            </w:r>
          </w:p>
        </w:tc>
      </w:tr>
      <w:tr>
        <w:trPr>
          <w:trHeight w:val="203"/>
        </w:trPr>
        <w:tc>
          <w:tcPr>
            <w:tcW w:w="2100" w:type="dxa"/>
            <w:vAlign w:val="bottom"/>
          </w:tcPr>
          <w:p>
            <w:pPr>
              <w:spacing w:after="0"/>
              <w:rPr>
                <w:sz w:val="17"/>
                <w:szCs w:val="17"/>
                <w:color w:val="auto"/>
              </w:rPr>
            </w:pPr>
          </w:p>
        </w:tc>
        <w:tc>
          <w:tcPr>
            <w:tcW w:w="1580" w:type="dxa"/>
            <w:vAlign w:val="bottom"/>
          </w:tcPr>
          <w:p>
            <w:pPr>
              <w:jc w:val="center"/>
              <w:ind w:right="114"/>
              <w:spacing w:after="0" w:line="203" w:lineRule="exact"/>
              <w:rPr>
                <w:sz w:val="20"/>
                <w:szCs w:val="20"/>
                <w:color w:val="auto"/>
              </w:rPr>
            </w:pPr>
            <w:r>
              <w:rPr>
                <w:rFonts w:ascii="Courier New" w:cs="Courier New" w:eastAsia="Courier New" w:hAnsi="Courier New"/>
                <w:sz w:val="18"/>
                <w:szCs w:val="18"/>
                <w:color w:val="auto"/>
                <w:w w:val="97"/>
              </w:rPr>
              <w:t>Class B</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Employees</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16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rPr>
              <w:t>Annually(1)</w:t>
            </w:r>
          </w:p>
        </w:tc>
      </w:tr>
      <w:tr>
        <w:trPr>
          <w:trHeight w:val="203"/>
        </w:trPr>
        <w:tc>
          <w:tcPr>
            <w:tcW w:w="2100" w:type="dxa"/>
            <w:vAlign w:val="bottom"/>
          </w:tcPr>
          <w:p>
            <w:pPr>
              <w:spacing w:after="0"/>
              <w:rPr>
                <w:sz w:val="17"/>
                <w:szCs w:val="17"/>
                <w:color w:val="auto"/>
              </w:rPr>
            </w:pPr>
          </w:p>
        </w:tc>
        <w:tc>
          <w:tcPr>
            <w:tcW w:w="1580" w:type="dxa"/>
            <w:vAlign w:val="bottom"/>
          </w:tcPr>
          <w:p>
            <w:pPr>
              <w:jc w:val="right"/>
              <w:ind w:right="114"/>
              <w:spacing w:after="0" w:line="203" w:lineRule="exact"/>
              <w:rPr>
                <w:sz w:val="20"/>
                <w:szCs w:val="20"/>
                <w:color w:val="auto"/>
              </w:rPr>
            </w:pPr>
            <w:r>
              <w:rPr>
                <w:rFonts w:ascii="Courier New" w:cs="Courier New" w:eastAsia="Courier New" w:hAnsi="Courier New"/>
                <w:sz w:val="18"/>
                <w:szCs w:val="18"/>
                <w:color w:val="auto"/>
              </w:rPr>
              <w:t>Common Stock</w:t>
            </w:r>
          </w:p>
        </w:tc>
        <w:tc>
          <w:tcPr>
            <w:tcW w:w="11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in</w:t>
            </w:r>
          </w:p>
        </w:tc>
        <w:tc>
          <w:tcPr>
            <w:tcW w:w="1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Exercise</w:t>
            </w:r>
          </w:p>
        </w:tc>
        <w:tc>
          <w:tcPr>
            <w:tcW w:w="1060" w:type="dxa"/>
            <w:vAlign w:val="bottom"/>
          </w:tcPr>
          <w:p>
            <w:pPr>
              <w:spacing w:after="0"/>
              <w:rPr>
                <w:sz w:val="17"/>
                <w:szCs w:val="17"/>
                <w:color w:val="auto"/>
              </w:rPr>
            </w:pPr>
          </w:p>
        </w:tc>
        <w:tc>
          <w:tcPr>
            <w:tcW w:w="3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100" w:type="dxa"/>
            <w:vAlign w:val="bottom"/>
          </w:tcPr>
          <w:p>
            <w:pPr>
              <w:spacing w:after="0"/>
              <w:rPr>
                <w:sz w:val="17"/>
                <w:szCs w:val="17"/>
                <w:color w:val="auto"/>
              </w:rPr>
            </w:pPr>
          </w:p>
        </w:tc>
        <w:tc>
          <w:tcPr>
            <w:tcW w:w="1580" w:type="dxa"/>
            <w:vAlign w:val="bottom"/>
          </w:tcPr>
          <w:p>
            <w:pPr>
              <w:jc w:val="right"/>
              <w:ind w:right="234"/>
              <w:spacing w:after="0" w:line="203" w:lineRule="exact"/>
              <w:rPr>
                <w:sz w:val="20"/>
                <w:szCs w:val="20"/>
                <w:color w:val="auto"/>
              </w:rPr>
            </w:pPr>
            <w:r>
              <w:rPr>
                <w:rFonts w:ascii="Courier New" w:cs="Courier New" w:eastAsia="Courier New" w:hAnsi="Courier New"/>
                <w:sz w:val="18"/>
                <w:szCs w:val="18"/>
                <w:color w:val="auto"/>
              </w:rPr>
              <w:t>Underlying</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Fiscal</w:t>
            </w:r>
          </w:p>
        </w:tc>
        <w:tc>
          <w:tcPr>
            <w:tcW w:w="1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Price</w:t>
            </w:r>
          </w:p>
        </w:tc>
        <w:tc>
          <w:tcPr>
            <w:tcW w:w="2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Expiration</w:t>
            </w:r>
          </w:p>
        </w:tc>
        <w:tc>
          <w:tcPr>
            <w:tcW w:w="1480" w:type="dxa"/>
            <w:vAlign w:val="bottom"/>
          </w:tcPr>
          <w:p>
            <w:pPr>
              <w:spacing w:after="0"/>
              <w:rPr>
                <w:sz w:val="17"/>
                <w:szCs w:val="17"/>
                <w:color w:val="auto"/>
              </w:rPr>
            </w:pPr>
          </w:p>
        </w:tc>
      </w:tr>
      <w:tr>
        <w:trPr>
          <w:trHeight w:val="203"/>
        </w:trPr>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580" w:type="dxa"/>
            <w:vAlign w:val="bottom"/>
          </w:tcPr>
          <w:p>
            <w:pPr>
              <w:jc w:val="center"/>
              <w:ind w:right="114"/>
              <w:spacing w:after="0" w:line="203" w:lineRule="exact"/>
              <w:rPr>
                <w:sz w:val="20"/>
                <w:szCs w:val="20"/>
                <w:color w:val="auto"/>
              </w:rPr>
            </w:pPr>
            <w:r>
              <w:rPr>
                <w:rFonts w:ascii="Courier New" w:cs="Courier New" w:eastAsia="Courier New" w:hAnsi="Courier New"/>
                <w:sz w:val="18"/>
                <w:szCs w:val="18"/>
                <w:color w:val="auto"/>
                <w:w w:val="97"/>
              </w:rPr>
              <w:t>Options</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1993</w:t>
            </w:r>
          </w:p>
        </w:tc>
        <w:tc>
          <w:tcPr>
            <w:tcW w:w="1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($/Share)</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Date</w:t>
            </w:r>
          </w:p>
        </w:tc>
        <w:tc>
          <w:tcPr>
            <w:tcW w:w="1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4"/>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w:t>
            </w:r>
          </w:p>
        </w:tc>
        <w:tc>
          <w:tcPr>
            <w:tcW w:w="1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2100" w:type="dxa"/>
            <w:vAlign w:val="bottom"/>
          </w:tcPr>
          <w:p>
            <w:pPr>
              <w:spacing w:after="0"/>
              <w:rPr>
                <w:sz w:val="20"/>
                <w:szCs w:val="20"/>
                <w:color w:val="auto"/>
              </w:rPr>
            </w:pPr>
            <w:r>
              <w:rPr>
                <w:rFonts w:ascii="Courier New" w:cs="Courier New" w:eastAsia="Courier New" w:hAnsi="Courier New"/>
                <w:sz w:val="18"/>
                <w:szCs w:val="18"/>
                <w:color w:val="auto"/>
                <w:w w:val="96"/>
              </w:rPr>
              <w:t>Frank J. Biondi, Jr.</w:t>
            </w:r>
          </w:p>
        </w:tc>
        <w:tc>
          <w:tcPr>
            <w:tcW w:w="1580" w:type="dxa"/>
            <w:vAlign w:val="bottom"/>
          </w:tcPr>
          <w:p>
            <w:pPr>
              <w:jc w:val="right"/>
              <w:ind w:right="234"/>
              <w:spacing w:after="0"/>
              <w:rPr>
                <w:sz w:val="20"/>
                <w:szCs w:val="20"/>
                <w:color w:val="auto"/>
              </w:rPr>
            </w:pPr>
            <w:r>
              <w:rPr>
                <w:rFonts w:ascii="Courier New" w:cs="Courier New" w:eastAsia="Courier New" w:hAnsi="Courier New"/>
                <w:sz w:val="18"/>
                <w:szCs w:val="18"/>
                <w:color w:val="auto"/>
              </w:rPr>
              <w:t>90,000(2)</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10.74%</w:t>
            </w:r>
          </w:p>
        </w:tc>
        <w:tc>
          <w:tcPr>
            <w:tcW w:w="116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$55 1/4</w:t>
            </w:r>
          </w:p>
        </w:tc>
        <w:tc>
          <w:tcPr>
            <w:tcW w:w="106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7/31/2003</w:t>
            </w: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$3,127,180</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6"/>
              </w:rPr>
              <w:t>$7,924,885</w:t>
            </w:r>
          </w:p>
        </w:tc>
      </w:tr>
      <w:tr>
        <w:trPr>
          <w:trHeight w:val="405"/>
        </w:trPr>
        <w:tc>
          <w:tcPr>
            <w:tcW w:w="2100" w:type="dxa"/>
            <w:vAlign w:val="bottom"/>
          </w:tcPr>
          <w:p>
            <w:pPr>
              <w:spacing w:after="0"/>
              <w:rPr>
                <w:sz w:val="20"/>
                <w:szCs w:val="20"/>
                <w:color w:val="auto"/>
              </w:rPr>
            </w:pPr>
            <w:r>
              <w:rPr>
                <w:rFonts w:ascii="Courier New" w:cs="Courier New" w:eastAsia="Courier New" w:hAnsi="Courier New"/>
                <w:sz w:val="18"/>
                <w:szCs w:val="18"/>
                <w:color w:val="auto"/>
              </w:rPr>
              <w:t>Neil S. Braun</w:t>
            </w:r>
          </w:p>
        </w:tc>
        <w:tc>
          <w:tcPr>
            <w:tcW w:w="1580" w:type="dxa"/>
            <w:vAlign w:val="bottom"/>
          </w:tcPr>
          <w:p>
            <w:pPr>
              <w:jc w:val="right"/>
              <w:ind w:right="234"/>
              <w:spacing w:after="0"/>
              <w:rPr>
                <w:sz w:val="20"/>
                <w:szCs w:val="20"/>
                <w:color w:val="auto"/>
              </w:rPr>
            </w:pPr>
            <w:r>
              <w:rPr>
                <w:rFonts w:ascii="Courier New" w:cs="Courier New" w:eastAsia="Courier New" w:hAnsi="Courier New"/>
                <w:sz w:val="18"/>
                <w:szCs w:val="18"/>
                <w:color w:val="auto"/>
              </w:rPr>
              <w:t>30,000(2)</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3.58%</w:t>
            </w:r>
          </w:p>
        </w:tc>
        <w:tc>
          <w:tcPr>
            <w:tcW w:w="480" w:type="dxa"/>
            <w:vAlign w:val="bottom"/>
          </w:tcPr>
          <w:p>
            <w:pPr>
              <w:ind w:left="220"/>
              <w:spacing w:after="0"/>
              <w:rPr>
                <w:sz w:val="20"/>
                <w:szCs w:val="20"/>
                <w:color w:val="auto"/>
              </w:rPr>
            </w:pPr>
            <w:r>
              <w:rPr>
                <w:rFonts w:ascii="Courier New" w:cs="Courier New" w:eastAsia="Courier New" w:hAnsi="Courier New"/>
                <w:sz w:val="18"/>
                <w:szCs w:val="18"/>
                <w:color w:val="auto"/>
              </w:rPr>
              <w:t>55</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w:t>
            </w:r>
          </w:p>
        </w:tc>
        <w:tc>
          <w:tcPr>
            <w:tcW w:w="106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7/31/2003</w:t>
            </w: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1,042,395</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2,641,630</w:t>
            </w:r>
          </w:p>
        </w:tc>
      </w:tr>
      <w:tr>
        <w:trPr>
          <w:trHeight w:val="405"/>
        </w:trPr>
        <w:tc>
          <w:tcPr>
            <w:tcW w:w="2100" w:type="dxa"/>
            <w:vAlign w:val="bottom"/>
          </w:tcPr>
          <w:p>
            <w:pPr>
              <w:spacing w:after="0"/>
              <w:rPr>
                <w:sz w:val="20"/>
                <w:szCs w:val="20"/>
                <w:color w:val="auto"/>
              </w:rPr>
            </w:pPr>
            <w:r>
              <w:rPr>
                <w:rFonts w:ascii="Courier New" w:cs="Courier New" w:eastAsia="Courier New" w:hAnsi="Courier New"/>
                <w:sz w:val="18"/>
                <w:szCs w:val="18"/>
                <w:color w:val="auto"/>
              </w:rPr>
              <w:t>Philippe P. Dauman</w:t>
            </w:r>
          </w:p>
        </w:tc>
        <w:tc>
          <w:tcPr>
            <w:tcW w:w="1580" w:type="dxa"/>
            <w:vAlign w:val="bottom"/>
          </w:tcPr>
          <w:p>
            <w:pPr>
              <w:jc w:val="right"/>
              <w:ind w:right="234"/>
              <w:spacing w:after="0"/>
              <w:rPr>
                <w:sz w:val="20"/>
                <w:szCs w:val="20"/>
                <w:color w:val="auto"/>
              </w:rPr>
            </w:pPr>
            <w:r>
              <w:rPr>
                <w:rFonts w:ascii="Courier New" w:cs="Courier New" w:eastAsia="Courier New" w:hAnsi="Courier New"/>
                <w:sz w:val="18"/>
                <w:szCs w:val="18"/>
                <w:color w:val="auto"/>
              </w:rPr>
              <w:t>60,000(3)</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7.16%</w:t>
            </w:r>
          </w:p>
        </w:tc>
        <w:tc>
          <w:tcPr>
            <w:tcW w:w="480" w:type="dxa"/>
            <w:vAlign w:val="bottom"/>
          </w:tcPr>
          <w:p>
            <w:pPr>
              <w:ind w:left="220"/>
              <w:spacing w:after="0"/>
              <w:rPr>
                <w:sz w:val="20"/>
                <w:szCs w:val="20"/>
                <w:color w:val="auto"/>
              </w:rPr>
            </w:pPr>
            <w:r>
              <w:rPr>
                <w:rFonts w:ascii="Courier New" w:cs="Courier New" w:eastAsia="Courier New" w:hAnsi="Courier New"/>
                <w:sz w:val="18"/>
                <w:szCs w:val="18"/>
                <w:color w:val="auto"/>
              </w:rPr>
              <w:t>43</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w:t>
            </w:r>
          </w:p>
        </w:tc>
        <w:tc>
          <w:tcPr>
            <w:tcW w:w="106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1/31/2003</w:t>
            </w: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2,084,785</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5,283,255</w:t>
            </w:r>
          </w:p>
        </w:tc>
      </w:tr>
      <w:tr>
        <w:trPr>
          <w:trHeight w:val="203"/>
        </w:trPr>
        <w:tc>
          <w:tcPr>
            <w:tcW w:w="2100" w:type="dxa"/>
            <w:vAlign w:val="bottom"/>
          </w:tcPr>
          <w:p>
            <w:pPr>
              <w:spacing w:after="0"/>
              <w:rPr>
                <w:sz w:val="17"/>
                <w:szCs w:val="17"/>
                <w:color w:val="auto"/>
              </w:rPr>
            </w:pPr>
          </w:p>
        </w:tc>
        <w:tc>
          <w:tcPr>
            <w:tcW w:w="1580" w:type="dxa"/>
            <w:vAlign w:val="bottom"/>
          </w:tcPr>
          <w:p>
            <w:pPr>
              <w:jc w:val="right"/>
              <w:ind w:right="234"/>
              <w:spacing w:after="0" w:line="203" w:lineRule="exact"/>
              <w:rPr>
                <w:sz w:val="20"/>
                <w:szCs w:val="20"/>
                <w:color w:val="auto"/>
              </w:rPr>
            </w:pPr>
            <w:r>
              <w:rPr>
                <w:rFonts w:ascii="Courier New" w:cs="Courier New" w:eastAsia="Courier New" w:hAnsi="Courier New"/>
                <w:sz w:val="18"/>
                <w:szCs w:val="18"/>
                <w:color w:val="auto"/>
              </w:rPr>
              <w:t>60,000(2)</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7.16%</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55</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w:t>
            </w:r>
          </w:p>
        </w:tc>
        <w:tc>
          <w:tcPr>
            <w:tcW w:w="10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7/31/2003</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1,631,980</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4,135,760</w:t>
            </w:r>
          </w:p>
        </w:tc>
      </w:tr>
      <w:tr>
        <w:trPr>
          <w:trHeight w:val="405"/>
        </w:trPr>
        <w:tc>
          <w:tcPr>
            <w:tcW w:w="2100" w:type="dxa"/>
            <w:vAlign w:val="bottom"/>
          </w:tcPr>
          <w:p>
            <w:pPr>
              <w:spacing w:after="0"/>
              <w:rPr>
                <w:sz w:val="20"/>
                <w:szCs w:val="20"/>
                <w:color w:val="auto"/>
              </w:rPr>
            </w:pPr>
            <w:r>
              <w:rPr>
                <w:rFonts w:ascii="Courier New" w:cs="Courier New" w:eastAsia="Courier New" w:hAnsi="Courier New"/>
                <w:sz w:val="18"/>
                <w:szCs w:val="18"/>
                <w:color w:val="auto"/>
              </w:rPr>
              <w:t>John W. Goddard</w:t>
            </w:r>
          </w:p>
        </w:tc>
        <w:tc>
          <w:tcPr>
            <w:tcW w:w="1580" w:type="dxa"/>
            <w:vAlign w:val="bottom"/>
          </w:tcPr>
          <w:p>
            <w:pPr>
              <w:jc w:val="right"/>
              <w:ind w:right="234"/>
              <w:spacing w:after="0"/>
              <w:rPr>
                <w:sz w:val="20"/>
                <w:szCs w:val="20"/>
                <w:color w:val="auto"/>
              </w:rPr>
            </w:pPr>
            <w:r>
              <w:rPr>
                <w:rFonts w:ascii="Courier New" w:cs="Courier New" w:eastAsia="Courier New" w:hAnsi="Courier New"/>
                <w:sz w:val="18"/>
                <w:szCs w:val="18"/>
                <w:color w:val="auto"/>
              </w:rPr>
              <w:t>40,500(2)</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4.83%</w:t>
            </w:r>
          </w:p>
        </w:tc>
        <w:tc>
          <w:tcPr>
            <w:tcW w:w="480" w:type="dxa"/>
            <w:vAlign w:val="bottom"/>
          </w:tcPr>
          <w:p>
            <w:pPr>
              <w:ind w:left="220"/>
              <w:spacing w:after="0"/>
              <w:rPr>
                <w:sz w:val="20"/>
                <w:szCs w:val="20"/>
                <w:color w:val="auto"/>
              </w:rPr>
            </w:pPr>
            <w:r>
              <w:rPr>
                <w:rFonts w:ascii="Courier New" w:cs="Courier New" w:eastAsia="Courier New" w:hAnsi="Courier New"/>
                <w:sz w:val="18"/>
                <w:szCs w:val="18"/>
                <w:color w:val="auto"/>
              </w:rPr>
              <w:t>55</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w:t>
            </w:r>
          </w:p>
        </w:tc>
        <w:tc>
          <w:tcPr>
            <w:tcW w:w="106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7/31/2003</w:t>
            </w: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1,407,230</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3,566,200</w:t>
            </w:r>
          </w:p>
        </w:tc>
      </w:tr>
      <w:tr>
        <w:trPr>
          <w:trHeight w:val="405"/>
        </w:trPr>
        <w:tc>
          <w:tcPr>
            <w:tcW w:w="2100" w:type="dxa"/>
            <w:vAlign w:val="bottom"/>
          </w:tcPr>
          <w:p>
            <w:pPr>
              <w:spacing w:after="0"/>
              <w:rPr>
                <w:sz w:val="20"/>
                <w:szCs w:val="20"/>
                <w:color w:val="auto"/>
              </w:rPr>
            </w:pPr>
            <w:r>
              <w:rPr>
                <w:rFonts w:ascii="Courier New" w:cs="Courier New" w:eastAsia="Courier New" w:hAnsi="Courier New"/>
                <w:sz w:val="18"/>
                <w:szCs w:val="18"/>
                <w:color w:val="auto"/>
              </w:rPr>
              <w:t>Mark M. Weinstein</w:t>
            </w:r>
          </w:p>
        </w:tc>
        <w:tc>
          <w:tcPr>
            <w:tcW w:w="1580" w:type="dxa"/>
            <w:vAlign w:val="bottom"/>
          </w:tcPr>
          <w:p>
            <w:pPr>
              <w:jc w:val="right"/>
              <w:ind w:right="234"/>
              <w:spacing w:after="0"/>
              <w:rPr>
                <w:sz w:val="20"/>
                <w:szCs w:val="20"/>
                <w:color w:val="auto"/>
              </w:rPr>
            </w:pPr>
            <w:r>
              <w:rPr>
                <w:rFonts w:ascii="Courier New" w:cs="Courier New" w:eastAsia="Courier New" w:hAnsi="Courier New"/>
                <w:sz w:val="18"/>
                <w:szCs w:val="18"/>
                <w:color w:val="auto"/>
              </w:rPr>
              <w:t>30,000(2)</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3.58%</w:t>
            </w:r>
          </w:p>
        </w:tc>
        <w:tc>
          <w:tcPr>
            <w:tcW w:w="480" w:type="dxa"/>
            <w:vAlign w:val="bottom"/>
          </w:tcPr>
          <w:p>
            <w:pPr>
              <w:ind w:left="220"/>
              <w:spacing w:after="0"/>
              <w:rPr>
                <w:sz w:val="20"/>
                <w:szCs w:val="20"/>
                <w:color w:val="auto"/>
              </w:rPr>
            </w:pPr>
            <w:r>
              <w:rPr>
                <w:rFonts w:ascii="Courier New" w:cs="Courier New" w:eastAsia="Courier New" w:hAnsi="Courier New"/>
                <w:sz w:val="18"/>
                <w:szCs w:val="18"/>
                <w:color w:val="auto"/>
              </w:rPr>
              <w:t>55</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w:t>
            </w:r>
          </w:p>
        </w:tc>
        <w:tc>
          <w:tcPr>
            <w:tcW w:w="106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7/31/2003</w:t>
            </w: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1,042,395</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2,641,628</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
        <w:spacing w:after="0"/>
        <w:rPr>
          <w:sz w:val="20"/>
          <w:szCs w:val="20"/>
          <w:color w:val="auto"/>
        </w:rPr>
      </w:pPr>
      <w:r>
        <w:rPr>
          <w:rFonts w:ascii="Courier New" w:cs="Courier New" w:eastAsia="Courier New" w:hAnsi="Courier New"/>
          <w:sz w:val="18"/>
          <w:szCs w:val="18"/>
          <w:color w:val="auto"/>
        </w:rPr>
        <w:t>NOTES:</w:t>
      </w:r>
    </w:p>
    <w:p>
      <w:pPr>
        <w:spacing w:after="0" w:line="207" w:lineRule="exact"/>
        <w:rPr>
          <w:sz w:val="20"/>
          <w:szCs w:val="20"/>
          <w:color w:val="auto"/>
        </w:rPr>
      </w:pPr>
    </w:p>
    <w:p>
      <w:pPr>
        <w:ind w:left="521" w:hanging="521"/>
        <w:spacing w:after="0" w:line="237" w:lineRule="auto"/>
        <w:tabs>
          <w:tab w:leader="none" w:pos="521"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potential gain for all five named executives over the ten year term of the options listed in the table would be 37/100 of one percent of the total gain in the Class B Common Stock value. If the Class B Common Stock value were to appreciate 5% over the ten year term of the options, the value of all shares of Class B Common Stock owned by Viacom Inc.'s shareholders would grow from $3.7 billion to $6.1 billion, a gain of $2.4 billion. If it were to appreciate 10%, the value of all outstanding shares of Class B Common Stock would grow from $3.7 billion to $9.7 billion, a gain of $6 billion.</w:t>
      </w:r>
    </w:p>
    <w:p>
      <w:pPr>
        <w:spacing w:after="0" w:line="211" w:lineRule="exact"/>
        <w:rPr>
          <w:rFonts w:ascii="Courier New" w:cs="Courier New" w:eastAsia="Courier New" w:hAnsi="Courier New"/>
          <w:sz w:val="18"/>
          <w:szCs w:val="18"/>
          <w:color w:val="auto"/>
        </w:rPr>
      </w:pPr>
    </w:p>
    <w:p>
      <w:pPr>
        <w:ind w:left="521" w:right="100" w:hanging="521"/>
        <w:spacing w:after="0" w:line="273" w:lineRule="auto"/>
        <w:tabs>
          <w:tab w:leader="none" w:pos="52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options, which were granted as of August 1, 1993, will vest in one-third increments on August 1, 1995, August 1, 1996 and August 1, 1997. In addition, conditions relating to certain options granted in 1989 were met in 1993 as follows: for Mr. Biondi for 834 options; for Mr. Braun for 334 options; for Mr. Goddard for 667 options; and for Mr. Weinstein for 334 options. These options are more fully described above in the "Compensation Committee Report on Executive Compensation".</w:t>
      </w:r>
    </w:p>
    <w:p>
      <w:pPr>
        <w:spacing w:after="0" w:line="184" w:lineRule="exact"/>
        <w:rPr>
          <w:rFonts w:ascii="Courier New" w:cs="Courier New" w:eastAsia="Courier New" w:hAnsi="Courier New"/>
          <w:sz w:val="16"/>
          <w:szCs w:val="16"/>
          <w:color w:val="auto"/>
        </w:rPr>
      </w:pPr>
    </w:p>
    <w:p>
      <w:pPr>
        <w:ind w:left="521" w:right="220" w:hanging="521"/>
        <w:spacing w:after="0" w:line="237" w:lineRule="auto"/>
        <w:tabs>
          <w:tab w:leader="none" w:pos="521"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options, which were granted to Mr. Dauman as of February 1, 1993 when he joined Viacom Inc., will vest in one-third increments on August 1, 1994, August 1, 1995 and August 1, 1996. These options are more fully described above in the "Compensation Committee Report on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61"/>
        <w:spacing w:after="0"/>
        <w:rPr>
          <w:sz w:val="20"/>
          <w:szCs w:val="20"/>
          <w:color w:val="auto"/>
        </w:rPr>
      </w:pPr>
      <w:r>
        <w:rPr>
          <w:rFonts w:ascii="Courier New" w:cs="Courier New" w:eastAsia="Courier New" w:hAnsi="Courier New"/>
          <w:sz w:val="18"/>
          <w:szCs w:val="18"/>
          <w:color w:val="auto"/>
        </w:rPr>
        <w:t>III-13</w:t>
      </w:r>
    </w:p>
    <w:p>
      <w:pPr>
        <w:sectPr>
          <w:pgSz w:w="11900" w:h="16838" w:orient="portrait"/>
          <w:cols w:equalWidth="0" w:num="1">
            <w:col w:w="11061"/>
          </w:cols>
          <w:pgMar w:left="459" w:top="1440" w:right="379" w:bottom="1440" w:gutter="0" w:footer="0" w:header="0"/>
        </w:sectPr>
      </w:pPr>
    </w:p>
    <w:bookmarkStart w:id="138" w:name="page139"/>
    <w:bookmarkEnd w:id="1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161"/>
        <w:spacing w:after="0"/>
        <w:rPr>
          <w:sz w:val="20"/>
          <w:szCs w:val="20"/>
          <w:color w:val="auto"/>
        </w:rPr>
      </w:pPr>
      <w:r>
        <w:rPr>
          <w:rFonts w:ascii="Courier New" w:cs="Courier New" w:eastAsia="Courier New" w:hAnsi="Courier New"/>
          <w:sz w:val="18"/>
          <w:szCs w:val="18"/>
          <w:color w:val="auto"/>
        </w:rPr>
        <w:t>Aggregated Option Exercises in Fiscal 1993</w:t>
      </w:r>
    </w:p>
    <w:p>
      <w:pPr>
        <w:ind w:left="3161"/>
        <w:spacing w:after="0" w:line="238" w:lineRule="auto"/>
        <w:rPr>
          <w:sz w:val="20"/>
          <w:szCs w:val="20"/>
          <w:color w:val="auto"/>
        </w:rPr>
      </w:pPr>
      <w:r>
        <w:rPr>
          <w:rFonts w:ascii="Courier New" w:cs="Courier New" w:eastAsia="Courier New" w:hAnsi="Courier New"/>
          <w:sz w:val="18"/>
          <w:szCs w:val="18"/>
          <w:color w:val="auto"/>
        </w:rPr>
        <w:t>and Value of Options at End of Fiscal 1993</w:t>
      </w:r>
    </w:p>
    <w:p>
      <w:pPr>
        <w:ind w:left="3161"/>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 w:type="dxa"/>
        <w:tblCellMar>
          <w:top w:w="0" w:type="dxa"/>
          <w:left w:w="0" w:type="dxa"/>
          <w:bottom w:w="0" w:type="dxa"/>
          <w:right w:w="0" w:type="dxa"/>
        </w:tblCellMar>
      </w:tblPr>
      <w:tr>
        <w:trPr>
          <w:trHeight w:val="204"/>
        </w:trPr>
        <w:tc>
          <w:tcPr>
            <w:tcW w:w="2220" w:type="dxa"/>
            <w:vAlign w:val="bottom"/>
          </w:tcPr>
          <w:p>
            <w:pPr>
              <w:spacing w:after="0"/>
              <w:rPr>
                <w:sz w:val="17"/>
                <w:szCs w:val="17"/>
                <w:color w:val="auto"/>
              </w:rPr>
            </w:pPr>
          </w:p>
        </w:tc>
        <w:tc>
          <w:tcPr>
            <w:tcW w:w="1040" w:type="dxa"/>
            <w:vAlign w:val="bottom"/>
          </w:tcPr>
          <w:p>
            <w:pPr>
              <w:ind w:left="200"/>
              <w:spacing w:after="0"/>
              <w:rPr>
                <w:sz w:val="20"/>
                <w:szCs w:val="20"/>
                <w:color w:val="auto"/>
              </w:rPr>
            </w:pPr>
            <w:r>
              <w:rPr>
                <w:rFonts w:ascii="Courier New" w:cs="Courier New" w:eastAsia="Courier New" w:hAnsi="Courier New"/>
                <w:sz w:val="18"/>
                <w:szCs w:val="18"/>
                <w:color w:val="auto"/>
              </w:rPr>
              <w:t>Shares</w:t>
            </w:r>
          </w:p>
        </w:tc>
        <w:tc>
          <w:tcPr>
            <w:tcW w:w="1060" w:type="dxa"/>
            <w:vAlign w:val="bottom"/>
          </w:tcPr>
          <w:p>
            <w:pPr>
              <w:spacing w:after="0"/>
              <w:rPr>
                <w:sz w:val="17"/>
                <w:szCs w:val="17"/>
                <w:color w:val="auto"/>
              </w:rPr>
            </w:pPr>
          </w:p>
        </w:tc>
        <w:tc>
          <w:tcPr>
            <w:tcW w:w="32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Number of Securities(1)</w:t>
            </w:r>
          </w:p>
        </w:tc>
        <w:tc>
          <w:tcPr>
            <w:tcW w:w="30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Value of Unexercised</w:t>
            </w:r>
          </w:p>
        </w:tc>
      </w:tr>
      <w:tr>
        <w:trPr>
          <w:trHeight w:val="203"/>
        </w:trPr>
        <w:tc>
          <w:tcPr>
            <w:tcW w:w="2220" w:type="dxa"/>
            <w:vAlign w:val="bottom"/>
          </w:tcPr>
          <w:p>
            <w:pPr>
              <w:spacing w:after="0"/>
              <w:rPr>
                <w:sz w:val="17"/>
                <w:szCs w:val="17"/>
                <w:color w:val="auto"/>
              </w:rPr>
            </w:pP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Acquired</w:t>
            </w:r>
          </w:p>
        </w:tc>
        <w:tc>
          <w:tcPr>
            <w:tcW w:w="1060" w:type="dxa"/>
            <w:vAlign w:val="bottom"/>
          </w:tcPr>
          <w:p>
            <w:pPr>
              <w:spacing w:after="0"/>
              <w:rPr>
                <w:sz w:val="17"/>
                <w:szCs w:val="17"/>
                <w:color w:val="auto"/>
              </w:rPr>
            </w:pPr>
          </w:p>
        </w:tc>
        <w:tc>
          <w:tcPr>
            <w:tcW w:w="32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Underlying Unexercised</w:t>
            </w:r>
          </w:p>
        </w:tc>
        <w:tc>
          <w:tcPr>
            <w:tcW w:w="30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In-the-Money Options</w:t>
            </w:r>
          </w:p>
        </w:tc>
      </w:tr>
      <w:tr>
        <w:trPr>
          <w:trHeight w:val="203"/>
        </w:trPr>
        <w:tc>
          <w:tcPr>
            <w:tcW w:w="2220" w:type="dxa"/>
            <w:vAlign w:val="bottom"/>
          </w:tcPr>
          <w:p>
            <w:pPr>
              <w:spacing w:after="0"/>
              <w:rPr>
                <w:sz w:val="17"/>
                <w:szCs w:val="17"/>
                <w:color w:val="auto"/>
              </w:rPr>
            </w:pP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on</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Value</w:t>
            </w:r>
          </w:p>
        </w:tc>
        <w:tc>
          <w:tcPr>
            <w:tcW w:w="32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8"/>
              </w:rPr>
              <w:t>Options at End of Fiscal 1993</w:t>
            </w:r>
          </w:p>
        </w:tc>
        <w:tc>
          <w:tcPr>
            <w:tcW w:w="30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at End of Fiscal 1993</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Exercise</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Realized</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Exercisable</w:t>
            </w: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Nonexercisable</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Exercisable</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Nonexercisable</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Frank J. Biondi, Jr.</w:t>
            </w:r>
          </w:p>
        </w:tc>
        <w:tc>
          <w:tcPr>
            <w:tcW w:w="1040" w:type="dxa"/>
            <w:vAlign w:val="bottom"/>
          </w:tcPr>
          <w:p>
            <w:pPr>
              <w:ind w:left="420"/>
              <w:spacing w:after="0"/>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138,000</w:t>
            </w:r>
          </w:p>
        </w:tc>
        <w:tc>
          <w:tcPr>
            <w:tcW w:w="18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270,000</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9"/>
              </w:rPr>
              <w:t>$2,770,500</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$2,823,750</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Neil S. Braun</w:t>
            </w:r>
          </w:p>
        </w:tc>
        <w:tc>
          <w:tcPr>
            <w:tcW w:w="1040" w:type="dxa"/>
            <w:vAlign w:val="bottom"/>
          </w:tcPr>
          <w:p>
            <w:pPr>
              <w:ind w:left="420"/>
              <w:spacing w:after="0"/>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56,000</w:t>
            </w:r>
          </w:p>
        </w:tc>
        <w:tc>
          <w:tcPr>
            <w:tcW w:w="18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96,000</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1,122,500</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1,051,500</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Philippe P. Dauman</w:t>
            </w:r>
          </w:p>
        </w:tc>
        <w:tc>
          <w:tcPr>
            <w:tcW w:w="1040" w:type="dxa"/>
            <w:vAlign w:val="bottom"/>
          </w:tcPr>
          <w:p>
            <w:pPr>
              <w:ind w:left="420"/>
              <w:spacing w:after="0"/>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0</w:t>
            </w:r>
          </w:p>
        </w:tc>
        <w:tc>
          <w:tcPr>
            <w:tcW w:w="18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120,000</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97,500</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John W. Goddard</w:t>
            </w:r>
          </w:p>
        </w:tc>
        <w:tc>
          <w:tcPr>
            <w:tcW w:w="1040" w:type="dxa"/>
            <w:vAlign w:val="bottom"/>
          </w:tcPr>
          <w:p>
            <w:pPr>
              <w:ind w:left="420"/>
              <w:spacing w:after="0"/>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84,000</w:t>
            </w:r>
          </w:p>
        </w:tc>
        <w:tc>
          <w:tcPr>
            <w:tcW w:w="18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135,000</w:t>
            </w: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1,683,750</w:t>
            </w:r>
          </w:p>
        </w:tc>
        <w:tc>
          <w:tcPr>
            <w:tcW w:w="1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1,518,750</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Mark M. Weinstein</w:t>
            </w:r>
          </w:p>
        </w:tc>
        <w:tc>
          <w:tcPr>
            <w:tcW w:w="1040" w:type="dxa"/>
            <w:vAlign w:val="bottom"/>
          </w:tcPr>
          <w:p>
            <w:pPr>
              <w:ind w:left="420"/>
              <w:spacing w:after="0"/>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42,000</w:t>
            </w:r>
          </w:p>
        </w:tc>
        <w:tc>
          <w:tcPr>
            <w:tcW w:w="18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87,000</w:t>
            </w: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841,875</w:t>
            </w:r>
          </w:p>
        </w:tc>
        <w:tc>
          <w:tcPr>
            <w:tcW w:w="1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886,125</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
        <w:spacing w:after="0"/>
        <w:rPr>
          <w:sz w:val="20"/>
          <w:szCs w:val="20"/>
          <w:color w:val="auto"/>
        </w:rPr>
      </w:pPr>
      <w:r>
        <w:rPr>
          <w:rFonts w:ascii="Courier New" w:cs="Courier New" w:eastAsia="Courier New" w:hAnsi="Courier New"/>
          <w:sz w:val="18"/>
          <w:szCs w:val="18"/>
          <w:color w:val="auto"/>
        </w:rPr>
        <w:t>NOTE:</w:t>
      </w:r>
    </w:p>
    <w:p>
      <w:pPr>
        <w:spacing w:after="0" w:line="207" w:lineRule="exact"/>
        <w:rPr>
          <w:sz w:val="20"/>
          <w:szCs w:val="20"/>
          <w:color w:val="auto"/>
        </w:rPr>
      </w:pPr>
    </w:p>
    <w:p>
      <w:pPr>
        <w:ind w:left="521" w:right="220" w:hanging="521"/>
        <w:spacing w:after="0" w:line="237" w:lineRule="auto"/>
        <w:tabs>
          <w:tab w:leader="none" w:pos="521"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listed below are for shares of Class B Common Stock except that exercisable options include for Mr. Biondi 24,000 options each for a share of Class A Common Stock and a share of Class B Common Stock, for Mr. Braun 10,000 of such options, for Mr. Goddard 15,000 of such options and for Mr. Weinstein 7,500 of such options; the aggregate number of exercisable options includes two underlying securities for each of these options.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161"/>
        <w:spacing w:after="0"/>
        <w:rPr>
          <w:sz w:val="20"/>
          <w:szCs w:val="20"/>
          <w:color w:val="auto"/>
        </w:rPr>
      </w:pPr>
      <w:r>
        <w:rPr>
          <w:rFonts w:ascii="Courier New" w:cs="Courier New" w:eastAsia="Courier New" w:hAnsi="Courier New"/>
          <w:sz w:val="18"/>
          <w:szCs w:val="18"/>
          <w:color w:val="auto"/>
        </w:rPr>
        <w:t>III-14</w:t>
      </w:r>
    </w:p>
    <w:p>
      <w:pPr>
        <w:sectPr>
          <w:pgSz w:w="11900" w:h="16838" w:orient="portrait"/>
          <w:cols w:equalWidth="0" w:num="1">
            <w:col w:w="10541"/>
          </w:cols>
          <w:pgMar w:left="459" w:top="1440" w:right="899" w:bottom="1440" w:gutter="0" w:footer="0" w:header="0"/>
        </w:sectPr>
      </w:pPr>
    </w:p>
    <w:bookmarkStart w:id="139" w:name="page140"/>
    <w:bookmarkEnd w:id="139"/>
    <w:p>
      <w:pPr>
        <w:spacing w:after="0" w:line="200" w:lineRule="exact"/>
        <w:rPr>
          <w:sz w:val="20"/>
          <w:szCs w:val="20"/>
          <w:color w:val="auto"/>
        </w:rPr>
      </w:pPr>
    </w:p>
    <w:p>
      <w:pPr>
        <w:spacing w:after="0" w:line="293"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8"/>
          <w:szCs w:val="18"/>
          <w:color w:val="auto"/>
        </w:rPr>
        <w:t>Long-Term Incentive Plans</w:t>
      </w:r>
    </w:p>
    <w:p>
      <w:pPr>
        <w:jc w:val="center"/>
        <w:ind w:right="419"/>
        <w:spacing w:after="0" w:line="238" w:lineRule="auto"/>
        <w:rPr>
          <w:sz w:val="20"/>
          <w:szCs w:val="20"/>
          <w:color w:val="auto"/>
        </w:rPr>
      </w:pPr>
      <w:r>
        <w:rPr>
          <w:rFonts w:ascii="Courier New" w:cs="Courier New" w:eastAsia="Courier New" w:hAnsi="Courier New"/>
          <w:sz w:val="18"/>
          <w:szCs w:val="18"/>
          <w:color w:val="auto"/>
        </w:rPr>
        <w:t>Awards in Fiscal 1993</w:t>
      </w:r>
    </w:p>
    <w:p>
      <w:pPr>
        <w:ind w:left="4221"/>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 w:type="dxa"/>
        <w:tblCellMar>
          <w:top w:w="0" w:type="dxa"/>
          <w:left w:w="0" w:type="dxa"/>
          <w:bottom w:w="0" w:type="dxa"/>
          <w:right w:w="0" w:type="dxa"/>
        </w:tblCellMar>
      </w:tblPr>
      <w:tr>
        <w:trPr>
          <w:trHeight w:val="204"/>
        </w:trPr>
        <w:tc>
          <w:tcPr>
            <w:tcW w:w="23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Estimated Future Payouts</w:t>
            </w:r>
          </w:p>
        </w:tc>
        <w:tc>
          <w:tcPr>
            <w:tcW w:w="1040" w:type="dxa"/>
            <w:vAlign w:val="bottom"/>
          </w:tcPr>
          <w:p>
            <w:pPr>
              <w:spacing w:after="0"/>
              <w:rPr>
                <w:sz w:val="17"/>
                <w:szCs w:val="17"/>
                <w:color w:val="auto"/>
              </w:rPr>
            </w:pPr>
          </w:p>
        </w:tc>
      </w:tr>
      <w:tr>
        <w:trPr>
          <w:trHeight w:val="203"/>
        </w:trPr>
        <w:tc>
          <w:tcPr>
            <w:tcW w:w="23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Performance</w:t>
            </w:r>
          </w:p>
        </w:tc>
        <w:tc>
          <w:tcPr>
            <w:tcW w:w="3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71"/>
              </w:rPr>
              <w:t>-----------------------------------</w:t>
            </w:r>
          </w:p>
        </w:tc>
        <w:tc>
          <w:tcPr>
            <w:tcW w:w="1040" w:type="dxa"/>
            <w:vAlign w:val="bottom"/>
          </w:tcPr>
          <w:p>
            <w:pPr>
              <w:spacing w:after="0"/>
              <w:rPr>
                <w:sz w:val="17"/>
                <w:szCs w:val="17"/>
                <w:color w:val="auto"/>
              </w:rPr>
            </w:pPr>
          </w:p>
        </w:tc>
      </w:tr>
      <w:tr>
        <w:trPr>
          <w:trHeight w:val="203"/>
        </w:trPr>
        <w:tc>
          <w:tcPr>
            <w:tcW w:w="2360" w:type="dxa"/>
            <w:vAlign w:val="bottom"/>
          </w:tcPr>
          <w:p>
            <w:pPr>
              <w:spacing w:after="0"/>
              <w:rPr>
                <w:sz w:val="17"/>
                <w:szCs w:val="17"/>
                <w:color w:val="auto"/>
              </w:rPr>
            </w:pPr>
          </w:p>
        </w:tc>
        <w:tc>
          <w:tcPr>
            <w:tcW w:w="23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Number of</w:t>
            </w:r>
          </w:p>
        </w:tc>
        <w:tc>
          <w:tcPr>
            <w:tcW w:w="1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Period Until</w:t>
            </w:r>
          </w:p>
        </w:tc>
        <w:tc>
          <w:tcPr>
            <w:tcW w:w="1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3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Performance Shares</w:t>
            </w:r>
          </w:p>
        </w:tc>
        <w:tc>
          <w:tcPr>
            <w:tcW w:w="196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Maturation(1)</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Threshold</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4"/>
              </w:rPr>
              <w:t>Target(2)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Maximum(3)</w:t>
            </w:r>
          </w:p>
        </w:tc>
      </w:tr>
      <w:tr>
        <w:trPr>
          <w:trHeight w:val="203"/>
        </w:trPr>
        <w:tc>
          <w:tcPr>
            <w:tcW w:w="23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w:t>
            </w:r>
          </w:p>
        </w:tc>
        <w:tc>
          <w:tcPr>
            <w:tcW w:w="1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4"/>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608"/>
        </w:trPr>
        <w:tc>
          <w:tcPr>
            <w:tcW w:w="2360" w:type="dxa"/>
            <w:vAlign w:val="bottom"/>
          </w:tcPr>
          <w:p>
            <w:pPr>
              <w:spacing w:after="0"/>
              <w:rPr>
                <w:sz w:val="20"/>
                <w:szCs w:val="20"/>
                <w:color w:val="auto"/>
              </w:rPr>
            </w:pPr>
            <w:r>
              <w:rPr>
                <w:rFonts w:ascii="Courier New" w:cs="Courier New" w:eastAsia="Courier New" w:hAnsi="Courier New"/>
                <w:sz w:val="18"/>
                <w:szCs w:val="18"/>
                <w:color w:val="auto"/>
              </w:rPr>
              <w:t>Frank J. Biondi, Jr.</w:t>
            </w:r>
          </w:p>
        </w:tc>
        <w:tc>
          <w:tcPr>
            <w:tcW w:w="2320" w:type="dxa"/>
            <w:vAlign w:val="bottom"/>
          </w:tcPr>
          <w:p>
            <w:pPr>
              <w:jc w:val="right"/>
              <w:ind w:right="1112"/>
              <w:spacing w:after="0"/>
              <w:rPr>
                <w:sz w:val="20"/>
                <w:szCs w:val="20"/>
                <w:color w:val="auto"/>
              </w:rPr>
            </w:pPr>
            <w:r>
              <w:rPr>
                <w:rFonts w:ascii="Courier New" w:cs="Courier New" w:eastAsia="Courier New" w:hAnsi="Courier New"/>
                <w:sz w:val="18"/>
                <w:szCs w:val="18"/>
                <w:color w:val="auto"/>
              </w:rPr>
              <w:t>0</w:t>
            </w:r>
          </w:p>
        </w:tc>
        <w:tc>
          <w:tcPr>
            <w:tcW w:w="196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2"/>
              </w:rPr>
              <w:t>---</w:t>
            </w:r>
          </w:p>
        </w:tc>
        <w:tc>
          <w:tcPr>
            <w:tcW w:w="16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405"/>
        </w:trPr>
        <w:tc>
          <w:tcPr>
            <w:tcW w:w="2360" w:type="dxa"/>
            <w:vAlign w:val="bottom"/>
          </w:tcPr>
          <w:p>
            <w:pPr>
              <w:spacing w:after="0"/>
              <w:rPr>
                <w:sz w:val="20"/>
                <w:szCs w:val="20"/>
                <w:color w:val="auto"/>
              </w:rPr>
            </w:pPr>
            <w:r>
              <w:rPr>
                <w:rFonts w:ascii="Courier New" w:cs="Courier New" w:eastAsia="Courier New" w:hAnsi="Courier New"/>
                <w:sz w:val="18"/>
                <w:szCs w:val="18"/>
                <w:color w:val="auto"/>
              </w:rPr>
              <w:t>Neil S. Braun</w:t>
            </w:r>
          </w:p>
        </w:tc>
        <w:tc>
          <w:tcPr>
            <w:tcW w:w="2320" w:type="dxa"/>
            <w:vAlign w:val="bottom"/>
          </w:tcPr>
          <w:p>
            <w:pPr>
              <w:jc w:val="right"/>
              <w:ind w:right="792"/>
              <w:spacing w:after="0"/>
              <w:rPr>
                <w:sz w:val="20"/>
                <w:szCs w:val="20"/>
                <w:color w:val="auto"/>
              </w:rPr>
            </w:pPr>
            <w:r>
              <w:rPr>
                <w:rFonts w:ascii="Courier New" w:cs="Courier New" w:eastAsia="Courier New" w:hAnsi="Courier New"/>
                <w:sz w:val="18"/>
                <w:szCs w:val="18"/>
                <w:color w:val="auto"/>
              </w:rPr>
              <w:t>6,875(4)</w:t>
            </w:r>
          </w:p>
        </w:tc>
        <w:tc>
          <w:tcPr>
            <w:tcW w:w="19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1/1/93-</w:t>
            </w:r>
          </w:p>
        </w:tc>
        <w:tc>
          <w:tcPr>
            <w:tcW w:w="1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$24,062.50</w:t>
            </w:r>
          </w:p>
        </w:tc>
        <w:tc>
          <w:tcPr>
            <w:tcW w:w="14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203"/>
        </w:trPr>
        <w:tc>
          <w:tcPr>
            <w:tcW w:w="23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12/31/95</w:t>
            </w:r>
          </w:p>
        </w:tc>
        <w:tc>
          <w:tcPr>
            <w:tcW w:w="1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05"/>
        </w:trPr>
        <w:tc>
          <w:tcPr>
            <w:tcW w:w="2360" w:type="dxa"/>
            <w:vAlign w:val="bottom"/>
          </w:tcPr>
          <w:p>
            <w:pPr>
              <w:spacing w:after="0"/>
              <w:rPr>
                <w:sz w:val="20"/>
                <w:szCs w:val="20"/>
                <w:color w:val="auto"/>
              </w:rPr>
            </w:pPr>
            <w:r>
              <w:rPr>
                <w:rFonts w:ascii="Courier New" w:cs="Courier New" w:eastAsia="Courier New" w:hAnsi="Courier New"/>
                <w:sz w:val="18"/>
                <w:szCs w:val="18"/>
                <w:color w:val="auto"/>
              </w:rPr>
              <w:t>Philippe P. Dauman</w:t>
            </w:r>
          </w:p>
        </w:tc>
        <w:tc>
          <w:tcPr>
            <w:tcW w:w="2320" w:type="dxa"/>
            <w:vAlign w:val="bottom"/>
          </w:tcPr>
          <w:p>
            <w:pPr>
              <w:jc w:val="right"/>
              <w:ind w:right="1112"/>
              <w:spacing w:after="0"/>
              <w:rPr>
                <w:sz w:val="20"/>
                <w:szCs w:val="20"/>
                <w:color w:val="auto"/>
              </w:rPr>
            </w:pPr>
            <w:r>
              <w:rPr>
                <w:rFonts w:ascii="Courier New" w:cs="Courier New" w:eastAsia="Courier New" w:hAnsi="Courier New"/>
                <w:sz w:val="18"/>
                <w:szCs w:val="18"/>
                <w:color w:val="auto"/>
              </w:rPr>
              <w:t>0</w:t>
            </w:r>
          </w:p>
        </w:tc>
        <w:tc>
          <w:tcPr>
            <w:tcW w:w="196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2"/>
              </w:rPr>
              <w:t>---</w:t>
            </w:r>
          </w:p>
        </w:tc>
        <w:tc>
          <w:tcPr>
            <w:tcW w:w="16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405"/>
        </w:trPr>
        <w:tc>
          <w:tcPr>
            <w:tcW w:w="2360" w:type="dxa"/>
            <w:vAlign w:val="bottom"/>
          </w:tcPr>
          <w:p>
            <w:pPr>
              <w:spacing w:after="0"/>
              <w:rPr>
                <w:sz w:val="20"/>
                <w:szCs w:val="20"/>
                <w:color w:val="auto"/>
              </w:rPr>
            </w:pPr>
            <w:r>
              <w:rPr>
                <w:rFonts w:ascii="Courier New" w:cs="Courier New" w:eastAsia="Courier New" w:hAnsi="Courier New"/>
                <w:sz w:val="18"/>
                <w:szCs w:val="18"/>
                <w:color w:val="auto"/>
              </w:rPr>
              <w:t>John W. Goddard</w:t>
            </w:r>
          </w:p>
        </w:tc>
        <w:tc>
          <w:tcPr>
            <w:tcW w:w="232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5,600(5)</w:t>
            </w:r>
          </w:p>
        </w:tc>
        <w:tc>
          <w:tcPr>
            <w:tcW w:w="19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1/1/93-</w:t>
            </w:r>
          </w:p>
        </w:tc>
        <w:tc>
          <w:tcPr>
            <w:tcW w:w="16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w:t>
            </w:r>
          </w:p>
        </w:tc>
        <w:tc>
          <w:tcPr>
            <w:tcW w:w="14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203"/>
        </w:trPr>
        <w:tc>
          <w:tcPr>
            <w:tcW w:w="23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9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12/31/95</w:t>
            </w:r>
          </w:p>
        </w:tc>
        <w:tc>
          <w:tcPr>
            <w:tcW w:w="1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05"/>
        </w:trPr>
        <w:tc>
          <w:tcPr>
            <w:tcW w:w="2360" w:type="dxa"/>
            <w:vAlign w:val="bottom"/>
          </w:tcPr>
          <w:p>
            <w:pPr>
              <w:spacing w:after="0"/>
              <w:rPr>
                <w:sz w:val="20"/>
                <w:szCs w:val="20"/>
                <w:color w:val="auto"/>
              </w:rPr>
            </w:pPr>
            <w:r>
              <w:rPr>
                <w:rFonts w:ascii="Courier New" w:cs="Courier New" w:eastAsia="Courier New" w:hAnsi="Courier New"/>
                <w:sz w:val="18"/>
                <w:szCs w:val="18"/>
                <w:color w:val="auto"/>
              </w:rPr>
              <w:t>Mark M. Weinstein</w:t>
            </w:r>
          </w:p>
        </w:tc>
        <w:tc>
          <w:tcPr>
            <w:tcW w:w="2320" w:type="dxa"/>
            <w:vAlign w:val="bottom"/>
          </w:tcPr>
          <w:p>
            <w:pPr>
              <w:jc w:val="right"/>
              <w:ind w:right="1112"/>
              <w:spacing w:after="0"/>
              <w:rPr>
                <w:sz w:val="20"/>
                <w:szCs w:val="20"/>
                <w:color w:val="auto"/>
              </w:rPr>
            </w:pPr>
            <w:r>
              <w:rPr>
                <w:rFonts w:ascii="Courier New" w:cs="Courier New" w:eastAsia="Courier New" w:hAnsi="Courier New"/>
                <w:sz w:val="18"/>
                <w:szCs w:val="18"/>
                <w:color w:val="auto"/>
              </w:rPr>
              <w:t>0</w:t>
            </w:r>
          </w:p>
        </w:tc>
        <w:tc>
          <w:tcPr>
            <w:tcW w:w="196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2"/>
              </w:rPr>
              <w:t>---</w:t>
            </w:r>
          </w:p>
        </w:tc>
        <w:tc>
          <w:tcPr>
            <w:tcW w:w="16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
        <w:spacing w:after="0"/>
        <w:rPr>
          <w:sz w:val="20"/>
          <w:szCs w:val="20"/>
          <w:color w:val="auto"/>
        </w:rPr>
      </w:pPr>
      <w:r>
        <w:rPr>
          <w:rFonts w:ascii="Courier New" w:cs="Courier New" w:eastAsia="Courier New" w:hAnsi="Courier New"/>
          <w:sz w:val="18"/>
          <w:szCs w:val="18"/>
          <w:color w:val="auto"/>
        </w:rPr>
        <w:t>NOTES:</w:t>
      </w:r>
    </w:p>
    <w:p>
      <w:pPr>
        <w:spacing w:after="0" w:line="207" w:lineRule="exact"/>
        <w:rPr>
          <w:sz w:val="20"/>
          <w:szCs w:val="20"/>
          <w:color w:val="auto"/>
        </w:rPr>
      </w:pPr>
    </w:p>
    <w:p>
      <w:pPr>
        <w:ind w:left="521" w:right="100" w:hanging="521"/>
        <w:spacing w:after="0" w:line="235" w:lineRule="auto"/>
        <w:tabs>
          <w:tab w:leader="none" w:pos="521"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performance shares vest at the end of the three-year performance period. They are more fully described above in the "Compensation Committee Report on Executive Compensation".</w:t>
      </w:r>
    </w:p>
    <w:p>
      <w:pPr>
        <w:spacing w:after="0" w:line="202" w:lineRule="exact"/>
        <w:rPr>
          <w:rFonts w:ascii="Courier New" w:cs="Courier New" w:eastAsia="Courier New" w:hAnsi="Courier New"/>
          <w:sz w:val="18"/>
          <w:szCs w:val="18"/>
          <w:color w:val="auto"/>
        </w:rPr>
      </w:pPr>
    </w:p>
    <w:p>
      <w:pPr>
        <w:ind w:left="521" w:hanging="521"/>
        <w:spacing w:after="0"/>
        <w:tabs>
          <w:tab w:leader="none" w:pos="521"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value of the performance shares will be determined by reference to the performance criteria.</w:t>
      </w:r>
    </w:p>
    <w:p>
      <w:pPr>
        <w:spacing w:after="0" w:line="206" w:lineRule="exact"/>
        <w:rPr>
          <w:rFonts w:ascii="Courier New" w:cs="Courier New" w:eastAsia="Courier New" w:hAnsi="Courier New"/>
          <w:sz w:val="18"/>
          <w:szCs w:val="18"/>
          <w:color w:val="auto"/>
        </w:rPr>
      </w:pPr>
    </w:p>
    <w:p>
      <w:pPr>
        <w:ind w:left="521" w:hanging="521"/>
        <w:spacing w:after="0" w:line="235" w:lineRule="auto"/>
        <w:tabs>
          <w:tab w:leader="none" w:pos="521"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maximum since the value of the performance shares can increase without limit pursuant to the formula established under the performance criteria.</w:t>
      </w:r>
    </w:p>
    <w:p>
      <w:pPr>
        <w:spacing w:after="0" w:line="208" w:lineRule="exact"/>
        <w:rPr>
          <w:rFonts w:ascii="Courier New" w:cs="Courier New" w:eastAsia="Courier New" w:hAnsi="Courier New"/>
          <w:sz w:val="18"/>
          <w:szCs w:val="18"/>
          <w:color w:val="auto"/>
        </w:rPr>
      </w:pPr>
    </w:p>
    <w:p>
      <w:pPr>
        <w:ind w:left="521" w:hanging="521"/>
        <w:spacing w:after="0" w:line="237" w:lineRule="auto"/>
        <w:tabs>
          <w:tab w:leader="none" w:pos="521"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performance criteria for determining the value of Mr. Braun's shares was based 50% on measuring Viacom Entertainment's cumulative operating income over the three-year period and 50% on the achievement during the three-year period of certain performance criteria which were targeted as key items in executing Viacom Entertainment's strategic plan. It is expected that this criteria will be adjusted by the Compensation Committee to reflect the combination of Viacom and Paramount's Entertainment Groups.</w:t>
      </w:r>
    </w:p>
    <w:p>
      <w:pPr>
        <w:spacing w:after="0" w:line="209" w:lineRule="exact"/>
        <w:rPr>
          <w:rFonts w:ascii="Courier New" w:cs="Courier New" w:eastAsia="Courier New" w:hAnsi="Courier New"/>
          <w:sz w:val="18"/>
          <w:szCs w:val="18"/>
          <w:color w:val="auto"/>
        </w:rPr>
      </w:pPr>
    </w:p>
    <w:p>
      <w:pPr>
        <w:ind w:left="521" w:right="420" w:hanging="521"/>
        <w:spacing w:after="0" w:line="290" w:lineRule="auto"/>
        <w:tabs>
          <w:tab w:leader="none" w:pos="52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performance criteria applicable to Mr. Goddard's performance shares is being adjusted by the Compensation Committee to reflect regulatory changes applicable to the Viacom Cable Division.</w:t>
      </w:r>
    </w:p>
    <w:p>
      <w:pPr>
        <w:spacing w:after="0" w:line="200" w:lineRule="exact"/>
        <w:rPr>
          <w:sz w:val="20"/>
          <w:szCs w:val="20"/>
          <w:color w:val="auto"/>
        </w:rPr>
      </w:pPr>
    </w:p>
    <w:p>
      <w:pPr>
        <w:spacing w:after="0" w:line="369" w:lineRule="exact"/>
        <w:rPr>
          <w:sz w:val="20"/>
          <w:szCs w:val="20"/>
          <w:color w:val="auto"/>
        </w:rPr>
      </w:pPr>
    </w:p>
    <w:p>
      <w:pPr>
        <w:ind w:left="3161"/>
        <w:spacing w:after="0"/>
        <w:rPr>
          <w:sz w:val="20"/>
          <w:szCs w:val="20"/>
          <w:color w:val="auto"/>
        </w:rPr>
      </w:pPr>
      <w:r>
        <w:rPr>
          <w:rFonts w:ascii="Courier New" w:cs="Courier New" w:eastAsia="Courier New" w:hAnsi="Courier New"/>
          <w:sz w:val="18"/>
          <w:szCs w:val="18"/>
          <w:color w:val="auto"/>
        </w:rPr>
        <w:t>III-15</w:t>
      </w:r>
    </w:p>
    <w:p>
      <w:pPr>
        <w:sectPr>
          <w:pgSz w:w="11900" w:h="16838" w:orient="portrait"/>
          <w:cols w:equalWidth="0" w:num="1">
            <w:col w:w="11061"/>
          </w:cols>
          <w:pgMar w:left="459" w:top="1440" w:right="379" w:bottom="1440" w:gutter="0" w:footer="0" w:header="0"/>
        </w:sectPr>
      </w:pPr>
    </w:p>
    <w:bookmarkStart w:id="140" w:name="page141"/>
    <w:bookmarkEnd w:id="140"/>
    <w:p>
      <w:pPr>
        <w:spacing w:after="0"/>
        <w:rPr>
          <w:sz w:val="20"/>
          <w:szCs w:val="20"/>
          <w:color w:val="auto"/>
        </w:rPr>
      </w:pPr>
      <w:r>
        <w:rPr>
          <w:rFonts w:ascii="Courier New" w:cs="Courier New" w:eastAsia="Courier New" w:hAnsi="Courier New"/>
          <w:sz w:val="18"/>
          <w:szCs w:val="18"/>
          <w:color w:val="auto"/>
        </w:rPr>
        <w:t>Pension Plan Table</w:t>
      </w:r>
    </w:p>
    <w:p>
      <w:pPr>
        <w:spacing w:after="0" w:line="238" w:lineRule="auto"/>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4" w:lineRule="exact"/>
        <w:rPr>
          <w:sz w:val="20"/>
          <w:szCs w:val="20"/>
          <w:color w:val="auto"/>
        </w:rPr>
      </w:pPr>
    </w:p>
    <w:p>
      <w:pPr>
        <w:jc w:val="center"/>
        <w:ind w:right="719"/>
        <w:spacing w:after="0"/>
        <w:rPr>
          <w:sz w:val="20"/>
          <w:szCs w:val="20"/>
          <w:color w:val="auto"/>
        </w:rPr>
      </w:pPr>
      <w:r>
        <w:rPr>
          <w:rFonts w:ascii="Courier New" w:cs="Courier New" w:eastAsia="Courier New" w:hAnsi="Courier New"/>
          <w:sz w:val="18"/>
          <w:szCs w:val="18"/>
          <w:color w:val="auto"/>
        </w:rPr>
        <w:t>Years of Service</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sectPr>
      </w:pPr>
    </w:p>
    <w:p>
      <w:pPr>
        <w:spacing w:after="0" w:line="224"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Remuneration - - ------------</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35</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15" w:lineRule="exact"/>
        <w:rPr>
          <w:sz w:val="20"/>
          <w:szCs w:val="20"/>
          <w:color w:val="auto"/>
        </w:rPr>
      </w:pPr>
    </w:p>
    <w:p>
      <w:pPr>
        <w:sectPr>
          <w:pgSz w:w="11900" w:h="16838" w:orient="portrait"/>
          <w:cols w:equalWidth="0" w:num="6">
            <w:col w:w="1700" w:space="420"/>
            <w:col w:w="940" w:space="320"/>
            <w:col w:w="840" w:space="320"/>
            <w:col w:w="940" w:space="320"/>
            <w:col w:w="940" w:space="220"/>
            <w:col w:w="3259"/>
          </w:cols>
          <w:pgMar w:left="240" w:top="717" w:right="1440" w:bottom="1440" w:gutter="0" w:footer="0" w:header="0"/>
          <w:type w:val="continuous"/>
        </w:sectPr>
      </w:pPr>
    </w:p>
    <w:p>
      <w:pPr>
        <w:spacing w:after="0" w:line="3" w:lineRule="exact"/>
        <w:rPr>
          <w:sz w:val="20"/>
          <w:szCs w:val="20"/>
          <w:color w:val="auto"/>
        </w:rPr>
      </w:pPr>
    </w:p>
    <w:p>
      <w:pPr>
        <w:ind w:left="640" w:hanging="421"/>
        <w:spacing w:after="0"/>
        <w:tabs>
          <w:tab w:leader="none" w:pos="6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50,000</w:t>
      </w:r>
      <w:r>
        <w:rPr>
          <w:rFonts w:ascii="Courier New" w:cs="Courier New" w:eastAsia="Courier New" w:hAnsi="Courier New"/>
          <w:sz w:val="16"/>
          <w:szCs w:val="16"/>
          <w:color w:val="auto"/>
        </w:rPr>
        <w:t>$  9,546   $ 12,728   $  15,911   $  18,297   $  20,684</w:t>
      </w:r>
    </w:p>
    <w:tbl>
      <w:tblPr>
        <w:tblLayout w:type="fixed"/>
        <w:tblInd w:w="320" w:type="dxa"/>
        <w:tblCellMar>
          <w:top w:w="0" w:type="dxa"/>
          <w:left w:w="0" w:type="dxa"/>
          <w:bottom w:w="0" w:type="dxa"/>
          <w:right w:w="0" w:type="dxa"/>
        </w:tblCellMar>
      </w:tblPr>
      <w:tr>
        <w:trPr>
          <w:trHeight w:val="203"/>
        </w:trPr>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100,000</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20,796</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27,728</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34,661</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39,860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45,059</w:t>
            </w:r>
          </w:p>
        </w:tc>
      </w:tr>
      <w:tr>
        <w:trPr>
          <w:trHeight w:val="203"/>
        </w:trPr>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200,000</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43,296</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57,728</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72,161</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82,985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93,809</w:t>
            </w:r>
          </w:p>
        </w:tc>
      </w:tr>
      <w:tr>
        <w:trPr>
          <w:trHeight w:val="203"/>
        </w:trPr>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300,000</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65,796</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87,728</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109,661</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126,110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142,559</w:t>
            </w:r>
          </w:p>
        </w:tc>
      </w:tr>
      <w:tr>
        <w:trPr>
          <w:trHeight w:val="203"/>
        </w:trPr>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400,000</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88,296</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117,728</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147,161</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169,235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191,309</w:t>
            </w:r>
          </w:p>
        </w:tc>
      </w:tr>
      <w:tr>
        <w:trPr>
          <w:trHeight w:val="203"/>
        </w:trPr>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500,000</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110,796</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147,728</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184,661</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212,360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240,059</w:t>
            </w:r>
          </w:p>
        </w:tc>
      </w:tr>
      <w:tr>
        <w:trPr>
          <w:trHeight w:val="203"/>
        </w:trPr>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600,000</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133,296</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177,728</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222,161</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255,485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288,809</w:t>
            </w:r>
          </w:p>
        </w:tc>
      </w:tr>
      <w:tr>
        <w:trPr>
          <w:trHeight w:val="203"/>
        </w:trPr>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700,000</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155,796</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207,728</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259,661</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298,610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337,559</w:t>
            </w:r>
          </w:p>
        </w:tc>
      </w:tr>
      <w:tr>
        <w:trPr>
          <w:trHeight w:val="203"/>
        </w:trPr>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800,000</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178,296</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237,728</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297,161</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341,735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386,309</w:t>
            </w:r>
          </w:p>
        </w:tc>
      </w:tr>
      <w:tr>
        <w:trPr>
          <w:trHeight w:val="203"/>
        </w:trPr>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900,000</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200,796</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267,728</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334,661</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384,860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435,059</w:t>
            </w:r>
          </w:p>
        </w:tc>
      </w:tr>
      <w:tr>
        <w:trPr>
          <w:trHeight w:val="203"/>
        </w:trPr>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1,000,000</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223,296</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297,728</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372,161</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427,985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483,809</w:t>
            </w:r>
          </w:p>
        </w:tc>
      </w:tr>
      <w:tr>
        <w:trPr>
          <w:trHeight w:val="203"/>
        </w:trPr>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1,100,000</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245,796</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327,728</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409,661</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471,110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532,559</w:t>
            </w:r>
          </w:p>
        </w:tc>
      </w:tr>
      <w:tr>
        <w:trPr>
          <w:trHeight w:val="203"/>
        </w:trPr>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1,200,000</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268,296</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357,728</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447,161</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514,235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581,309</w:t>
            </w:r>
          </w:p>
        </w:tc>
      </w:tr>
      <w:tr>
        <w:trPr>
          <w:trHeight w:val="203"/>
        </w:trPr>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1,300,000</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290,796</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387,728</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484,661</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557,360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630,059</w:t>
            </w:r>
          </w:p>
        </w:tc>
      </w:tr>
    </w:tbl>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Under the Viacom Pension Plan, and the Viacom Excess Pension Plan for certain higher compensated employees, an eligible employee will receive a benefit at retirement that is based upon the employee's number of years of benefit service and average annual salary (salary as set forth in the Summary Compensation Table) for the highest 60 consecutive months out of the final 120 months. The benefits under the Viacom Excess Pension Plan are not subject to the Internal Revenue Code provisions that limit the compensation subject to benefits under the Viacom Pension Plan. The number of years of benefit service that have been credited for Messrs. Biondi, Braun, Goddard and Weinstein are approximately 6.6, 5, 27 and 8, respectively. Mr. Dauman has been credited with one year of service under the Viacom Pension Plan; however, the benefits payable under the Viacom Excess Pension Plan shall be calculated as though he had ten years of credited service. The foregoing table illustrates, for representative average annual pensionable compensation and years of benefit service classifications, the annual retirement benefit payable to employees under the Plans upon retirement in 1993 at age 65, based on the straight-life annuity form of benefit payment and not subject to deduction or offset.</w:t>
      </w:r>
    </w:p>
    <w:p>
      <w:pPr>
        <w:spacing w:after="0" w:line="39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III-16</w:t>
      </w:r>
    </w:p>
    <w:p>
      <w:pPr>
        <w:sectPr>
          <w:pgSz w:w="11900" w:h="16838" w:orient="portrait"/>
          <w:cols w:equalWidth="0" w:num="1">
            <w:col w:w="10219"/>
          </w:cols>
          <w:pgMar w:left="240" w:top="717" w:right="1440" w:bottom="1440" w:gutter="0" w:footer="0" w:header="0"/>
          <w:type w:val="continuous"/>
        </w:sectPr>
      </w:pPr>
    </w:p>
    <w:bookmarkStart w:id="141" w:name="page142"/>
    <w:bookmarkEnd w:id="141"/>
    <w:p>
      <w:pPr>
        <w:ind w:left="3280"/>
        <w:spacing w:after="0"/>
        <w:rPr>
          <w:sz w:val="20"/>
          <w:szCs w:val="20"/>
          <w:color w:val="auto"/>
        </w:rPr>
      </w:pPr>
      <w:r>
        <w:rPr>
          <w:rFonts w:ascii="Courier New" w:cs="Courier New" w:eastAsia="Courier New" w:hAnsi="Courier New"/>
          <w:sz w:val="18"/>
          <w:szCs w:val="18"/>
          <w:color w:val="auto"/>
        </w:rPr>
        <w:t>Performance Graph</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graph compares the cumulative total shareholder return 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Class A Common Stock and, as of June 18, 1990, the Class B Common Stock with</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cumulative total return on the companies listed in the Standard &amp; Poor's 500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00" w:type="dxa"/>
            <w:vAlign w:val="bottom"/>
            <w:gridSpan w:val="6"/>
          </w:tcPr>
          <w:p>
            <w:pPr>
              <w:spacing w:after="0"/>
              <w:rPr>
                <w:sz w:val="20"/>
                <w:szCs w:val="20"/>
                <w:color w:val="auto"/>
              </w:rPr>
            </w:pPr>
            <w:r>
              <w:rPr>
                <w:rFonts w:ascii="Courier New" w:cs="Courier New" w:eastAsia="Courier New" w:hAnsi="Courier New"/>
                <w:sz w:val="18"/>
                <w:szCs w:val="18"/>
                <w:color w:val="auto"/>
                <w:w w:val="99"/>
              </w:rPr>
              <w:t>Stock Index and a Peer Group on companies (identified below).</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The total</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return</w:t>
            </w:r>
          </w:p>
        </w:tc>
      </w:tr>
      <w:tr>
        <w:trPr>
          <w:trHeight w:val="203"/>
        </w:trPr>
        <w:tc>
          <w:tcPr>
            <w:tcW w:w="764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w w:val="97"/>
              </w:rPr>
              <w:t>data was obtained from Standard &amp; Poor's Compustat Services, Inc., which</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first</w:t>
            </w:r>
          </w:p>
        </w:tc>
      </w:tr>
      <w:tr>
        <w:trPr>
          <w:trHeight w:val="203"/>
        </w:trPr>
        <w:tc>
          <w:tcPr>
            <w:tcW w:w="660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8"/>
              </w:rPr>
              <w:t>reported trading activity for the Class B Common Stock on June</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18, 1990.</w:t>
            </w:r>
          </w:p>
        </w:tc>
        <w:tc>
          <w:tcPr>
            <w:tcW w:w="1000" w:type="dxa"/>
            <w:vAlign w:val="bottom"/>
          </w:tcPr>
          <w:p>
            <w:pPr>
              <w:spacing w:after="0"/>
              <w:rPr>
                <w:sz w:val="17"/>
                <w:szCs w:val="17"/>
                <w:color w:val="auto"/>
              </w:rPr>
            </w:pPr>
          </w:p>
        </w:tc>
      </w:tr>
      <w:tr>
        <w:trPr>
          <w:trHeight w:val="405"/>
        </w:trPr>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5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Viacom Inc. Common Stock</w:t>
            </w: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54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rPr>
              <w:t>Cumulative Total Shareholder Return for</w:t>
            </w: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54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Five-Year Period Ended December</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31, 1993</w:t>
            </w: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2060" w:type="dxa"/>
            <w:vAlign w:val="bottom"/>
            <w:gridSpan w:val="2"/>
          </w:tcPr>
          <w:p>
            <w:pPr>
              <w:spacing w:after="0"/>
              <w:rPr>
                <w:sz w:val="20"/>
                <w:szCs w:val="20"/>
                <w:color w:val="auto"/>
              </w:rPr>
            </w:pPr>
            <w:r>
              <w:rPr>
                <w:rFonts w:ascii="Courier New" w:cs="Courier New" w:eastAsia="Courier New" w:hAnsi="Courier New"/>
                <w:sz w:val="18"/>
                <w:szCs w:val="18"/>
                <w:color w:val="auto"/>
              </w:rPr>
              <w:t>December 31...</w:t>
            </w:r>
          </w:p>
        </w:tc>
        <w:tc>
          <w:tcPr>
            <w:tcW w:w="1380" w:type="dxa"/>
            <w:vAlign w:val="bottom"/>
          </w:tcPr>
          <w:p>
            <w:pPr>
              <w:jc w:val="center"/>
              <w:spacing w:after="0"/>
              <w:rPr>
                <w:sz w:val="20"/>
                <w:szCs w:val="20"/>
                <w:color w:val="auto"/>
              </w:rPr>
            </w:pPr>
            <w:r>
              <w:rPr>
                <w:rFonts w:ascii="Courier New" w:cs="Courier New" w:eastAsia="Courier New" w:hAnsi="Courier New"/>
                <w:sz w:val="18"/>
                <w:szCs w:val="18"/>
                <w:color w:val="auto"/>
                <w:w w:val="97"/>
              </w:rPr>
              <w:t>1988</w:t>
            </w:r>
          </w:p>
        </w:tc>
        <w:tc>
          <w:tcPr>
            <w:tcW w:w="1040" w:type="dxa"/>
            <w:vAlign w:val="bottom"/>
          </w:tcPr>
          <w:p>
            <w:pPr>
              <w:jc w:val="center"/>
              <w:ind w:right="232"/>
              <w:spacing w:after="0"/>
              <w:rPr>
                <w:sz w:val="20"/>
                <w:szCs w:val="20"/>
                <w:color w:val="auto"/>
              </w:rPr>
            </w:pPr>
            <w:r>
              <w:rPr>
                <w:rFonts w:ascii="Courier New" w:cs="Courier New" w:eastAsia="Courier New" w:hAnsi="Courier New"/>
                <w:sz w:val="18"/>
                <w:szCs w:val="18"/>
                <w:color w:val="auto"/>
              </w:rPr>
              <w:t>1989</w:t>
            </w:r>
          </w:p>
        </w:tc>
        <w:tc>
          <w:tcPr>
            <w:tcW w:w="1120" w:type="dxa"/>
            <w:vAlign w:val="bottom"/>
          </w:tcPr>
          <w:p>
            <w:pPr>
              <w:jc w:val="center"/>
              <w:ind w:right="292"/>
              <w:spacing w:after="0"/>
              <w:rPr>
                <w:sz w:val="20"/>
                <w:szCs w:val="20"/>
                <w:color w:val="auto"/>
              </w:rPr>
            </w:pPr>
            <w:r>
              <w:rPr>
                <w:rFonts w:ascii="Courier New" w:cs="Courier New" w:eastAsia="Courier New" w:hAnsi="Courier New"/>
                <w:sz w:val="18"/>
                <w:szCs w:val="18"/>
                <w:color w:val="auto"/>
                <w:w w:val="97"/>
              </w:rPr>
              <w:t>1990</w:t>
            </w:r>
          </w:p>
        </w:tc>
        <w:tc>
          <w:tcPr>
            <w:tcW w:w="1000" w:type="dxa"/>
            <w:vAlign w:val="bottom"/>
          </w:tcPr>
          <w:p>
            <w:pPr>
              <w:ind w:left="100"/>
              <w:spacing w:after="0"/>
              <w:rPr>
                <w:sz w:val="20"/>
                <w:szCs w:val="20"/>
                <w:color w:val="auto"/>
              </w:rPr>
            </w:pPr>
            <w:r>
              <w:rPr>
                <w:rFonts w:ascii="Courier New" w:cs="Courier New" w:eastAsia="Courier New" w:hAnsi="Courier New"/>
                <w:sz w:val="18"/>
                <w:szCs w:val="18"/>
                <w:color w:val="auto"/>
              </w:rPr>
              <w:t>1991</w:t>
            </w:r>
          </w:p>
        </w:tc>
        <w:tc>
          <w:tcPr>
            <w:tcW w:w="1040" w:type="dxa"/>
            <w:vAlign w:val="bottom"/>
          </w:tcPr>
          <w:p>
            <w:pPr>
              <w:ind w:left="140"/>
              <w:spacing w:after="0"/>
              <w:rPr>
                <w:sz w:val="20"/>
                <w:szCs w:val="20"/>
                <w:color w:val="auto"/>
              </w:rPr>
            </w:pPr>
            <w:r>
              <w:rPr>
                <w:rFonts w:ascii="Courier New" w:cs="Courier New" w:eastAsia="Courier New" w:hAnsi="Courier New"/>
                <w:sz w:val="18"/>
                <w:szCs w:val="18"/>
                <w:color w:val="auto"/>
              </w:rPr>
              <w:t>1992</w:t>
            </w:r>
          </w:p>
        </w:tc>
        <w:tc>
          <w:tcPr>
            <w:tcW w:w="100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7"/>
              </w:rPr>
              <w:t>1993</w:t>
            </w:r>
          </w:p>
        </w:tc>
      </w:t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 --------------</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060" w:type="dxa"/>
            <w:vAlign w:val="bottom"/>
            <w:gridSpan w:val="2"/>
          </w:tcPr>
          <w:p>
            <w:pPr>
              <w:spacing w:after="0"/>
              <w:rPr>
                <w:sz w:val="20"/>
                <w:szCs w:val="20"/>
                <w:color w:val="auto"/>
              </w:rPr>
            </w:pPr>
            <w:r>
              <w:rPr>
                <w:rFonts w:ascii="Courier New" w:cs="Courier New" w:eastAsia="Courier New" w:hAnsi="Courier New"/>
                <w:sz w:val="18"/>
                <w:szCs w:val="18"/>
                <w:color w:val="auto"/>
              </w:rPr>
              <w:t>Viacom Class A</w:t>
            </w:r>
          </w:p>
        </w:tc>
        <w:tc>
          <w:tcPr>
            <w:tcW w:w="1380" w:type="dxa"/>
            <w:vAlign w:val="bottom"/>
          </w:tcPr>
          <w:p>
            <w:pPr>
              <w:jc w:val="center"/>
              <w:spacing w:after="0"/>
              <w:rPr>
                <w:sz w:val="20"/>
                <w:szCs w:val="20"/>
                <w:color w:val="auto"/>
              </w:rPr>
            </w:pPr>
            <w:r>
              <w:rPr>
                <w:rFonts w:ascii="Courier New" w:cs="Courier New" w:eastAsia="Courier New" w:hAnsi="Courier New"/>
                <w:sz w:val="18"/>
                <w:szCs w:val="18"/>
                <w:color w:val="auto"/>
                <w:w w:val="95"/>
              </w:rPr>
              <w:t>100.00</w:t>
            </w:r>
          </w:p>
        </w:tc>
        <w:tc>
          <w:tcPr>
            <w:tcW w:w="104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8"/>
              </w:rPr>
              <w:t>184.74</w:t>
            </w:r>
          </w:p>
        </w:tc>
        <w:tc>
          <w:tcPr>
            <w:tcW w:w="1120" w:type="dxa"/>
            <w:vAlign w:val="bottom"/>
          </w:tcPr>
          <w:p>
            <w:pPr>
              <w:jc w:val="center"/>
              <w:ind w:right="292"/>
              <w:spacing w:after="0"/>
              <w:rPr>
                <w:sz w:val="20"/>
                <w:szCs w:val="20"/>
                <w:color w:val="auto"/>
              </w:rPr>
            </w:pPr>
            <w:r>
              <w:rPr>
                <w:rFonts w:ascii="Courier New" w:cs="Courier New" w:eastAsia="Courier New" w:hAnsi="Courier New"/>
                <w:sz w:val="18"/>
                <w:szCs w:val="18"/>
                <w:color w:val="auto"/>
                <w:w w:val="95"/>
              </w:rPr>
              <w:t>166.78</w:t>
            </w:r>
          </w:p>
        </w:tc>
        <w:tc>
          <w:tcPr>
            <w:tcW w:w="1000" w:type="dxa"/>
            <w:vAlign w:val="bottom"/>
          </w:tcPr>
          <w:p>
            <w:pPr>
              <w:spacing w:after="0"/>
              <w:rPr>
                <w:sz w:val="20"/>
                <w:szCs w:val="20"/>
                <w:color w:val="auto"/>
              </w:rPr>
            </w:pPr>
            <w:r>
              <w:rPr>
                <w:rFonts w:ascii="Courier New" w:cs="Courier New" w:eastAsia="Courier New" w:hAnsi="Courier New"/>
                <w:sz w:val="18"/>
                <w:szCs w:val="18"/>
                <w:color w:val="auto"/>
              </w:rPr>
              <w:t>217.61</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279.56</w:t>
            </w:r>
          </w:p>
        </w:tc>
        <w:tc>
          <w:tcPr>
            <w:tcW w:w="1000" w:type="dxa"/>
            <w:vAlign w:val="bottom"/>
          </w:tcPr>
          <w:p>
            <w:pPr>
              <w:jc w:val="center"/>
              <w:ind w:right="152"/>
              <w:spacing w:after="0"/>
              <w:rPr>
                <w:sz w:val="20"/>
                <w:szCs w:val="20"/>
                <w:color w:val="auto"/>
              </w:rPr>
            </w:pPr>
            <w:r>
              <w:rPr>
                <w:rFonts w:ascii="Courier New" w:cs="Courier New" w:eastAsia="Courier New" w:hAnsi="Courier New"/>
                <w:sz w:val="18"/>
                <w:szCs w:val="18"/>
                <w:color w:val="auto"/>
                <w:w w:val="98"/>
              </w:rPr>
              <w:t>310.54</w:t>
            </w:r>
          </w:p>
        </w:tc>
      </w:tr>
      <w:tr>
        <w:trPr>
          <w:trHeight w:val="405"/>
        </w:trPr>
        <w:tc>
          <w:tcPr>
            <w:tcW w:w="2060" w:type="dxa"/>
            <w:vAlign w:val="bottom"/>
            <w:gridSpan w:val="2"/>
          </w:tcPr>
          <w:p>
            <w:pPr>
              <w:spacing w:after="0"/>
              <w:rPr>
                <w:sz w:val="20"/>
                <w:szCs w:val="20"/>
                <w:color w:val="auto"/>
              </w:rPr>
            </w:pPr>
            <w:r>
              <w:rPr>
                <w:rFonts w:ascii="Courier New" w:cs="Courier New" w:eastAsia="Courier New" w:hAnsi="Courier New"/>
                <w:sz w:val="18"/>
                <w:szCs w:val="18"/>
                <w:color w:val="auto"/>
              </w:rPr>
              <w:t>Viacom Class B</w:t>
            </w: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jc w:val="center"/>
              <w:ind w:right="292"/>
              <w:spacing w:after="0"/>
              <w:rPr>
                <w:sz w:val="20"/>
                <w:szCs w:val="20"/>
                <w:color w:val="auto"/>
              </w:rPr>
            </w:pPr>
            <w:r>
              <w:rPr>
                <w:rFonts w:ascii="Courier New" w:cs="Courier New" w:eastAsia="Courier New" w:hAnsi="Courier New"/>
                <w:sz w:val="18"/>
                <w:szCs w:val="18"/>
                <w:color w:val="auto"/>
                <w:w w:val="95"/>
              </w:rPr>
              <w:t>159.33</w:t>
            </w:r>
          </w:p>
        </w:tc>
        <w:tc>
          <w:tcPr>
            <w:tcW w:w="1000" w:type="dxa"/>
            <w:vAlign w:val="bottom"/>
          </w:tcPr>
          <w:p>
            <w:pPr>
              <w:spacing w:after="0"/>
              <w:rPr>
                <w:sz w:val="20"/>
                <w:szCs w:val="20"/>
                <w:color w:val="auto"/>
              </w:rPr>
            </w:pPr>
            <w:r>
              <w:rPr>
                <w:rFonts w:ascii="Courier New" w:cs="Courier New" w:eastAsia="Courier New" w:hAnsi="Courier New"/>
                <w:sz w:val="18"/>
                <w:szCs w:val="18"/>
                <w:color w:val="auto"/>
              </w:rPr>
              <w:t>220.80</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270.94</w:t>
            </w:r>
          </w:p>
        </w:tc>
        <w:tc>
          <w:tcPr>
            <w:tcW w:w="1000" w:type="dxa"/>
            <w:vAlign w:val="bottom"/>
          </w:tcPr>
          <w:p>
            <w:pPr>
              <w:jc w:val="center"/>
              <w:ind w:right="152"/>
              <w:spacing w:after="0"/>
              <w:rPr>
                <w:sz w:val="20"/>
                <w:szCs w:val="20"/>
                <w:color w:val="auto"/>
              </w:rPr>
            </w:pPr>
            <w:r>
              <w:rPr>
                <w:rFonts w:ascii="Courier New" w:cs="Courier New" w:eastAsia="Courier New" w:hAnsi="Courier New"/>
                <w:sz w:val="18"/>
                <w:szCs w:val="18"/>
                <w:color w:val="auto"/>
                <w:w w:val="98"/>
              </w:rPr>
              <w:t>290.35</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S&amp;P</w:t>
            </w:r>
          </w:p>
        </w:tc>
        <w:tc>
          <w:tcPr>
            <w:tcW w:w="1680" w:type="dxa"/>
            <w:vAlign w:val="bottom"/>
          </w:tcPr>
          <w:p>
            <w:pPr>
              <w:jc w:val="right"/>
              <w:ind w:right="1232"/>
              <w:spacing w:after="0"/>
              <w:rPr>
                <w:sz w:val="20"/>
                <w:szCs w:val="20"/>
                <w:color w:val="auto"/>
              </w:rPr>
            </w:pPr>
            <w:r>
              <w:rPr>
                <w:rFonts w:ascii="Courier New" w:cs="Courier New" w:eastAsia="Courier New" w:hAnsi="Courier New"/>
                <w:sz w:val="18"/>
                <w:szCs w:val="18"/>
                <w:color w:val="auto"/>
              </w:rPr>
              <w:t>500</w:t>
            </w:r>
          </w:p>
        </w:tc>
        <w:tc>
          <w:tcPr>
            <w:tcW w:w="1380" w:type="dxa"/>
            <w:vAlign w:val="bottom"/>
          </w:tcPr>
          <w:p>
            <w:pPr>
              <w:jc w:val="center"/>
              <w:spacing w:after="0"/>
              <w:rPr>
                <w:sz w:val="20"/>
                <w:szCs w:val="20"/>
                <w:color w:val="auto"/>
              </w:rPr>
            </w:pPr>
            <w:r>
              <w:rPr>
                <w:rFonts w:ascii="Courier New" w:cs="Courier New" w:eastAsia="Courier New" w:hAnsi="Courier New"/>
                <w:sz w:val="18"/>
                <w:szCs w:val="18"/>
                <w:color w:val="auto"/>
                <w:w w:val="95"/>
              </w:rPr>
              <w:t>100.00</w:t>
            </w:r>
          </w:p>
        </w:tc>
        <w:tc>
          <w:tcPr>
            <w:tcW w:w="104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8"/>
              </w:rPr>
              <w:t>131.59</w:t>
            </w:r>
          </w:p>
        </w:tc>
        <w:tc>
          <w:tcPr>
            <w:tcW w:w="1120" w:type="dxa"/>
            <w:vAlign w:val="bottom"/>
          </w:tcPr>
          <w:p>
            <w:pPr>
              <w:jc w:val="center"/>
              <w:ind w:right="292"/>
              <w:spacing w:after="0"/>
              <w:rPr>
                <w:sz w:val="20"/>
                <w:szCs w:val="20"/>
                <w:color w:val="auto"/>
              </w:rPr>
            </w:pPr>
            <w:r>
              <w:rPr>
                <w:rFonts w:ascii="Courier New" w:cs="Courier New" w:eastAsia="Courier New" w:hAnsi="Courier New"/>
                <w:sz w:val="18"/>
                <w:szCs w:val="18"/>
                <w:color w:val="auto"/>
                <w:w w:val="95"/>
              </w:rPr>
              <w:t>127.49</w:t>
            </w:r>
          </w:p>
        </w:tc>
        <w:tc>
          <w:tcPr>
            <w:tcW w:w="1000" w:type="dxa"/>
            <w:vAlign w:val="bottom"/>
          </w:tcPr>
          <w:p>
            <w:pPr>
              <w:spacing w:after="0"/>
              <w:rPr>
                <w:sz w:val="20"/>
                <w:szCs w:val="20"/>
                <w:color w:val="auto"/>
              </w:rPr>
            </w:pPr>
            <w:r>
              <w:rPr>
                <w:rFonts w:ascii="Courier New" w:cs="Courier New" w:eastAsia="Courier New" w:hAnsi="Courier New"/>
                <w:sz w:val="18"/>
                <w:szCs w:val="18"/>
                <w:color w:val="auto"/>
              </w:rPr>
              <w:t>166.17</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178.81</w:t>
            </w:r>
          </w:p>
        </w:tc>
        <w:tc>
          <w:tcPr>
            <w:tcW w:w="1000" w:type="dxa"/>
            <w:vAlign w:val="bottom"/>
          </w:tcPr>
          <w:p>
            <w:pPr>
              <w:jc w:val="center"/>
              <w:ind w:right="152"/>
              <w:spacing w:after="0"/>
              <w:rPr>
                <w:sz w:val="20"/>
                <w:szCs w:val="20"/>
                <w:color w:val="auto"/>
              </w:rPr>
            </w:pPr>
            <w:r>
              <w:rPr>
                <w:rFonts w:ascii="Courier New" w:cs="Courier New" w:eastAsia="Courier New" w:hAnsi="Courier New"/>
                <w:sz w:val="18"/>
                <w:szCs w:val="18"/>
                <w:color w:val="auto"/>
                <w:w w:val="98"/>
              </w:rPr>
              <w:t>196.75</w:t>
            </w:r>
          </w:p>
        </w:tc>
      </w:tr>
      <w:tr>
        <w:trPr>
          <w:trHeight w:val="405"/>
        </w:trPr>
        <w:tc>
          <w:tcPr>
            <w:tcW w:w="2060" w:type="dxa"/>
            <w:vAlign w:val="bottom"/>
            <w:gridSpan w:val="2"/>
          </w:tcPr>
          <w:p>
            <w:pPr>
              <w:spacing w:after="0"/>
              <w:rPr>
                <w:sz w:val="20"/>
                <w:szCs w:val="20"/>
                <w:color w:val="auto"/>
              </w:rPr>
            </w:pPr>
            <w:r>
              <w:rPr>
                <w:rFonts w:ascii="Courier New" w:cs="Courier New" w:eastAsia="Courier New" w:hAnsi="Courier New"/>
                <w:sz w:val="18"/>
                <w:szCs w:val="18"/>
                <w:color w:val="auto"/>
              </w:rPr>
              <w:t>Peer Group</w:t>
            </w:r>
          </w:p>
        </w:tc>
        <w:tc>
          <w:tcPr>
            <w:tcW w:w="1380" w:type="dxa"/>
            <w:vAlign w:val="bottom"/>
          </w:tcPr>
          <w:p>
            <w:pPr>
              <w:jc w:val="center"/>
              <w:spacing w:after="0"/>
              <w:rPr>
                <w:sz w:val="20"/>
                <w:szCs w:val="20"/>
                <w:color w:val="auto"/>
              </w:rPr>
            </w:pPr>
            <w:r>
              <w:rPr>
                <w:rFonts w:ascii="Courier New" w:cs="Courier New" w:eastAsia="Courier New" w:hAnsi="Courier New"/>
                <w:sz w:val="18"/>
                <w:szCs w:val="18"/>
                <w:color w:val="auto"/>
                <w:w w:val="95"/>
              </w:rPr>
              <w:t>100.00</w:t>
            </w:r>
          </w:p>
        </w:tc>
        <w:tc>
          <w:tcPr>
            <w:tcW w:w="104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8"/>
              </w:rPr>
              <w:t>135.32</w:t>
            </w:r>
          </w:p>
        </w:tc>
        <w:tc>
          <w:tcPr>
            <w:tcW w:w="1120" w:type="dxa"/>
            <w:vAlign w:val="bottom"/>
          </w:tcPr>
          <w:p>
            <w:pPr>
              <w:jc w:val="center"/>
              <w:ind w:right="292"/>
              <w:spacing w:after="0"/>
              <w:rPr>
                <w:sz w:val="20"/>
                <w:szCs w:val="20"/>
                <w:color w:val="auto"/>
              </w:rPr>
            </w:pPr>
            <w:r>
              <w:rPr>
                <w:rFonts w:ascii="Courier New" w:cs="Courier New" w:eastAsia="Courier New" w:hAnsi="Courier New"/>
                <w:sz w:val="18"/>
                <w:szCs w:val="18"/>
                <w:color w:val="auto"/>
                <w:w w:val="95"/>
              </w:rPr>
              <w:t>101.66</w:t>
            </w:r>
          </w:p>
        </w:tc>
        <w:tc>
          <w:tcPr>
            <w:tcW w:w="1000" w:type="dxa"/>
            <w:vAlign w:val="bottom"/>
          </w:tcPr>
          <w:p>
            <w:pPr>
              <w:spacing w:after="0"/>
              <w:rPr>
                <w:sz w:val="20"/>
                <w:szCs w:val="20"/>
                <w:color w:val="auto"/>
              </w:rPr>
            </w:pPr>
            <w:r>
              <w:rPr>
                <w:rFonts w:ascii="Courier New" w:cs="Courier New" w:eastAsia="Courier New" w:hAnsi="Courier New"/>
                <w:sz w:val="18"/>
                <w:szCs w:val="18"/>
                <w:color w:val="auto"/>
              </w:rPr>
              <w:t>131.76</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167.40</w:t>
            </w:r>
          </w:p>
        </w:tc>
        <w:tc>
          <w:tcPr>
            <w:tcW w:w="1000" w:type="dxa"/>
            <w:vAlign w:val="bottom"/>
          </w:tcPr>
          <w:p>
            <w:pPr>
              <w:jc w:val="center"/>
              <w:ind w:right="152"/>
              <w:spacing w:after="0"/>
              <w:rPr>
                <w:sz w:val="20"/>
                <w:szCs w:val="20"/>
                <w:color w:val="auto"/>
              </w:rPr>
            </w:pPr>
            <w:r>
              <w:rPr>
                <w:rFonts w:ascii="Courier New" w:cs="Courier New" w:eastAsia="Courier New" w:hAnsi="Courier New"/>
                <w:sz w:val="18"/>
                <w:szCs w:val="18"/>
                <w:color w:val="auto"/>
                <w:w w:val="98"/>
              </w:rPr>
              <w:t>243.51</w:t>
            </w:r>
          </w:p>
        </w:tc>
      </w:tr>
    </w:tbl>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Effective June 13, 1990, one share of Class B Common Stock was issued for each share of Class A Common Stock then outstanding. The Class B Common Stock has rights, privileges, restrictions and qualifications identical to the Class A Common Stock except that shares of Class B Common Stock have no voting rights other than those required by law. As of April 1, 1994, NAI owned 45,547,214 shares or 85.2% of the Class A Common Stock and 45,565,414 shares or 51.7% of the Class B Common Stock. Sumner M. Redstone, the controlling shareholder of NAI, is the Chairman of the Board of Viacom Inc., the Company and Paramount.</w:t>
      </w:r>
    </w:p>
    <w:p>
      <w:pPr>
        <w:spacing w:after="0" w:line="18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performance graph assumes $100 invested on December 31, 1988 in each of the Class A Common Stock, the S&amp;P 500 Index, and the Peer Group*, including reinvestment of dividends, through the fiscal year ended December 31 1993.</w:t>
      </w:r>
    </w:p>
    <w:p>
      <w:pPr>
        <w:spacing w:after="0" w:line="6"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cumulative total shareholder return on the Class B Common Stock assumes the investment in Class B Common Stock as of June 18, 1990 (the first date on which the Class B Common Stock was publicly traded) of an amount equal to the cumulative total shareholder return on the Class A Common Stock as of that date ($176.31).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 ----------</w:t>
      </w:r>
    </w:p>
    <w:p>
      <w:pPr>
        <w:spacing w:after="0" w:line="4" w:lineRule="exact"/>
        <w:rPr>
          <w:sz w:val="20"/>
          <w:szCs w:val="20"/>
          <w:color w:val="auto"/>
        </w:rPr>
      </w:pPr>
    </w:p>
    <w:p>
      <w:pPr>
        <w:ind w:left="320" w:right="1879" w:hanging="312"/>
        <w:spacing w:after="0" w:line="237" w:lineRule="auto"/>
        <w:tabs>
          <w:tab w:leader="none" w:pos="3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Peer Group consists of the following companies: BHC Communications, Inc.; Cablevision Systems Corp.; Capital Cities/ABC, Inc.; CBS Inc.; Comcast Corp.; Gaylord Entertainment Co.; King World Productions Inc.; Liberty Media Corp.; Multimedia, Inc.; Paramount Communications Inc.; Spelling Entertainment Inc.; Tele-Communications, Inc.; The News Corp. Ltd. (ADRs); Time Warner Inc.; and Turner Broadcasting System Inc. As a result of the Paramount Merger and the anticipated Blockbuster Merger, it is likely that the composition of the peer group included in the Performance Graph will be reviewed and adjusted for subsequent years.</w:t>
      </w: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III-17</w:t>
      </w:r>
    </w:p>
    <w:p>
      <w:pPr>
        <w:sectPr>
          <w:pgSz w:w="11900" w:h="16838" w:orient="portrait"/>
          <w:cols w:equalWidth="0" w:num="1">
            <w:col w:w="10219"/>
          </w:cols>
          <w:pgMar w:left="240" w:top="717" w:right="1440" w:bottom="1440" w:gutter="0" w:footer="0" w:header="0"/>
        </w:sectPr>
      </w:pPr>
    </w:p>
    <w:bookmarkStart w:id="142" w:name="page143"/>
    <w:bookmarkEnd w:id="142"/>
    <w:p>
      <w:pPr>
        <w:spacing w:after="0"/>
        <w:rPr>
          <w:sz w:val="20"/>
          <w:szCs w:val="20"/>
          <w:color w:val="auto"/>
        </w:rPr>
      </w:pPr>
      <w:r>
        <w:rPr>
          <w:rFonts w:ascii="Courier New" w:cs="Courier New" w:eastAsia="Courier New" w:hAnsi="Courier New"/>
          <w:sz w:val="18"/>
          <w:szCs w:val="18"/>
          <w:color w:val="auto"/>
        </w:rPr>
        <w:t>Employment Contracts</w:t>
      </w:r>
    </w:p>
    <w:p>
      <w:pPr>
        <w:spacing w:after="0" w:line="238" w:lineRule="auto"/>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It is expected that a new employment contract will be entered into shortly with Mr. Biondi to reflect his new responsibilities as a result of the Paramount Merger as the President, Chief Executive Officer of Viacom Inc. Mr. Biondi's current contract provided that he will be employed as President, Chief Executive Officer of the Company until July 31, 1995 at a base salary</w:t>
      </w:r>
    </w:p>
    <w:p>
      <w:pPr>
        <w:spacing w:after="0" w:line="6"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of $966,000 for the contract year that ended July 31, 1993 and $1,063,000 for the following contract year, with an increase for the succeeding contract year of not less that 10%. His current contract also provided that he would receive guaranteed bonus compensation for the contract year that ended July 31, 1993 of not less than $465,850, with 10% annual increases for the two succeeding contract years. Mr. Biondi's current contract provides that, in the event of a change in control of Viacom Inc. or the Company, he can terminate his contract upon the earlier of one year after the change in control or the last day of the term of his contract and receive his guaranteed bonus compensation for the contract year in which termination occurs pro-rated to the date of termination. The Company's obligations under this contract are guaranteed by Viacom Inc.</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Mr. Braun's contract currently provides that he will be employed as an</w:t>
      </w:r>
    </w:p>
    <w:p>
      <w:pPr>
        <w:spacing w:after="0" w:line="238" w:lineRule="auto"/>
        <w:rPr>
          <w:sz w:val="20"/>
          <w:szCs w:val="20"/>
          <w:color w:val="auto"/>
        </w:rPr>
      </w:pPr>
      <w:r>
        <w:rPr>
          <w:rFonts w:ascii="Courier New" w:cs="Courier New" w:eastAsia="Courier New" w:hAnsi="Courier New"/>
          <w:sz w:val="18"/>
          <w:szCs w:val="18"/>
          <w:color w:val="auto"/>
        </w:rPr>
        <w:t>executive of the Company until December 31, 1995, at a base salary of</w:t>
      </w:r>
    </w:p>
    <w:p>
      <w:pPr>
        <w:spacing w:after="0"/>
        <w:rPr>
          <w:sz w:val="20"/>
          <w:szCs w:val="20"/>
          <w:color w:val="auto"/>
        </w:rPr>
      </w:pPr>
      <w:r>
        <w:rPr>
          <w:rFonts w:ascii="Courier New" w:cs="Courier New" w:eastAsia="Courier New" w:hAnsi="Courier New"/>
          <w:sz w:val="18"/>
          <w:szCs w:val="18"/>
          <w:color w:val="auto"/>
        </w:rPr>
        <w:t>$550,000 for calendar year 1993, with $50,000 annual increases for the two</w:t>
      </w:r>
    </w:p>
    <w:p>
      <w:pPr>
        <w:spacing w:after="0"/>
        <w:tabs>
          <w:tab w:leader="none" w:pos="2940" w:val="left"/>
        </w:tabs>
        <w:rPr>
          <w:sz w:val="20"/>
          <w:szCs w:val="20"/>
          <w:color w:val="auto"/>
        </w:rPr>
      </w:pPr>
      <w:r>
        <w:rPr>
          <w:rFonts w:ascii="Courier New" w:cs="Courier New" w:eastAsia="Courier New" w:hAnsi="Courier New"/>
          <w:sz w:val="18"/>
          <w:szCs w:val="18"/>
          <w:color w:val="auto"/>
        </w:rPr>
        <w:t>succeeding calendar years.</w:t>
      </w:r>
      <w:r>
        <w:rPr>
          <w:sz w:val="20"/>
          <w:szCs w:val="20"/>
          <w:color w:val="auto"/>
        </w:rPr>
        <w:tab/>
      </w:r>
      <w:r>
        <w:rPr>
          <w:rFonts w:ascii="Courier New" w:cs="Courier New" w:eastAsia="Courier New" w:hAnsi="Courier New"/>
          <w:sz w:val="16"/>
          <w:szCs w:val="16"/>
          <w:color w:val="auto"/>
        </w:rPr>
        <w:t>For the 1993, 1994 and 1995 calendar years, his</w:t>
      </w:r>
    </w:p>
    <w:p>
      <w:pPr>
        <w:spacing w:after="0" w:line="238" w:lineRule="auto"/>
        <w:rPr>
          <w:sz w:val="20"/>
          <w:szCs w:val="20"/>
          <w:color w:val="auto"/>
        </w:rPr>
      </w:pPr>
      <w:r>
        <w:rPr>
          <w:rFonts w:ascii="Courier New" w:cs="Courier New" w:eastAsia="Courier New" w:hAnsi="Courier New"/>
          <w:sz w:val="18"/>
          <w:szCs w:val="18"/>
          <w:color w:val="auto"/>
        </w:rPr>
        <w:t>target bonus is set at 75% of his base salary at the end of each year and his</w:t>
      </w:r>
    </w:p>
    <w:p>
      <w:pPr>
        <w:spacing w:after="0"/>
        <w:rPr>
          <w:sz w:val="20"/>
          <w:szCs w:val="20"/>
          <w:color w:val="auto"/>
        </w:rPr>
      </w:pPr>
      <w:r>
        <w:rPr>
          <w:rFonts w:ascii="Courier New" w:cs="Courier New" w:eastAsia="Courier New" w:hAnsi="Courier New"/>
          <w:sz w:val="18"/>
          <w:szCs w:val="18"/>
          <w:color w:val="auto"/>
        </w:rPr>
        <w:t>STIP bonus compensation shall not be less than 50% of his base salary at that</w:t>
      </w:r>
    </w:p>
    <w:p>
      <w:pPr>
        <w:spacing w:after="0" w:line="237" w:lineRule="auto"/>
        <w:rPr>
          <w:sz w:val="20"/>
          <w:szCs w:val="20"/>
          <w:color w:val="auto"/>
        </w:rPr>
      </w:pPr>
      <w:r>
        <w:rPr>
          <w:rFonts w:ascii="Courier New" w:cs="Courier New" w:eastAsia="Courier New" w:hAnsi="Courier New"/>
          <w:sz w:val="18"/>
          <w:szCs w:val="18"/>
          <w:color w:val="auto"/>
        </w:rPr>
        <w:t>time.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Mr. Dauman became Executive Vice President, General Counsel, Chief</w:t>
      </w:r>
    </w:p>
    <w:p>
      <w:pPr>
        <w:spacing w:after="0" w:line="238" w:lineRule="auto"/>
        <w:rPr>
          <w:sz w:val="20"/>
          <w:szCs w:val="20"/>
          <w:color w:val="auto"/>
        </w:rPr>
      </w:pPr>
      <w:r>
        <w:rPr>
          <w:rFonts w:ascii="Courier New" w:cs="Courier New" w:eastAsia="Courier New" w:hAnsi="Courier New"/>
          <w:sz w:val="18"/>
          <w:szCs w:val="18"/>
          <w:color w:val="auto"/>
        </w:rPr>
        <w:t>Administrative Officer and Secretary of Viacom Inc. and the Company on</w:t>
      </w:r>
    </w:p>
    <w:p>
      <w:pPr>
        <w:spacing w:after="0"/>
        <w:tabs>
          <w:tab w:leader="none" w:pos="1780" w:val="left"/>
        </w:tabs>
        <w:rPr>
          <w:sz w:val="20"/>
          <w:szCs w:val="20"/>
          <w:color w:val="auto"/>
        </w:rPr>
      </w:pPr>
      <w:r>
        <w:rPr>
          <w:rFonts w:ascii="Courier New" w:cs="Courier New" w:eastAsia="Courier New" w:hAnsi="Courier New"/>
          <w:sz w:val="18"/>
          <w:szCs w:val="18"/>
          <w:color w:val="auto"/>
        </w:rPr>
        <w:t>March 15, 1994.</w:t>
      </w:r>
      <w:r>
        <w:rPr>
          <w:sz w:val="20"/>
          <w:szCs w:val="20"/>
          <w:color w:val="auto"/>
        </w:rPr>
        <w:tab/>
      </w:r>
      <w:r>
        <w:rPr>
          <w:rFonts w:ascii="Courier New" w:cs="Courier New" w:eastAsia="Courier New" w:hAnsi="Courier New"/>
          <w:sz w:val="16"/>
          <w:szCs w:val="16"/>
          <w:color w:val="auto"/>
        </w:rPr>
        <w:t>Previously, he had served as Senior Vice President, General</w:t>
      </w:r>
    </w:p>
    <w:p>
      <w:pPr>
        <w:spacing w:after="0" w:line="237" w:lineRule="auto"/>
        <w:rPr>
          <w:sz w:val="20"/>
          <w:szCs w:val="20"/>
          <w:color w:val="auto"/>
        </w:rPr>
      </w:pPr>
      <w:r>
        <w:rPr>
          <w:rFonts w:ascii="Courier New" w:cs="Courier New" w:eastAsia="Courier New" w:hAnsi="Courier New"/>
          <w:sz w:val="18"/>
          <w:szCs w:val="18"/>
          <w:color w:val="auto"/>
        </w:rPr>
        <w:t>Counsel and Secretary of Viacom Inc. and the Company since February 1,</w:t>
      </w:r>
    </w:p>
    <w:p>
      <w:pPr>
        <w:spacing w:after="0" w:line="5"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1993. It is expected that his employment contract will be amended shortly to reflect his new responsibilities. Mr. Dauman's contract currently provides that he will be employed as an executive of the Company until January</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31, 1998, at a salary of $600,000 for the contract year ending January 31, 1994, with annual increases of not less than 10%. Currently, for the 1993 through 1997 calendar years, his target bonus is set at 100% of his base salary at the end of each year and his STIP bonus compensation shall not be less than 75% of his base salary at that time.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Mr. Goddard's contract provides that he will be employed as an executive</w:t>
      </w:r>
    </w:p>
    <w:p>
      <w:pPr>
        <w:spacing w:after="0" w:line="238" w:lineRule="auto"/>
        <w:rPr>
          <w:sz w:val="20"/>
          <w:szCs w:val="20"/>
          <w:color w:val="auto"/>
        </w:rPr>
      </w:pPr>
      <w:r>
        <w:rPr>
          <w:rFonts w:ascii="Courier New" w:cs="Courier New" w:eastAsia="Courier New" w:hAnsi="Courier New"/>
          <w:sz w:val="18"/>
          <w:szCs w:val="18"/>
          <w:color w:val="auto"/>
        </w:rPr>
        <w:t>of the Company until December 31, 1994 at an annual base salary of</w:t>
      </w:r>
    </w:p>
    <w:p>
      <w:pPr>
        <w:spacing w:after="0"/>
        <w:rPr>
          <w:sz w:val="20"/>
          <w:szCs w:val="20"/>
          <w:color w:val="auto"/>
        </w:rPr>
      </w:pPr>
      <w:r>
        <w:rPr>
          <w:rFonts w:ascii="Courier New" w:cs="Courier New" w:eastAsia="Courier New" w:hAnsi="Courier New"/>
          <w:sz w:val="18"/>
          <w:szCs w:val="18"/>
          <w:color w:val="auto"/>
        </w:rPr>
        <w:t>$560,000 for the 1993 calendar year and $610,000 for the 1994 calendar year.</w:t>
      </w:r>
    </w:p>
    <w:p>
      <w:pPr>
        <w:spacing w:after="0" w:line="237" w:lineRule="auto"/>
        <w:rPr>
          <w:sz w:val="20"/>
          <w:szCs w:val="20"/>
          <w:color w:val="auto"/>
        </w:rPr>
      </w:pPr>
      <w:r>
        <w:rPr>
          <w:rFonts w:ascii="Courier New" w:cs="Courier New" w:eastAsia="Courier New" w:hAnsi="Courier New"/>
          <w:sz w:val="18"/>
          <w:szCs w:val="18"/>
          <w:color w:val="auto"/>
        </w:rPr>
        <w:t>Mr. Goddard's contract provides that his target bonus for each calendar year</w:t>
      </w:r>
    </w:p>
    <w:p>
      <w:pPr>
        <w:spacing w:after="0" w:line="238" w:lineRule="auto"/>
        <w:rPr>
          <w:sz w:val="20"/>
          <w:szCs w:val="20"/>
          <w:color w:val="auto"/>
        </w:rPr>
      </w:pPr>
      <w:r>
        <w:rPr>
          <w:rFonts w:ascii="Courier New" w:cs="Courier New" w:eastAsia="Courier New" w:hAnsi="Courier New"/>
          <w:sz w:val="18"/>
          <w:szCs w:val="18"/>
          <w:color w:val="auto"/>
        </w:rPr>
        <w:t>shall be 100% of his base salary at the end of each year.</w:t>
      </w:r>
    </w:p>
    <w:p>
      <w:pPr>
        <w:spacing w:after="0" w:line="208"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Mr. Weinstein became Senior Vice President, Government Affairs of Viacom Inc. and the Company on February 1, 1993. His contract was amended in 1993 to reflect his new responsibilities. As amended, his contract provides that he will be employed as an executive of the Company until December 31,</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1997, at a salary of $500,000 for the contract year that began February 1, 1993, with $50,000 annual increases on each February 1st during the employment term. For calendar years 1993 through 1997, his target bonus is set at 75% of his base salary at the end of each year and his STIP bonus compensation shall not be less than 56.25% of his base salary at that time.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Compensation</w:t>
      </w:r>
    </w:p>
    <w:p>
      <w:pPr>
        <w:spacing w:after="0" w:line="238" w:lineRule="auto"/>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Directors of Viacom Inc. and the Company who are not officers or employees of Viacom Inc., the Company or NAI or members of their immediate family ("Outside Directors") are entitled to receive the directors' fees and are eligible to participate in the Company's retirement plans</w:t>
      </w:r>
    </w:p>
    <w:p>
      <w:pPr>
        <w:spacing w:after="0" w:line="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described below. Messrs. Abrams, Miller and Schwartz were Outside Directors for the entire 1993 calendar year. Mr. Dauman was an Outside Director until January 31, 1993. Messrs. Huizenga, Ferguson and Salerno became Outside Directors on October 22, 1993, November 20, 1993 and January 27, 1994, respectively. In 1993, only Outside Directors received any compensation for services as a director.</w:t>
      </w:r>
    </w:p>
    <w:p>
      <w:pPr>
        <w:spacing w:after="0" w:line="200" w:lineRule="exact"/>
        <w:rPr>
          <w:sz w:val="20"/>
          <w:szCs w:val="20"/>
          <w:color w:val="auto"/>
        </w:rPr>
      </w:pP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III-18</w:t>
      </w:r>
    </w:p>
    <w:p>
      <w:pPr>
        <w:sectPr>
          <w:pgSz w:w="11900" w:h="16838" w:orient="portrait"/>
          <w:cols w:equalWidth="0" w:num="1">
            <w:col w:w="10219"/>
          </w:cols>
          <w:pgMar w:left="240" w:top="717" w:right="1440" w:bottom="767" w:gutter="0" w:footer="0" w:header="0"/>
        </w:sectPr>
      </w:pPr>
    </w:p>
    <w:bookmarkStart w:id="143" w:name="page144"/>
    <w:bookmarkEnd w:id="143"/>
    <w:p>
      <w:pPr>
        <w:ind w:left="540"/>
        <w:spacing w:after="0"/>
        <w:tabs>
          <w:tab w:leader="none" w:pos="2420" w:val="left"/>
        </w:tabs>
        <w:rPr>
          <w:sz w:val="20"/>
          <w:szCs w:val="20"/>
          <w:color w:val="auto"/>
        </w:rPr>
      </w:pPr>
      <w:r>
        <w:rPr>
          <w:rFonts w:ascii="Courier New" w:cs="Courier New" w:eastAsia="Courier New" w:hAnsi="Courier New"/>
          <w:sz w:val="18"/>
          <w:szCs w:val="18"/>
          <w:color w:val="auto"/>
        </w:rPr>
        <w:t>Directors' Fees.</w:t>
      </w:r>
      <w:r>
        <w:rPr>
          <w:sz w:val="20"/>
          <w:szCs w:val="20"/>
          <w:color w:val="auto"/>
        </w:rPr>
        <w:tab/>
      </w:r>
      <w:r>
        <w:rPr>
          <w:rFonts w:ascii="Courier New" w:cs="Courier New" w:eastAsia="Courier New" w:hAnsi="Courier New"/>
          <w:sz w:val="16"/>
          <w:szCs w:val="16"/>
          <w:color w:val="auto"/>
        </w:rPr>
        <w:t>Outside Directors received the following fees for the</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first quarter of 1993: (i) a combined quarterly fee of $6,000 for membership on the Boards of Directors of Viacom Inc. and the Company, and (ii) a per meeting attendance fee of $1,000 for each Board meeting, $500 for each Audit Committee meeting and $500 for each Compensation Committee meeting (except that only one Board attendance fee is payable when both Boards meet on the same day and only one Audit Committee or Compensation Committee attendance fee is payable when the corresponding committees of both Boards meet on the same day). Effective April 1, 1993, the fees for Outside Directors were increased as follows: (i) a combined quarterly fee of $7,500 for membership on both Boards,</w:t>
      </w:r>
    </w:p>
    <w:p>
      <w:pPr>
        <w:spacing w:after="0" w:line="2" w:lineRule="exact"/>
        <w:rPr>
          <w:sz w:val="20"/>
          <w:szCs w:val="20"/>
          <w:color w:val="auto"/>
        </w:rPr>
      </w:pPr>
    </w:p>
    <w:p>
      <w:pPr>
        <w:ind w:right="1999" w:firstLine="8"/>
        <w:spacing w:after="0" w:line="237" w:lineRule="auto"/>
        <w:tabs>
          <w:tab w:leader="none" w:pos="527"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 meeting attendance fee of $1,500 for each Board meeting (the $500 per meeting attendance fee for each Audit or Compensation Committee remained unchanged), and (iii) a $7,500 annual retainer fee for the Chairman of the Audit Committee (currently Mr. Abrams). Compensation for Messrs. Huizenga and Ferguson's services as Outside Directors for 1993 was paid to Blockbuster and NYNEX, respectively.</w:t>
      </w:r>
    </w:p>
    <w:p>
      <w:pPr>
        <w:spacing w:after="0" w:line="204" w:lineRule="exact"/>
        <w:rPr>
          <w:sz w:val="20"/>
          <w:szCs w:val="20"/>
          <w:color w:val="auto"/>
        </w:rPr>
      </w:pPr>
    </w:p>
    <w:p>
      <w:pPr>
        <w:ind w:left="540"/>
        <w:spacing w:after="0"/>
        <w:tabs>
          <w:tab w:leader="none" w:pos="3560" w:val="left"/>
        </w:tabs>
        <w:rPr>
          <w:sz w:val="20"/>
          <w:szCs w:val="20"/>
          <w:color w:val="auto"/>
        </w:rPr>
      </w:pPr>
      <w:r>
        <w:rPr>
          <w:rFonts w:ascii="Courier New" w:cs="Courier New" w:eastAsia="Courier New" w:hAnsi="Courier New"/>
          <w:sz w:val="18"/>
          <w:szCs w:val="18"/>
          <w:color w:val="auto"/>
        </w:rPr>
        <w:t>Deferred Compensation Plan.</w:t>
      </w:r>
      <w:r>
        <w:rPr>
          <w:sz w:val="20"/>
          <w:szCs w:val="20"/>
          <w:color w:val="auto"/>
        </w:rPr>
        <w:tab/>
      </w:r>
      <w:r>
        <w:rPr>
          <w:rFonts w:ascii="Courier New" w:cs="Courier New" w:eastAsia="Courier New" w:hAnsi="Courier New"/>
          <w:sz w:val="16"/>
          <w:szCs w:val="16"/>
          <w:color w:val="auto"/>
        </w:rPr>
        <w:t>In 1989, the Company established an</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unfunded Deferred Compensation Plan permitting participating Outside Directors to defer payment of all of their membership and attendance fees. A participant can elect to have deferred fees credited to an account which shall either accrue interest or be deemed invested in a number of stock units equal to the number of shares of Viacom Inc. Common Stock the amount of such fees would have purchased at such time. Since 1989, Messrs. Abrams, Miller and Schwartz have elected to have their fees credited to their stock unit accounts. The Plan permits participants to elect to have amounts credited to a participant's account paid in a lump sum or in three or five annual installments seven months after the director's retirement, with the value of the stock units determined by reference to the fair market values of the Class A Common Stock and Class B Common Stock at that time and, if the participant had elected installment payments, credited with interest until payment had been made in full. For 1993, the stock unit accounts of Messrs. Abrams, Miller and Schwartz were credited with 607, 516 and 499 Class A Common Stock units, respectively, and 648, 552 and 534 Class B Common Stock units, respectively.</w:t>
      </w:r>
    </w:p>
    <w:p>
      <w:pPr>
        <w:spacing w:after="0" w:line="391" w:lineRule="exact"/>
        <w:rPr>
          <w:sz w:val="20"/>
          <w:szCs w:val="20"/>
          <w:color w:val="auto"/>
        </w:rPr>
      </w:pPr>
    </w:p>
    <w:p>
      <w:pPr>
        <w:ind w:left="540"/>
        <w:spacing w:after="0"/>
        <w:tabs>
          <w:tab w:leader="none" w:pos="3140" w:val="left"/>
        </w:tabs>
        <w:rPr>
          <w:sz w:val="20"/>
          <w:szCs w:val="20"/>
          <w:color w:val="auto"/>
        </w:rPr>
      </w:pPr>
      <w:r>
        <w:rPr>
          <w:rFonts w:ascii="Courier New" w:cs="Courier New" w:eastAsia="Courier New" w:hAnsi="Courier New"/>
          <w:sz w:val="18"/>
          <w:szCs w:val="18"/>
          <w:color w:val="auto"/>
        </w:rPr>
        <w:t>Retirement Income Plan.</w:t>
      </w:r>
      <w:r>
        <w:rPr>
          <w:sz w:val="20"/>
          <w:szCs w:val="20"/>
          <w:color w:val="auto"/>
        </w:rPr>
        <w:tab/>
      </w:r>
      <w:r>
        <w:rPr>
          <w:rFonts w:ascii="Courier New" w:cs="Courier New" w:eastAsia="Courier New" w:hAnsi="Courier New"/>
          <w:sz w:val="16"/>
          <w:szCs w:val="16"/>
          <w:color w:val="auto"/>
        </w:rPr>
        <w:t>In 1989, the Company established an unfunded,</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non-qualified Retirement Income Plan pursuant to which each Outside Director will receive annual payments commencing on such director's retirement equal to l00% of the amount of the annual Board membership fees at the time of such retirement, provided he has served on the Boards of both companies for at least three years. The Plan provides that the director or his estate will receive such annual payments for the number of years of such director's service on the Boards (with current Outside Directors receiving credit for their years of service on the Boards of Viacom Inc. and the Company prior to 1989).</w:t>
      </w:r>
    </w:p>
    <w:p>
      <w:pPr>
        <w:spacing w:after="0" w:line="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Mr. Dauman, who ceased to be an Outside Director in February 1993, will receive payments under this Plan for the period that he was an Outside Director when he retires from the Board.</w:t>
      </w:r>
    </w:p>
    <w:p>
      <w:pPr>
        <w:spacing w:after="0" w:line="203" w:lineRule="exact"/>
        <w:rPr>
          <w:sz w:val="20"/>
          <w:szCs w:val="20"/>
          <w:color w:val="auto"/>
        </w:rPr>
      </w:pPr>
    </w:p>
    <w:p>
      <w:pPr>
        <w:ind w:left="540"/>
        <w:spacing w:after="0"/>
        <w:tabs>
          <w:tab w:leader="none" w:pos="4620" w:val="left"/>
        </w:tabs>
        <w:rPr>
          <w:sz w:val="20"/>
          <w:szCs w:val="20"/>
          <w:color w:val="auto"/>
        </w:rPr>
      </w:pPr>
      <w:r>
        <w:rPr>
          <w:rFonts w:ascii="Courier New" w:cs="Courier New" w:eastAsia="Courier New" w:hAnsi="Courier New"/>
          <w:sz w:val="18"/>
          <w:szCs w:val="18"/>
          <w:color w:val="auto"/>
        </w:rPr>
        <w:t>Outside Directors' Stock Option Plan.</w:t>
      </w:r>
      <w:r>
        <w:rPr>
          <w:sz w:val="20"/>
          <w:szCs w:val="20"/>
          <w:color w:val="auto"/>
        </w:rPr>
        <w:tab/>
      </w:r>
      <w:r>
        <w:rPr>
          <w:rFonts w:ascii="Courier New" w:cs="Courier New" w:eastAsia="Courier New" w:hAnsi="Courier New"/>
          <w:sz w:val="16"/>
          <w:szCs w:val="16"/>
          <w:color w:val="auto"/>
        </w:rPr>
        <w:t>In 1993, the Viacom Board of</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Directors (with Outside Directors Messrs. Abrams, Miller and Schwartz abstaining) adopted the Outside Directors' Plan, subject to the approval of such Plan by the shareholders of Viacom Inc. at the 1994 annual meeting of shareholders.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38" w:lineRule="auto"/>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Messrs. Abrams, Miller, Sumner Redstone, Brent Redstone and Schwartz were members of the Compensation Committee for the entire 1993 calendar year. Mr. Dauman resigned from the Compensation Committee when he became Senior Vice President, General Counsel and Secretary of Viacom Inc. and the Company on February 1, 1993. Prior to that, he was a partner with the law firm of Shearman &amp; Sterling. Messrs. Huizenga, Ferguson and Salerno became members of the Compensation Committee when they joined the Boards of Directors of Viacom Inc. and the Company on October 22, 1993, November 20, 1993 and January 27, 1994, respectively. Messrs. Korff and Magner resigned from the Compensation Committee on March 15, 1994 when they resigned from the Boards of Directors of Viacom Inc. and the Company and Mr. Korff resigned from his position as a Viacom Inc. Senior Vice President. Mr. Korff's position as an officer had been purely nominal since he did not have any responsibilities or authority as a Viacom Inc. officer and had never received any compensation for such office since Viacom Inc. was formed. Mr. Korff had never been eligible to participate in any of Viacom Inc.'s benefit and incentive plans, including, without limitation, the plans administered by the Compensation Committee.</w:t>
      </w:r>
    </w:p>
    <w:p>
      <w:pPr>
        <w:sectPr>
          <w:pgSz w:w="11900" w:h="16838" w:orient="portrait"/>
          <w:cols w:equalWidth="0" w:num="1">
            <w:col w:w="10219"/>
          </w:cols>
          <w:pgMar w:left="240" w:top="717" w:right="1440" w:bottom="0" w:gutter="0" w:footer="0" w:header="0"/>
        </w:sectPr>
      </w:pPr>
    </w:p>
    <w:bookmarkStart w:id="144" w:name="page145"/>
    <w:bookmarkEnd w:id="144"/>
    <w:p>
      <w:pPr>
        <w:ind w:left="2180"/>
        <w:spacing w:after="0"/>
        <w:rPr>
          <w:sz w:val="20"/>
          <w:szCs w:val="20"/>
          <w:color w:val="auto"/>
        </w:rPr>
      </w:pPr>
      <w:r>
        <w:rPr>
          <w:rFonts w:ascii="Courier New" w:cs="Courier New" w:eastAsia="Courier New" w:hAnsi="Courier New"/>
          <w:sz w:val="16"/>
          <w:szCs w:val="16"/>
          <w:color w:val="auto"/>
        </w:rPr>
        <w:t>III-19</w:t>
      </w:r>
    </w:p>
    <w:p>
      <w:pPr>
        <w:sectPr>
          <w:pgSz w:w="11900" w:h="16838" w:orient="portrait"/>
          <w:cols w:equalWidth="0" w:num="1">
            <w:col w:w="9019"/>
          </w:cols>
          <w:pgMar w:left="1440" w:top="344" w:right="1440" w:bottom="1440" w:gutter="0" w:footer="0" w:header="0"/>
        </w:sectPr>
      </w:pPr>
    </w:p>
    <w:bookmarkStart w:id="145" w:name="page146"/>
    <w:bookmarkEnd w:id="145"/>
    <w:p>
      <w:pPr>
        <w:spacing w:after="0"/>
        <w:tabs>
          <w:tab w:leader="none" w:pos="10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Security Ownership of Certain Beneficial Owners and Management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set forth below, as of April 1, 1994, is certain information concerning beneficial ownership of Viacom Inc. Common Stock by (i) each director of Viacom Inc., (ii) each of the named executive officers, (iii) all executive directors and officers of Viacom Inc. as a group, and (iv) holders of 5% or more of the outstanding Viacom Inc. Common Stock. The following table excludes shares of Class B Common Stock issuable upon conversion of the Viacom Preferred Stock (defined below).</w:t>
      </w:r>
    </w:p>
    <w:p>
      <w:pPr>
        <w:spacing w:after="0" w:line="200" w:lineRule="exact"/>
        <w:rPr>
          <w:sz w:val="20"/>
          <w:szCs w:val="20"/>
          <w:color w:val="auto"/>
        </w:rPr>
      </w:pPr>
    </w:p>
    <w:p>
      <w:pPr>
        <w:spacing w:after="0" w:line="208"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Shares of Viacom Inc. Common Stock Beneficially Owned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17"/>
                <w:szCs w:val="17"/>
                <w:color w:val="auto"/>
              </w:rPr>
            </w:pPr>
          </w:p>
        </w:tc>
        <w:tc>
          <w:tcPr>
            <w:tcW w:w="1580" w:type="dxa"/>
            <w:vAlign w:val="bottom"/>
          </w:tcPr>
          <w:p>
            <w:pPr>
              <w:ind w:left="220"/>
              <w:spacing w:after="0"/>
              <w:rPr>
                <w:sz w:val="20"/>
                <w:szCs w:val="20"/>
                <w:color w:val="auto"/>
              </w:rPr>
            </w:pPr>
            <w:r>
              <w:rPr>
                <w:rFonts w:ascii="Courier New" w:cs="Courier New" w:eastAsia="Courier New" w:hAnsi="Courier New"/>
                <w:sz w:val="18"/>
                <w:szCs w:val="18"/>
                <w:color w:val="auto"/>
              </w:rPr>
              <w:t>Title of</w:t>
            </w:r>
          </w:p>
        </w:tc>
        <w:tc>
          <w:tcPr>
            <w:tcW w:w="1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Class of</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Number of</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Option</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Percent</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of Shares</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Shares(1)</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of Class</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 - ----</w:t>
            </w:r>
          </w:p>
        </w:tc>
        <w:tc>
          <w:tcPr>
            <w:tcW w:w="5900" w:type="dxa"/>
            <w:vAlign w:val="bottom"/>
            <w:gridSpan w:val="4"/>
          </w:tcPr>
          <w:p>
            <w:pPr>
              <w:ind w:left="640"/>
              <w:spacing w:after="0" w:line="203" w:lineRule="exact"/>
              <w:rPr>
                <w:sz w:val="20"/>
                <w:szCs w:val="20"/>
                <w:color w:val="auto"/>
              </w:rPr>
            </w:pPr>
            <w:r>
              <w:rPr>
                <w:rFonts w:ascii="Courier New" w:cs="Courier New" w:eastAsia="Courier New" w:hAnsi="Courier New"/>
                <w:sz w:val="18"/>
                <w:szCs w:val="18"/>
                <w:color w:val="auto"/>
                <w:w w:val="97"/>
              </w:rPr>
              <w:t>------------   -------------  ---------   --------</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George S. Abrams</w:t>
            </w:r>
          </w:p>
        </w:tc>
        <w:tc>
          <w:tcPr>
            <w:tcW w:w="1580" w:type="dxa"/>
            <w:vAlign w:val="bottom"/>
          </w:tcPr>
          <w:p>
            <w:pPr>
              <w:ind w:left="220"/>
              <w:spacing w:after="0"/>
              <w:rPr>
                <w:sz w:val="20"/>
                <w:szCs w:val="20"/>
                <w:color w:val="auto"/>
              </w:rPr>
            </w:pPr>
            <w:r>
              <w:rPr>
                <w:rFonts w:ascii="Courier New" w:cs="Courier New" w:eastAsia="Courier New" w:hAnsi="Courier New"/>
                <w:sz w:val="18"/>
                <w:szCs w:val="18"/>
                <w:color w:val="auto"/>
              </w:rPr>
              <w:t>Class A</w:t>
            </w:r>
          </w:p>
        </w:tc>
        <w:tc>
          <w:tcPr>
            <w:tcW w:w="1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w:t>
            </w:r>
          </w:p>
        </w:tc>
        <w:tc>
          <w:tcPr>
            <w:tcW w:w="110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spacing w:after="0"/>
              <w:rPr>
                <w:sz w:val="17"/>
                <w:szCs w:val="17"/>
                <w:color w:val="auto"/>
              </w:rPr>
            </w:pPr>
          </w:p>
        </w:tc>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Class B</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200(2)</w:t>
            </w:r>
          </w:p>
        </w:tc>
        <w:tc>
          <w:tcPr>
            <w:tcW w:w="11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Frank J. Biondi, Jr.</w:t>
            </w:r>
          </w:p>
        </w:tc>
        <w:tc>
          <w:tcPr>
            <w:tcW w:w="1580" w:type="dxa"/>
            <w:vAlign w:val="bottom"/>
          </w:tcPr>
          <w:p>
            <w:pPr>
              <w:ind w:left="220"/>
              <w:spacing w:after="0"/>
              <w:rPr>
                <w:sz w:val="20"/>
                <w:szCs w:val="20"/>
                <w:color w:val="auto"/>
              </w:rPr>
            </w:pPr>
            <w:r>
              <w:rPr>
                <w:rFonts w:ascii="Courier New" w:cs="Courier New" w:eastAsia="Courier New" w:hAnsi="Courier New"/>
                <w:sz w:val="18"/>
                <w:szCs w:val="18"/>
                <w:color w:val="auto"/>
              </w:rPr>
              <w:t>Class A</w:t>
            </w:r>
          </w:p>
        </w:tc>
        <w:tc>
          <w:tcPr>
            <w:tcW w:w="1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415(3)</w:t>
            </w:r>
          </w:p>
        </w:tc>
        <w:tc>
          <w:tcPr>
            <w:tcW w:w="1100" w:type="dxa"/>
            <w:vAlign w:val="bottom"/>
          </w:tcPr>
          <w:p>
            <w:pPr>
              <w:ind w:left="320"/>
              <w:spacing w:after="0"/>
              <w:rPr>
                <w:sz w:val="20"/>
                <w:szCs w:val="20"/>
                <w:color w:val="auto"/>
              </w:rPr>
            </w:pPr>
            <w:r>
              <w:rPr>
                <w:rFonts w:ascii="Courier New" w:cs="Courier New" w:eastAsia="Courier New" w:hAnsi="Courier New"/>
                <w:sz w:val="18"/>
                <w:szCs w:val="18"/>
                <w:color w:val="auto"/>
              </w:rPr>
              <w:t>24,000</w:t>
            </w:r>
          </w:p>
        </w:tc>
        <w:tc>
          <w:tcPr>
            <w:tcW w:w="14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(6)</w:t>
            </w:r>
          </w:p>
        </w:tc>
      </w:tr>
      <w:tr>
        <w:trPr>
          <w:trHeight w:val="203"/>
        </w:trPr>
        <w:tc>
          <w:tcPr>
            <w:tcW w:w="2320" w:type="dxa"/>
            <w:vAlign w:val="bottom"/>
          </w:tcPr>
          <w:p>
            <w:pPr>
              <w:spacing w:after="0"/>
              <w:rPr>
                <w:sz w:val="17"/>
                <w:szCs w:val="17"/>
                <w:color w:val="auto"/>
              </w:rPr>
            </w:pPr>
          </w:p>
        </w:tc>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Class B</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178,318(3)(4)</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114,000</w:t>
            </w:r>
          </w:p>
        </w:tc>
        <w:tc>
          <w:tcPr>
            <w:tcW w:w="1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Neil S. Braun</w:t>
            </w:r>
          </w:p>
        </w:tc>
        <w:tc>
          <w:tcPr>
            <w:tcW w:w="1580" w:type="dxa"/>
            <w:vAlign w:val="bottom"/>
          </w:tcPr>
          <w:p>
            <w:pPr>
              <w:ind w:left="220"/>
              <w:spacing w:after="0"/>
              <w:rPr>
                <w:sz w:val="20"/>
                <w:szCs w:val="20"/>
                <w:color w:val="auto"/>
              </w:rPr>
            </w:pPr>
            <w:r>
              <w:rPr>
                <w:rFonts w:ascii="Courier New" w:cs="Courier New" w:eastAsia="Courier New" w:hAnsi="Courier New"/>
                <w:sz w:val="18"/>
                <w:szCs w:val="18"/>
                <w:color w:val="auto"/>
              </w:rPr>
              <w:t>Class A</w:t>
            </w:r>
          </w:p>
        </w:tc>
        <w:tc>
          <w:tcPr>
            <w:tcW w:w="1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232(3)</w:t>
            </w:r>
          </w:p>
        </w:tc>
        <w:tc>
          <w:tcPr>
            <w:tcW w:w="1100" w:type="dxa"/>
            <w:vAlign w:val="bottom"/>
          </w:tcPr>
          <w:p>
            <w:pPr>
              <w:ind w:left="320"/>
              <w:spacing w:after="0"/>
              <w:rPr>
                <w:sz w:val="20"/>
                <w:szCs w:val="20"/>
                <w:color w:val="auto"/>
              </w:rPr>
            </w:pPr>
            <w:r>
              <w:rPr>
                <w:rFonts w:ascii="Courier New" w:cs="Courier New" w:eastAsia="Courier New" w:hAnsi="Courier New"/>
                <w:sz w:val="18"/>
                <w:szCs w:val="18"/>
                <w:color w:val="auto"/>
              </w:rPr>
              <w:t>10,000</w:t>
            </w:r>
          </w:p>
        </w:tc>
        <w:tc>
          <w:tcPr>
            <w:tcW w:w="14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(6)</w:t>
            </w:r>
          </w:p>
        </w:tc>
      </w:tr>
      <w:tr>
        <w:trPr>
          <w:trHeight w:val="203"/>
        </w:trPr>
        <w:tc>
          <w:tcPr>
            <w:tcW w:w="2320" w:type="dxa"/>
            <w:vAlign w:val="bottom"/>
          </w:tcPr>
          <w:p>
            <w:pPr>
              <w:spacing w:after="0"/>
              <w:rPr>
                <w:sz w:val="17"/>
                <w:szCs w:val="17"/>
                <w:color w:val="auto"/>
              </w:rPr>
            </w:pPr>
          </w:p>
        </w:tc>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Class B</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236(3)</w:t>
            </w:r>
          </w:p>
        </w:tc>
        <w:tc>
          <w:tcPr>
            <w:tcW w:w="11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46,000</w:t>
            </w:r>
          </w:p>
        </w:tc>
        <w:tc>
          <w:tcPr>
            <w:tcW w:w="1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Philippe P. Dauman</w:t>
            </w:r>
          </w:p>
        </w:tc>
        <w:tc>
          <w:tcPr>
            <w:tcW w:w="1580" w:type="dxa"/>
            <w:vAlign w:val="bottom"/>
          </w:tcPr>
          <w:p>
            <w:pPr>
              <w:ind w:left="220"/>
              <w:spacing w:after="0"/>
              <w:rPr>
                <w:sz w:val="20"/>
                <w:szCs w:val="20"/>
                <w:color w:val="auto"/>
              </w:rPr>
            </w:pPr>
            <w:r>
              <w:rPr>
                <w:rFonts w:ascii="Courier New" w:cs="Courier New" w:eastAsia="Courier New" w:hAnsi="Courier New"/>
                <w:sz w:val="18"/>
                <w:szCs w:val="18"/>
                <w:color w:val="auto"/>
              </w:rPr>
              <w:t>Class A</w:t>
            </w:r>
          </w:p>
        </w:tc>
        <w:tc>
          <w:tcPr>
            <w:tcW w:w="18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1,000</w:t>
            </w:r>
          </w:p>
        </w:tc>
        <w:tc>
          <w:tcPr>
            <w:tcW w:w="110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(6)</w:t>
            </w:r>
          </w:p>
        </w:tc>
      </w:tr>
      <w:tr>
        <w:trPr>
          <w:trHeight w:val="203"/>
        </w:trPr>
        <w:tc>
          <w:tcPr>
            <w:tcW w:w="2320" w:type="dxa"/>
            <w:vAlign w:val="bottom"/>
          </w:tcPr>
          <w:p>
            <w:pPr>
              <w:spacing w:after="0"/>
              <w:rPr>
                <w:sz w:val="17"/>
                <w:szCs w:val="17"/>
                <w:color w:val="auto"/>
              </w:rPr>
            </w:pPr>
          </w:p>
        </w:tc>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Class B</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8,300</w:t>
            </w:r>
          </w:p>
        </w:tc>
        <w:tc>
          <w:tcPr>
            <w:tcW w:w="11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William C. Ferguson</w:t>
            </w:r>
          </w:p>
        </w:tc>
        <w:tc>
          <w:tcPr>
            <w:tcW w:w="1580" w:type="dxa"/>
            <w:vAlign w:val="bottom"/>
          </w:tcPr>
          <w:p>
            <w:pPr>
              <w:ind w:left="640"/>
              <w:spacing w:after="0"/>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John W. Goddard</w:t>
            </w:r>
          </w:p>
        </w:tc>
        <w:tc>
          <w:tcPr>
            <w:tcW w:w="1580" w:type="dxa"/>
            <w:vAlign w:val="bottom"/>
          </w:tcPr>
          <w:p>
            <w:pPr>
              <w:ind w:left="220"/>
              <w:spacing w:after="0"/>
              <w:rPr>
                <w:sz w:val="20"/>
                <w:szCs w:val="20"/>
                <w:color w:val="auto"/>
              </w:rPr>
            </w:pPr>
            <w:r>
              <w:rPr>
                <w:rFonts w:ascii="Courier New" w:cs="Courier New" w:eastAsia="Courier New" w:hAnsi="Courier New"/>
                <w:sz w:val="18"/>
                <w:szCs w:val="18"/>
                <w:color w:val="auto"/>
              </w:rPr>
              <w:t>Class A</w:t>
            </w:r>
          </w:p>
        </w:tc>
        <w:tc>
          <w:tcPr>
            <w:tcW w:w="1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4,371(3)</w:t>
            </w:r>
          </w:p>
        </w:tc>
        <w:tc>
          <w:tcPr>
            <w:tcW w:w="1100" w:type="dxa"/>
            <w:vAlign w:val="bottom"/>
          </w:tcPr>
          <w:p>
            <w:pPr>
              <w:ind w:left="320"/>
              <w:spacing w:after="0"/>
              <w:rPr>
                <w:sz w:val="20"/>
                <w:szCs w:val="20"/>
                <w:color w:val="auto"/>
              </w:rPr>
            </w:pPr>
            <w:r>
              <w:rPr>
                <w:rFonts w:ascii="Courier New" w:cs="Courier New" w:eastAsia="Courier New" w:hAnsi="Courier New"/>
                <w:sz w:val="18"/>
                <w:szCs w:val="18"/>
                <w:color w:val="auto"/>
              </w:rPr>
              <w:t>15,000</w:t>
            </w:r>
          </w:p>
        </w:tc>
        <w:tc>
          <w:tcPr>
            <w:tcW w:w="14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(6)</w:t>
            </w:r>
          </w:p>
        </w:tc>
      </w:tr>
      <w:tr>
        <w:trPr>
          <w:trHeight w:val="203"/>
        </w:trPr>
        <w:tc>
          <w:tcPr>
            <w:tcW w:w="2320" w:type="dxa"/>
            <w:vAlign w:val="bottom"/>
          </w:tcPr>
          <w:p>
            <w:pPr>
              <w:spacing w:after="0"/>
              <w:rPr>
                <w:sz w:val="17"/>
                <w:szCs w:val="17"/>
                <w:color w:val="auto"/>
              </w:rPr>
            </w:pPr>
          </w:p>
        </w:tc>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Class B</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4,377(3)</w:t>
            </w:r>
          </w:p>
        </w:tc>
        <w:tc>
          <w:tcPr>
            <w:tcW w:w="11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69,000</w:t>
            </w:r>
          </w:p>
        </w:tc>
        <w:tc>
          <w:tcPr>
            <w:tcW w:w="1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H. Wayne Huizenga</w:t>
            </w:r>
          </w:p>
        </w:tc>
        <w:tc>
          <w:tcPr>
            <w:tcW w:w="1580" w:type="dxa"/>
            <w:vAlign w:val="bottom"/>
          </w:tcPr>
          <w:p>
            <w:pPr>
              <w:ind w:left="640"/>
              <w:spacing w:after="0"/>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Ken Miller</w:t>
            </w:r>
          </w:p>
        </w:tc>
        <w:tc>
          <w:tcPr>
            <w:tcW w:w="1580" w:type="dxa"/>
            <w:vAlign w:val="bottom"/>
          </w:tcPr>
          <w:p>
            <w:pPr>
              <w:ind w:left="220"/>
              <w:spacing w:after="0"/>
              <w:rPr>
                <w:sz w:val="20"/>
                <w:szCs w:val="20"/>
                <w:color w:val="auto"/>
              </w:rPr>
            </w:pPr>
            <w:r>
              <w:rPr>
                <w:rFonts w:ascii="Courier New" w:cs="Courier New" w:eastAsia="Courier New" w:hAnsi="Courier New"/>
                <w:sz w:val="18"/>
                <w:szCs w:val="18"/>
                <w:color w:val="auto"/>
              </w:rPr>
              <w:t>Class A</w:t>
            </w:r>
          </w:p>
        </w:tc>
        <w:tc>
          <w:tcPr>
            <w:tcW w:w="1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w:t>
            </w:r>
          </w:p>
        </w:tc>
        <w:tc>
          <w:tcPr>
            <w:tcW w:w="110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spacing w:after="0"/>
              <w:rPr>
                <w:sz w:val="17"/>
                <w:szCs w:val="17"/>
                <w:color w:val="auto"/>
              </w:rPr>
            </w:pPr>
          </w:p>
        </w:tc>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Class B</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c>
          <w:tcPr>
            <w:tcW w:w="11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National</w:t>
            </w:r>
          </w:p>
        </w:tc>
        <w:tc>
          <w:tcPr>
            <w:tcW w:w="1580" w:type="dxa"/>
            <w:vAlign w:val="bottom"/>
          </w:tcPr>
          <w:p>
            <w:pPr>
              <w:ind w:left="220"/>
              <w:spacing w:after="0"/>
              <w:rPr>
                <w:sz w:val="20"/>
                <w:szCs w:val="20"/>
                <w:color w:val="auto"/>
              </w:rPr>
            </w:pPr>
            <w:r>
              <w:rPr>
                <w:rFonts w:ascii="Courier New" w:cs="Courier New" w:eastAsia="Courier New" w:hAnsi="Courier New"/>
                <w:sz w:val="18"/>
                <w:szCs w:val="18"/>
                <w:color w:val="auto"/>
              </w:rPr>
              <w:t>Class A</w:t>
            </w:r>
          </w:p>
        </w:tc>
        <w:tc>
          <w:tcPr>
            <w:tcW w:w="1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45,547,214(5)</w:t>
            </w:r>
          </w:p>
        </w:tc>
        <w:tc>
          <w:tcPr>
            <w:tcW w:w="110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85.2%</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Amusements, Inc.</w:t>
            </w:r>
          </w:p>
        </w:tc>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Class B</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46,565,414(5)</w:t>
            </w:r>
          </w:p>
        </w:tc>
        <w:tc>
          <w:tcPr>
            <w:tcW w:w="11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51.7%</w:t>
            </w:r>
          </w:p>
        </w:tc>
      </w:tr>
    </w:tbl>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III-20</w:t>
      </w:r>
    </w:p>
    <w:p>
      <w:pPr>
        <w:sectPr>
          <w:pgSz w:w="11900" w:h="16838" w:orient="portrait"/>
          <w:cols w:equalWidth="0" w:num="1">
            <w:col w:w="10219"/>
          </w:cols>
          <w:pgMar w:left="240" w:top="717" w:right="1440"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20"/>
                <w:szCs w:val="20"/>
                <w:color w:val="auto"/>
              </w:rPr>
            </w:pPr>
            <w:r>
              <w:rPr>
                <w:rFonts w:ascii="Courier New" w:cs="Courier New" w:eastAsia="Courier New" w:hAnsi="Courier New"/>
                <w:sz w:val="18"/>
                <w:szCs w:val="18"/>
                <w:color w:val="auto"/>
              </w:rPr>
              <w:t>Brent D. Redstone</w:t>
            </w: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ind w:left="380"/>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8"/>
              </w:rPr>
              <w:t>---</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Sumner M. Redstone</w:t>
            </w: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Class A</w:t>
            </w:r>
          </w:p>
        </w:tc>
        <w:tc>
          <w:tcPr>
            <w:tcW w:w="2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45,547,294(5)</w:t>
            </w:r>
          </w:p>
        </w:tc>
        <w:tc>
          <w:tcPr>
            <w:tcW w:w="1160" w:type="dxa"/>
            <w:vAlign w:val="bottom"/>
          </w:tcPr>
          <w:p>
            <w:pPr>
              <w:ind w:left="380"/>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6"/>
              </w:rPr>
              <w:t>85.2%</w:t>
            </w:r>
          </w:p>
        </w:tc>
      </w:tr>
      <w:tr>
        <w:trPr>
          <w:trHeight w:val="203"/>
        </w:trPr>
        <w:tc>
          <w:tcPr>
            <w:tcW w:w="238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Class B</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46,565,494(5)</w:t>
            </w:r>
          </w:p>
        </w:tc>
        <w:tc>
          <w:tcPr>
            <w:tcW w:w="1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6"/>
              </w:rPr>
              <w:t>51.7%</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Frederic V. Salerno</w:t>
            </w: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ind w:left="380"/>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8"/>
              </w:rPr>
              <w:t>---</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William Schwartz</w:t>
            </w: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Class A</w:t>
            </w:r>
          </w:p>
        </w:tc>
        <w:tc>
          <w:tcPr>
            <w:tcW w:w="2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w:t>
            </w:r>
          </w:p>
        </w:tc>
        <w:tc>
          <w:tcPr>
            <w:tcW w:w="1160" w:type="dxa"/>
            <w:vAlign w:val="bottom"/>
          </w:tcPr>
          <w:p>
            <w:pPr>
              <w:ind w:left="380"/>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8"/>
              </w:rPr>
              <w:t>---</w:t>
            </w:r>
          </w:p>
        </w:tc>
      </w:tr>
      <w:tr>
        <w:trPr>
          <w:trHeight w:val="203"/>
        </w:trPr>
        <w:tc>
          <w:tcPr>
            <w:tcW w:w="238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Class B</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w:t>
            </w:r>
          </w:p>
        </w:tc>
        <w:tc>
          <w:tcPr>
            <w:tcW w:w="1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608"/>
        </w:trPr>
        <w:tc>
          <w:tcPr>
            <w:tcW w:w="2380" w:type="dxa"/>
            <w:vAlign w:val="bottom"/>
          </w:tcPr>
          <w:p>
            <w:pPr>
              <w:spacing w:after="0"/>
              <w:rPr>
                <w:sz w:val="20"/>
                <w:szCs w:val="20"/>
                <w:color w:val="auto"/>
              </w:rPr>
            </w:pPr>
            <w:r>
              <w:rPr>
                <w:rFonts w:ascii="Courier New" w:cs="Courier New" w:eastAsia="Courier New" w:hAnsi="Courier New"/>
                <w:sz w:val="18"/>
                <w:szCs w:val="18"/>
                <w:color w:val="auto"/>
              </w:rPr>
              <w:t>Mark M. Weinstein</w:t>
            </w: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Class A</w:t>
            </w:r>
          </w:p>
        </w:tc>
        <w:tc>
          <w:tcPr>
            <w:tcW w:w="2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318(3)</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7,500</w:t>
            </w:r>
          </w:p>
        </w:tc>
        <w:tc>
          <w:tcPr>
            <w:tcW w:w="68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8"/>
              </w:rPr>
              <w:t>(6)</w:t>
            </w:r>
          </w:p>
        </w:tc>
      </w:tr>
      <w:tr>
        <w:trPr>
          <w:trHeight w:val="203"/>
        </w:trPr>
        <w:tc>
          <w:tcPr>
            <w:tcW w:w="238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Class B</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324(3)</w:t>
            </w:r>
          </w:p>
        </w:tc>
        <w:tc>
          <w:tcPr>
            <w:tcW w:w="1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34,500</w:t>
            </w:r>
          </w:p>
        </w:tc>
        <w:tc>
          <w:tcPr>
            <w:tcW w:w="68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(6)</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All directors and</w:t>
            </w: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Class A</w:t>
            </w:r>
          </w:p>
        </w:tc>
        <w:tc>
          <w:tcPr>
            <w:tcW w:w="2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14,363(3)</w:t>
            </w:r>
          </w:p>
        </w:tc>
        <w:tc>
          <w:tcPr>
            <w:tcW w:w="1160" w:type="dxa"/>
            <w:vAlign w:val="bottom"/>
          </w:tcPr>
          <w:p>
            <w:pPr>
              <w:ind w:left="380"/>
              <w:spacing w:after="0"/>
              <w:rPr>
                <w:sz w:val="20"/>
                <w:szCs w:val="20"/>
                <w:color w:val="auto"/>
              </w:rPr>
            </w:pPr>
            <w:r>
              <w:rPr>
                <w:rFonts w:ascii="Courier New" w:cs="Courier New" w:eastAsia="Courier New" w:hAnsi="Courier New"/>
                <w:sz w:val="18"/>
                <w:szCs w:val="18"/>
                <w:color w:val="auto"/>
              </w:rPr>
              <w:t>76,350</w:t>
            </w:r>
          </w:p>
        </w:tc>
        <w:tc>
          <w:tcPr>
            <w:tcW w:w="68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8"/>
              </w:rPr>
              <w:t>(6)</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officers as</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Class B</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200,273(3)</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385,839</w:t>
            </w:r>
          </w:p>
        </w:tc>
        <w:tc>
          <w:tcPr>
            <w:tcW w:w="68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(6)</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a group other than</w:t>
            </w:r>
          </w:p>
        </w:tc>
        <w:tc>
          <w:tcPr>
            <w:tcW w:w="12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Mr. Sumner Redstone</w:t>
      </w:r>
    </w:p>
    <w:p>
      <w:pPr>
        <w:spacing w:after="0"/>
        <w:rPr>
          <w:sz w:val="20"/>
          <w:szCs w:val="20"/>
          <w:color w:val="auto"/>
        </w:rPr>
      </w:pPr>
      <w:r>
        <w:rPr>
          <w:rFonts w:ascii="Courier New" w:cs="Courier New" w:eastAsia="Courier New" w:hAnsi="Courier New"/>
          <w:sz w:val="18"/>
          <w:szCs w:val="18"/>
          <w:color w:val="auto"/>
        </w:rPr>
        <w:t>(22 persons)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w:t>
      </w:r>
    </w:p>
    <w:p>
      <w:pPr>
        <w:spacing w:after="0" w:line="201" w:lineRule="exact"/>
        <w:rPr>
          <w:sz w:val="20"/>
          <w:szCs w:val="20"/>
          <w:color w:val="auto"/>
        </w:rPr>
      </w:pPr>
    </w:p>
    <w:p>
      <w:pPr>
        <w:ind w:left="540" w:hanging="532"/>
        <w:spacing w:after="0"/>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shares of Class A Common Stock or Class B Common Stock subject</w:t>
      </w:r>
    </w:p>
    <w:p>
      <w:pPr>
        <w:spacing w:after="0" w:line="4" w:lineRule="exact"/>
        <w:rPr>
          <w:rFonts w:ascii="Courier New" w:cs="Courier New" w:eastAsia="Courier New" w:hAnsi="Courier New"/>
          <w:sz w:val="18"/>
          <w:szCs w:val="18"/>
          <w:color w:val="auto"/>
        </w:rPr>
      </w:pPr>
    </w:p>
    <w:p>
      <w:pPr>
        <w:ind w:left="540" w:right="18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to options to purchase such shares which on April 1, 1994 were unexercised but were exercisable within a period of 60 days from that date. These shares are excluded from the column headed "Number of Shares".</w:t>
      </w:r>
    </w:p>
    <w:p>
      <w:pPr>
        <w:spacing w:after="0" w:line="178" w:lineRule="exact"/>
        <w:rPr>
          <w:rFonts w:ascii="Courier New" w:cs="Courier New" w:eastAsia="Courier New" w:hAnsi="Courier New"/>
          <w:sz w:val="18"/>
          <w:szCs w:val="18"/>
          <w:color w:val="auto"/>
        </w:rPr>
      </w:pPr>
    </w:p>
    <w:p>
      <w:pPr>
        <w:ind w:left="540" w:right="2419" w:hanging="532"/>
        <w:spacing w:after="0" w:line="237" w:lineRule="auto"/>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Messrs. Abrams, Miller and Schwartz participate in the Deferred Compensation Plan described below in which their directors' fees are converted into stock units. Messrs. Abrams, Miller and Schwartz have been credited with 3,306, 3,021 and 3,052 Class A Common Stock units, respectively, and 3,477, 3,164 and 3,196 Class B Common Stock units, respectively.</w:t>
      </w:r>
    </w:p>
    <w:p>
      <w:pPr>
        <w:spacing w:after="0" w:line="209" w:lineRule="exact"/>
        <w:rPr>
          <w:rFonts w:ascii="Courier New" w:cs="Courier New" w:eastAsia="Courier New" w:hAnsi="Courier New"/>
          <w:sz w:val="18"/>
          <w:szCs w:val="18"/>
          <w:color w:val="auto"/>
        </w:rPr>
      </w:pPr>
    </w:p>
    <w:p>
      <w:pPr>
        <w:ind w:left="540" w:right="1999" w:hanging="532"/>
        <w:spacing w:after="0" w:line="235" w:lineRule="auto"/>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shares held through the Company's 401(k) plan as of December 31, 1993.</w:t>
      </w:r>
    </w:p>
    <w:p>
      <w:pPr>
        <w:spacing w:after="0" w:line="208" w:lineRule="exact"/>
        <w:rPr>
          <w:rFonts w:ascii="Courier New" w:cs="Courier New" w:eastAsia="Courier New" w:hAnsi="Courier New"/>
          <w:sz w:val="18"/>
          <w:szCs w:val="18"/>
          <w:color w:val="auto"/>
        </w:rPr>
      </w:pPr>
    </w:p>
    <w:p>
      <w:pPr>
        <w:ind w:left="540" w:right="2199" w:hanging="532"/>
        <w:spacing w:after="0" w:line="236" w:lineRule="auto"/>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177,897 shares held as result of the accelerated valuation and payment of Mr. Biondi's LTIP phantom shares (discussed above in "Compensation Committee Report on Executive Compensation").</w:t>
      </w:r>
    </w:p>
    <w:p>
      <w:pPr>
        <w:spacing w:after="0" w:line="208" w:lineRule="exact"/>
        <w:rPr>
          <w:rFonts w:ascii="Courier New" w:cs="Courier New" w:eastAsia="Courier New" w:hAnsi="Courier New"/>
          <w:sz w:val="18"/>
          <w:szCs w:val="18"/>
          <w:color w:val="auto"/>
        </w:rPr>
      </w:pPr>
    </w:p>
    <w:p>
      <w:pPr>
        <w:ind w:left="540" w:right="2419" w:hanging="532"/>
        <w:spacing w:after="0" w:line="275" w:lineRule="auto"/>
        <w:tabs>
          <w:tab w:leader="none" w:pos="54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80 shares of each class of Viacom Inc. Common Stock owned directly by Mr. Redstone, all shares are owned of record by NAI. Mr. Redstone is the Chairman and the beneficial owner of a controlling interest in NAI and, accordingly, beneficially owns all such shares.</w:t>
      </w:r>
    </w:p>
    <w:p>
      <w:pPr>
        <w:spacing w:after="0" w:line="176"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1%.</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III-21</w:t>
      </w:r>
    </w:p>
    <w:p>
      <w:pPr>
        <w:sectPr>
          <w:pgSz w:w="11900" w:h="16838" w:orient="portrait"/>
          <w:cols w:equalWidth="0" w:num="1">
            <w:col w:w="10219"/>
          </w:cols>
          <w:pgMar w:left="240" w:top="717" w:right="1440" w:bottom="1440" w:gutter="0" w:footer="0" w:header="0"/>
        </w:sectPr>
      </w:pPr>
    </w:p>
    <w:bookmarkStart w:id="147" w:name="page148"/>
    <w:bookmarkEnd w:id="147"/>
    <w:p>
      <w:pPr>
        <w:spacing w:after="0"/>
        <w:tabs>
          <w:tab w:leader="none" w:pos="1040" w:val="left"/>
        </w:tabs>
        <w:rPr>
          <w:sz w:val="20"/>
          <w:szCs w:val="20"/>
          <w:color w:val="auto"/>
        </w:rPr>
      </w:pPr>
      <w:r>
        <w:rPr>
          <w:rFonts w:ascii="Courier New" w:cs="Courier New" w:eastAsia="Courier New" w:hAnsi="Courier New"/>
          <w:sz w:val="18"/>
          <w:szCs w:val="18"/>
          <w:color w:val="auto"/>
        </w:rPr>
        <w:t>Item 13.</w:t>
      </w:r>
      <w:r>
        <w:rPr>
          <w:sz w:val="20"/>
          <w:szCs w:val="20"/>
          <w:color w:val="auto"/>
        </w:rPr>
        <w:tab/>
      </w:r>
      <w:r>
        <w:rPr>
          <w:rFonts w:ascii="Courier New" w:cs="Courier New" w:eastAsia="Courier New" w:hAnsi="Courier New"/>
          <w:sz w:val="16"/>
          <w:szCs w:val="16"/>
          <w:color w:val="auto"/>
        </w:rPr>
        <w:t>Certain Relationships and Related Transactions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 of Viacom Preferred Stock to Blockbuster and NYNEX</w:t>
      </w:r>
    </w:p>
    <w:p>
      <w:pPr>
        <w:spacing w:after="0" w:line="238" w:lineRule="auto"/>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On October 22, 1993, Blockbuster purchased $600 million of Viacom Inc.'s Series A Cumulative Convertible Preferred Stock ("Series A Preferred"), pursuant to an amended and restated subscription agreement (the "Blockbuster Preferred Stock Agreement") dated October 21, 1993 between Viacom Inc. and Blockbuster.</w:t>
      </w:r>
    </w:p>
    <w:p>
      <w:pPr>
        <w:spacing w:after="0" w:line="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On November 19, 1993, NYNEX (NYNEX and Blockbuster are hereinafter collectively referred to as the "Preferred Stock Investors") purchased $1.2 billion of Viacom Inc.'s Series B Cumulative Convertible Preferred Stock ("Series B Preferred" and, together with the Series A Preferred, "Viacom Preferred Stock"), pursuant to a subscription agreement (the "NYNEX Preferred Stock Agreement") dated October 4, 1993, as amended as of November 19, 1993, between Viacom Inc. and NYNEX. Shares of Viacom Preferred Stock will be convertible at any time at the option of the holders thereof into shares of Class B Common Stock at a conversion price of $70 per share of Class B Common Stock.</w:t>
      </w:r>
    </w:p>
    <w:p>
      <w:pPr>
        <w:spacing w:after="0" w:line="388"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Each of the Blockbuster Preferred Stock Agreement and the NYNEX Preferred Stock Agreement provides that for so long as the Preferred Stock Investor and its affiliates beneficially own at least $300 million, based on liquidation preference, of the Viacom Preferred Stock initially purchased or the equivalent in number of shares of Viacom Preferred Stock and shares of Class B Common Stock issued on conversion of Viacom Preferred Stock, the Preferred Stock Investor will be entitled to designate one representative to the Board of Directors of Viacom Inc. The Director designated by Blockbuster is H. Wayne Huizenga, Chairman and Chief Executive Officer of Blockbuster, and the Director designated by NYNEX is William C. Ferguson, Chairman of the Board of NYNEX.</w:t>
      </w:r>
    </w:p>
    <w:p>
      <w:pPr>
        <w:spacing w:after="0" w:line="189" w:lineRule="exact"/>
        <w:rPr>
          <w:sz w:val="20"/>
          <w:szCs w:val="20"/>
          <w:color w:val="auto"/>
        </w:rPr>
      </w:pPr>
    </w:p>
    <w:p>
      <w:pPr>
        <w:jc w:val="both"/>
        <w:ind w:right="2419" w:firstLine="527"/>
        <w:spacing w:after="0" w:line="237" w:lineRule="auto"/>
        <w:rPr>
          <w:sz w:val="20"/>
          <w:szCs w:val="20"/>
          <w:color w:val="auto"/>
        </w:rPr>
      </w:pPr>
      <w:r>
        <w:rPr>
          <w:rFonts w:ascii="Courier New" w:cs="Courier New" w:eastAsia="Courier New" w:hAnsi="Courier New"/>
          <w:sz w:val="18"/>
          <w:szCs w:val="18"/>
          <w:color w:val="auto"/>
        </w:rPr>
        <w:t>In their agreements with Viacom, Blockbuster and NYNEX each agreed to pursue appropriate strategic partnership opportunities in the domestic and international media, entertainment, video transport and telecommunication sectors.</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Certain Other Transactions Between Viacom Inc. and Blockbuster and With Their Shareholders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Blockbuster Subscription Agreement.</w:t>
      </w:r>
    </w:p>
    <w:p>
      <w:pPr>
        <w:spacing w:after="0" w:line="238" w:lineRule="auto"/>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On March 10, 1994, Blockbuster purchased approximately 22.7 million shares of Class B Common Stock for an aggregate purchase price of $1.25 billion, or $55 per share, pursuant to the subscription agreement dated as of January 7,</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1994 between Blockbuster and Viacom Inc. (the "Subscription Agreement"). If the Blockbuster Merger Agreement is terminated, Viacom Inc. may be obligated to make certain payments to Blockbuster or, at Viacom Inc.'s option, to sell certain assets to Blockbuster in the event that Class B Common Stock trades (for a specified period) at a level below $55 per share during the one year period after such termination.</w:t>
      </w: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III-22</w:t>
      </w:r>
    </w:p>
    <w:p>
      <w:pPr>
        <w:sectPr>
          <w:pgSz w:w="11900" w:h="16838" w:orient="portrait"/>
          <w:cols w:equalWidth="0" w:num="1">
            <w:col w:w="10219"/>
          </w:cols>
          <w:pgMar w:left="240" w:top="717" w:right="1440" w:bottom="1440" w:gutter="0" w:footer="0" w:header="0"/>
        </w:sectPr>
      </w:pPr>
    </w:p>
    <w:bookmarkStart w:id="148" w:name="page149"/>
    <w:bookmarkEnd w:id="148"/>
    <w:p>
      <w:pPr>
        <w:spacing w:after="0"/>
        <w:rPr>
          <w:sz w:val="20"/>
          <w:szCs w:val="20"/>
          <w:color w:val="auto"/>
        </w:rPr>
      </w:pPr>
      <w:r>
        <w:rPr>
          <w:rFonts w:ascii="Courier New" w:cs="Courier New" w:eastAsia="Courier New" w:hAnsi="Courier New"/>
          <w:sz w:val="18"/>
          <w:szCs w:val="18"/>
          <w:color w:val="auto"/>
        </w:rPr>
        <w:t>Blockbuster Voting Agreement.</w:t>
      </w:r>
    </w:p>
    <w:p>
      <w:pPr>
        <w:spacing w:after="0" w:line="238" w:lineRule="auto"/>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Pursuant to the voting agreement dated as of January 7, 1994 between NAI and Blockbuster, NAI has agreed to vote its shares of Class A Common Stock in favor of the Blockbuster Merger Agreement and against any competing business combination proposal. Approval of the Blockbuster Merger Agreement by the shareholders of Viacom Inc. is therefore assured.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Blockbuster Shareholders Stock Option Agreement.</w:t>
      </w:r>
    </w:p>
    <w:p>
      <w:pPr>
        <w:spacing w:after="0" w:line="238" w:lineRule="auto"/>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Pursuant to the amended and restated shareholders stock option agreement dated as of January 7, 1994 (the "Blockbuster Shareholders Stock Option Agreement"), among Viacom Inc. and certain shareholders of Blockbuster (the "Blockbuster Option Shareholders"), the Blockbuster Option Shareholders have granted to Viacom Inc. (i) options to purchase an aggregate of approximately</w:t>
      </w:r>
    </w:p>
    <w:p>
      <w:pPr>
        <w:spacing w:after="0" w:line="1"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15.6 million shares of Blockbuster common stock (representing approximately 6.3% of the outstanding Blockbuster common stock as of January 7, 1994), and shares subsequently acquired by the Blockbuster Option Shareholders, at a price of $30.125 per share under certain circumstances in the event the Blockbuster Merger Agreement is terminated and (ii) proxies to vote such shares in favor of the Blockbuster Merger and against any competing business combination proposal.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Blockbuster Proxy Agreement.</w:t>
      </w:r>
    </w:p>
    <w:p>
      <w:pPr>
        <w:spacing w:after="0" w:line="238" w:lineRule="auto"/>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Pursuant to the amended and restated proxy agreement dated as of January 7, 1994 (the "Blockbuster Proxy Agreement"), among Viacom Inc. and certain shareholders of Blockbuster (the "Blockbuster Proxy Shareholders"), the Blockbuster Proxy Shareholders have granted to Viacom Inc. proxies to vote shares of Blockbuster common stock owned by such shareholders in favor of the Blockbuster Merger Agreement and against any competing business combination proposal, which shares, together with the shares subject to the Blockbuster Shareholders Stock Option Agreement, represent approximately 22.3% of the outstanding shares of Blockbuster common stock as of January 7, 1994.</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Transactions Among Viacom Inc., NAI and Paramount</w:t>
      </w:r>
    </w:p>
    <w:p>
      <w:pPr>
        <w:spacing w:after="0" w:line="238" w:lineRule="auto"/>
        <w:rPr>
          <w:sz w:val="20"/>
          <w:szCs w:val="20"/>
          <w:color w:val="auto"/>
        </w:rPr>
      </w:pPr>
      <w:r>
        <w:rPr>
          <w:rFonts w:ascii="Courier New" w:cs="Courier New" w:eastAsia="Courier New" w:hAnsi="Courier New"/>
          <w:sz w:val="18"/>
          <w:szCs w:val="18"/>
          <w:color w:val="auto"/>
        </w:rPr>
        <w:t>- -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Paramount Voting Agreement.</w:t>
      </w:r>
    </w:p>
    <w:p>
      <w:pPr>
        <w:spacing w:after="0" w:line="238" w:lineRule="auto"/>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Pursuant to the voting agreement dated as of January 21, 1994 between Paramount and NAI, NAI has agreed to vote its shares of Class A Common Stock in favor of the Paramount Merger Agreement. Approval of the Paramount Merger Agreement is therefore assured.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Transactions</w:t>
      </w:r>
    </w:p>
    <w:p>
      <w:pPr>
        <w:spacing w:after="0" w:line="238" w:lineRule="auto"/>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2199" w:firstLine="527"/>
        <w:spacing w:after="0" w:line="273" w:lineRule="auto"/>
        <w:rPr>
          <w:sz w:val="20"/>
          <w:szCs w:val="20"/>
          <w:color w:val="auto"/>
        </w:rPr>
      </w:pPr>
      <w:r>
        <w:rPr>
          <w:rFonts w:ascii="Courier New" w:cs="Courier New" w:eastAsia="Courier New" w:hAnsi="Courier New"/>
          <w:sz w:val="16"/>
          <w:szCs w:val="16"/>
          <w:color w:val="auto"/>
        </w:rPr>
        <w:t>Viacom Inc., the Company and NAI entered into a tax sharing agreement governing the filing of consolidated federal tax returns in 1987. This agreement required that Viacom Inc. and/or the Company pay NAI to the extent they would have paid federal income taxes on a separate company basis and entitled them to receive payments from NAI to the extent losses and credits</w:t>
      </w:r>
    </w:p>
    <w:p>
      <w:pPr>
        <w:spacing w:after="0" w:line="17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III-23</w:t>
      </w:r>
    </w:p>
    <w:p>
      <w:pPr>
        <w:sectPr>
          <w:pgSz w:w="11900" w:h="16838" w:orient="portrait"/>
          <w:cols w:equalWidth="0" w:num="1">
            <w:col w:w="10219"/>
          </w:cols>
          <w:pgMar w:left="240" w:top="717" w:right="1440" w:bottom="1440" w:gutter="0" w:footer="0" w:header="0"/>
        </w:sectPr>
      </w:pPr>
    </w:p>
    <w:bookmarkStart w:id="149" w:name="page150"/>
    <w:bookmarkEnd w:id="149"/>
    <w:p>
      <w:pPr>
        <w:ind w:right="1879"/>
        <w:spacing w:after="0" w:line="237" w:lineRule="auto"/>
        <w:rPr>
          <w:sz w:val="20"/>
          <w:szCs w:val="20"/>
          <w:color w:val="auto"/>
        </w:rPr>
      </w:pPr>
      <w:r>
        <w:rPr>
          <w:rFonts w:ascii="Courier New" w:cs="Courier New" w:eastAsia="Courier New" w:hAnsi="Courier New"/>
          <w:sz w:val="18"/>
          <w:szCs w:val="18"/>
          <w:color w:val="auto"/>
        </w:rPr>
        <w:t>reduced NAI's federal income taxes. This agreement was in effect for periods ending on or before June 10, 1991, when NAI's percentage ownership of Common Stock was reduced to less than 80% on a combined basis. For periods commencing on or after June 11, 1991, Viacom Inc. and the Company have not filed consolidated federal tax returns with NAI.</w:t>
      </w:r>
    </w:p>
    <w:p>
      <w:pPr>
        <w:spacing w:after="0" w:line="20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Philippe P. Dauman, a director and Executive Vice President, General Counsel, Chief Administrative Officer and Secretary of Viacom Inc., the Company and Paramount, became an executive officer of Viacom Inc. and the Company on February 1, 1993. Prior to that, he was a partner with the law firm of Shearman &amp; Sterling, which performed legal services for Viacom Inc. in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III-24</w:t>
      </w:r>
    </w:p>
    <w:p>
      <w:pPr>
        <w:sectPr>
          <w:pgSz w:w="11900" w:h="16838" w:orient="portrait"/>
          <w:cols w:equalWidth="0" w:num="1">
            <w:col w:w="10219"/>
          </w:cols>
          <w:pgMar w:left="240" w:top="723" w:right="1440" w:bottom="1440" w:gutter="0" w:footer="0" w:header="0"/>
        </w:sectPr>
      </w:pPr>
    </w:p>
    <w:bookmarkStart w:id="150" w:name="page151"/>
    <w:bookmarkEnd w:id="150"/>
    <w:p>
      <w:pPr>
        <w:ind w:left="2951"/>
        <w:spacing w:after="0"/>
        <w:rPr>
          <w:sz w:val="20"/>
          <w:szCs w:val="20"/>
          <w:color w:val="auto"/>
        </w:rPr>
      </w:pPr>
      <w:r>
        <w:rPr>
          <w:rFonts w:ascii="Courier New" w:cs="Courier New" w:eastAsia="Courier New" w:hAnsi="Courier New"/>
          <w:sz w:val="18"/>
          <w:szCs w:val="18"/>
          <w:color w:val="auto"/>
        </w:rPr>
        <w:t>PART IV</w:t>
      </w:r>
    </w:p>
    <w:p>
      <w:pPr>
        <w:spacing w:after="0" w:line="207" w:lineRule="exact"/>
        <w:rPr>
          <w:sz w:val="20"/>
          <w:szCs w:val="20"/>
          <w:color w:val="auto"/>
        </w:rPr>
      </w:pPr>
    </w:p>
    <w:p>
      <w:pPr>
        <w:ind w:left="631" w:right="3779" w:hanging="1052"/>
        <w:spacing w:after="0" w:line="235" w:lineRule="auto"/>
        <w:tabs>
          <w:tab w:leader="none" w:pos="610" w:val="left"/>
        </w:tabs>
        <w:rPr>
          <w:sz w:val="20"/>
          <w:szCs w:val="20"/>
          <w:color w:val="auto"/>
        </w:rPr>
      </w:pPr>
      <w:r>
        <w:rPr>
          <w:rFonts w:ascii="Courier New" w:cs="Courier New" w:eastAsia="Courier New" w:hAnsi="Courier New"/>
          <w:sz w:val="18"/>
          <w:szCs w:val="18"/>
          <w:color w:val="auto"/>
        </w:rPr>
        <w:t>ITEM 14.</w:t>
        <w:tab/>
        <w:t>EXHIBITS, FINANCIAL STATEMENT SCHEDULES AND REPORTS ON FORM 8-K.</w:t>
      </w:r>
    </w:p>
    <w:p>
      <w:pPr>
        <w:spacing w:after="0" w:line="208" w:lineRule="exact"/>
        <w:rPr>
          <w:sz w:val="20"/>
          <w:szCs w:val="20"/>
          <w:color w:val="auto"/>
        </w:rPr>
      </w:pPr>
    </w:p>
    <w:p>
      <w:pPr>
        <w:ind w:left="1271" w:right="4419" w:hanging="1271"/>
        <w:spacing w:after="0" w:line="235" w:lineRule="auto"/>
        <w:tabs>
          <w:tab w:leader="none" w:pos="42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(d) Financial Statements and Schedules (see Index on Page F-1)</w:t>
      </w:r>
    </w:p>
    <w:p>
      <w:pPr>
        <w:spacing w:after="0" w:line="202" w:lineRule="exact"/>
        <w:rPr>
          <w:rFonts w:ascii="Courier New" w:cs="Courier New" w:eastAsia="Courier New" w:hAnsi="Courier New"/>
          <w:sz w:val="18"/>
          <w:szCs w:val="18"/>
          <w:color w:val="auto"/>
        </w:rPr>
      </w:pPr>
    </w:p>
    <w:p>
      <w:pPr>
        <w:ind w:left="1271" w:hanging="1271"/>
        <w:spacing w:after="0"/>
        <w:tabs>
          <w:tab w:leader="none" w:pos="1271"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6" w:lineRule="exact"/>
        <w:rPr>
          <w:rFonts w:ascii="Courier New" w:cs="Courier New" w:eastAsia="Courier New" w:hAnsi="Courier New"/>
          <w:sz w:val="18"/>
          <w:szCs w:val="18"/>
          <w:color w:val="auto"/>
        </w:rPr>
      </w:pPr>
    </w:p>
    <w:p>
      <w:pPr>
        <w:ind w:left="1271" w:right="219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Current Reports on Form 8-K of Viacom Inc. and Viacom International Inc. with a report date of October 5, 1993 relating to the agreement dated as of October 4, 1993 between Viacom Inc. and NYNEX Corporation ("NYNEX") pursuant to which NYNEX subscribed for and agreed to purchase from Viacom Inc. 24 million shares of newly issued Series B Cumulative Convertible Preferred Stock of Viacom Inc. for an aggregate purchase price of $1.2 billion.</w:t>
      </w:r>
    </w:p>
    <w:p>
      <w:pPr>
        <w:spacing w:after="0" w:line="185" w:lineRule="exact"/>
        <w:rPr>
          <w:rFonts w:ascii="Courier New" w:cs="Courier New" w:eastAsia="Courier New" w:hAnsi="Courier New"/>
          <w:sz w:val="18"/>
          <w:szCs w:val="18"/>
          <w:color w:val="auto"/>
        </w:rPr>
      </w:pPr>
    </w:p>
    <w:p>
      <w:pPr>
        <w:ind w:left="1271" w:right="24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Current Reports on Form 8-K of Viacom Inc. and Viacom International Inc. with a report date of October 27, 1993 relating to the completion of the issuance and sale to Blockbuster Entertainment Corporation ("Blockbuster") by Viacom Inc. of 24 million shares of new issued Series A Cumulative Convertible Preferred Stock and the election of H. Wayne Huizenga, Chairman and Chief Executive Officer of Blockbuster, as a director of Viacom Inc. and Viacom International Inc.</w:t>
      </w:r>
    </w:p>
    <w:p>
      <w:pPr>
        <w:spacing w:after="0" w:line="214" w:lineRule="exact"/>
        <w:rPr>
          <w:sz w:val="20"/>
          <w:szCs w:val="20"/>
          <w:color w:val="auto"/>
        </w:rPr>
      </w:pPr>
    </w:p>
    <w:p>
      <w:pPr>
        <w:ind w:left="1271" w:right="2199"/>
        <w:spacing w:after="0" w:line="237" w:lineRule="auto"/>
        <w:rPr>
          <w:sz w:val="20"/>
          <w:szCs w:val="20"/>
          <w:color w:val="auto"/>
        </w:rPr>
      </w:pPr>
      <w:r>
        <w:rPr>
          <w:rFonts w:ascii="Courier New" w:cs="Courier New" w:eastAsia="Courier New" w:hAnsi="Courier New"/>
          <w:sz w:val="18"/>
          <w:szCs w:val="18"/>
          <w:color w:val="auto"/>
        </w:rPr>
        <w:t>Current Reports on Form 8-K of Viacom Inc. and Viacom International Inc. with a report date of November 19, 1993 relating to the completion of the issuance and sale to NYNEX Corporation ("NYNEX") of 24 million shares of newly issued Series B Cumulative Convertible Preferred Stock for an aggregate purchase price of $1.2 billion and the election of William C. Ferguson, Chairman and Chief Executive Officer of NYNEX, as a director of Viacom Inc. and Viacom International Inc.</w:t>
      </w:r>
    </w:p>
    <w:p>
      <w:pPr>
        <w:spacing w:after="0" w:line="208" w:lineRule="exact"/>
        <w:rPr>
          <w:sz w:val="20"/>
          <w:szCs w:val="20"/>
          <w:color w:val="auto"/>
        </w:rPr>
      </w:pPr>
    </w:p>
    <w:p>
      <w:pPr>
        <w:ind w:left="1271" w:hanging="1271"/>
        <w:spacing w:after="0"/>
        <w:tabs>
          <w:tab w:leader="none" w:pos="1271"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(see index on Page E-1)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151"/>
        <w:spacing w:after="0"/>
        <w:rPr>
          <w:sz w:val="20"/>
          <w:szCs w:val="20"/>
          <w:color w:val="auto"/>
        </w:rPr>
      </w:pPr>
      <w:r>
        <w:rPr>
          <w:rFonts w:ascii="Courier New" w:cs="Courier New" w:eastAsia="Courier New" w:hAnsi="Courier New"/>
          <w:sz w:val="18"/>
          <w:szCs w:val="18"/>
          <w:color w:val="auto"/>
        </w:rPr>
        <w:t>IV-1</w:t>
      </w:r>
    </w:p>
    <w:p>
      <w:pPr>
        <w:sectPr>
          <w:pgSz w:w="11900" w:h="16838" w:orient="portrait"/>
          <w:cols w:equalWidth="0" w:num="1">
            <w:col w:w="9790"/>
          </w:cols>
          <w:pgMar w:left="669" w:top="717" w:right="1440" w:bottom="1440" w:gutter="0" w:footer="0" w:header="0"/>
        </w:sectPr>
      </w:pPr>
    </w:p>
    <w:bookmarkStart w:id="151" w:name="page152"/>
    <w:bookmarkEnd w:id="151"/>
    <w:p>
      <w:pPr>
        <w:ind w:left="32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259" w:firstLine="421"/>
        <w:spacing w:after="0" w:line="237" w:lineRule="auto"/>
        <w:rPr>
          <w:sz w:val="20"/>
          <w:szCs w:val="20"/>
          <w:color w:val="auto"/>
        </w:rPr>
      </w:pPr>
      <w:r>
        <w:rPr>
          <w:rFonts w:ascii="Courier New" w:cs="Courier New" w:eastAsia="Courier New" w:hAnsi="Courier New"/>
          <w:sz w:val="18"/>
          <w:szCs w:val="18"/>
          <w:color w:val="auto"/>
        </w:rPr>
        <w:t>Pursuant to the requirements of Section 13 or 15(D) of the Securities Exchange Act of 1934, Viacom Inc. has duly caused this report to be signed on its behalf by the undersigned, thereto duly authorized.</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VIACOM INC.</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 /s/Frank J. Biondi, Jr.</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Frank J. Biondi, Jr., President,</w:t>
      </w:r>
    </w:p>
    <w:p>
      <w:pPr>
        <w:ind w:left="348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 /s/George S. Smith, Jr.</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George S. Smith, Jr., Senior Vice</w:t>
      </w:r>
    </w:p>
    <w:p>
      <w:pPr>
        <w:ind w:left="3480"/>
        <w:spacing w:after="0" w:line="237" w:lineRule="auto"/>
        <w:rPr>
          <w:sz w:val="20"/>
          <w:szCs w:val="20"/>
          <w:color w:val="auto"/>
        </w:rPr>
      </w:pPr>
      <w:r>
        <w:rPr>
          <w:rFonts w:ascii="Courier New" w:cs="Courier New" w:eastAsia="Courier New" w:hAnsi="Courier New"/>
          <w:sz w:val="18"/>
          <w:szCs w:val="18"/>
          <w:color w:val="auto"/>
        </w:rPr>
        <w:t>President, Chief Financial Officer</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 /s/Kevin C. Lavan</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Kevin C. Lavan, Vice President,</w:t>
      </w:r>
    </w:p>
    <w:p>
      <w:pPr>
        <w:ind w:left="3480"/>
        <w:spacing w:after="0" w:line="237" w:lineRule="auto"/>
        <w:rPr>
          <w:sz w:val="20"/>
          <w:szCs w:val="20"/>
          <w:color w:val="auto"/>
        </w:rPr>
      </w:pPr>
      <w:r>
        <w:rPr>
          <w:rFonts w:ascii="Courier New" w:cs="Courier New" w:eastAsia="Courier New" w:hAnsi="Courier New"/>
          <w:sz w:val="18"/>
          <w:szCs w:val="18"/>
          <w:color w:val="auto"/>
        </w:rPr>
        <w:t>Controller, Chief Accounting Officer</w:t>
      </w:r>
    </w:p>
    <w:p>
      <w:pPr>
        <w:spacing w:after="0" w:line="238" w:lineRule="auto"/>
        <w:rPr>
          <w:sz w:val="20"/>
          <w:szCs w:val="20"/>
          <w:color w:val="auto"/>
        </w:rPr>
      </w:pPr>
      <w:r>
        <w:rPr>
          <w:rFonts w:ascii="Courier New" w:cs="Courier New" w:eastAsia="Courier New" w:hAnsi="Courier New"/>
          <w:sz w:val="18"/>
          <w:szCs w:val="18"/>
          <w:color w:val="auto"/>
        </w:rPr>
        <w:t>Date: March 31, 1994</w:t>
      </w:r>
    </w:p>
    <w:p>
      <w:pPr>
        <w:spacing w:after="0" w:line="208" w:lineRule="exact"/>
        <w:rPr>
          <w:sz w:val="20"/>
          <w:szCs w:val="20"/>
          <w:color w:val="auto"/>
        </w:rPr>
      </w:pPr>
    </w:p>
    <w:p>
      <w:pPr>
        <w:ind w:right="2739" w:firstLine="421"/>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this report has been signed by the following persons on behalf of Viacom Inc. and in the capacities and on the dates indicated:</w:t>
      </w:r>
    </w:p>
    <w:p>
      <w:pPr>
        <w:sectPr>
          <w:pgSz w:w="11900" w:h="16838" w:orient="portrait"/>
          <w:cols w:equalWidth="0" w:num="1">
            <w:col w:w="10219"/>
          </w:cols>
          <w:pgMar w:left="240" w:top="717" w:right="1440" w:bottom="564" w:gutter="0" w:footer="0" w:header="0"/>
        </w:sectPr>
      </w:pP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George S. Abrams, Director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31, 1994</w:t>
      </w:r>
    </w:p>
    <w:p>
      <w:pPr>
        <w:spacing w:after="0" w:line="622" w:lineRule="exact"/>
        <w:rPr>
          <w:sz w:val="20"/>
          <w:szCs w:val="20"/>
          <w:color w:val="auto"/>
        </w:rPr>
      </w:pPr>
    </w:p>
    <w:p>
      <w:pPr>
        <w:sectPr>
          <w:pgSz w:w="11900" w:h="16838" w:orient="portrait"/>
          <w:cols w:equalWidth="0" w:num="3">
            <w:col w:w="1700" w:space="100"/>
            <w:col w:w="3360" w:space="220"/>
            <w:col w:w="4839"/>
          </w:cols>
          <w:pgMar w:left="240" w:top="717" w:right="1440" w:bottom="564" w:gutter="0" w:footer="0" w:header="0"/>
          <w:type w:val="continuous"/>
        </w:sectPr>
      </w:pPr>
    </w:p>
    <w:p>
      <w:pPr>
        <w:spacing w:after="0" w:line="7" w:lineRule="exact"/>
        <w:rPr>
          <w:sz w:val="20"/>
          <w:szCs w:val="20"/>
          <w:color w:val="auto"/>
        </w:rPr>
      </w:pPr>
    </w:p>
    <w:p>
      <w:pPr>
        <w:ind w:left="1800" w:hanging="315"/>
        <w:spacing w:after="0" w:line="236" w:lineRule="auto"/>
        <w:rPr>
          <w:sz w:val="20"/>
          <w:szCs w:val="20"/>
          <w:color w:val="auto"/>
        </w:rPr>
      </w:pPr>
      <w:r>
        <w:rPr>
          <w:rFonts w:ascii="Courier New" w:cs="Courier New" w:eastAsia="Courier New" w:hAnsi="Courier New"/>
          <w:sz w:val="18"/>
          <w:szCs w:val="18"/>
          <w:color w:val="auto"/>
        </w:rPr>
        <w:t>By /s/Frank J. Biondi, Jr. -------------------------------- Frank J. Biondi, Jr.,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March 31, 1994</w:t>
      </w:r>
    </w:p>
    <w:p>
      <w:pPr>
        <w:spacing w:after="0" w:line="620" w:lineRule="exact"/>
        <w:rPr>
          <w:sz w:val="20"/>
          <w:szCs w:val="20"/>
          <w:color w:val="auto"/>
        </w:rPr>
      </w:pPr>
    </w:p>
    <w:p>
      <w:pPr>
        <w:sectPr>
          <w:pgSz w:w="11900" w:h="16838" w:orient="portrait"/>
          <w:cols w:equalWidth="0" w:num="2">
            <w:col w:w="5160" w:space="220"/>
            <w:col w:w="4839"/>
          </w:cols>
          <w:pgMar w:left="240" w:top="717" w:right="1440" w:bottom="564" w:gutter="0" w:footer="0" w:header="0"/>
          <w:type w:val="continuous"/>
        </w:sectPr>
      </w:pPr>
    </w:p>
    <w:p>
      <w:pPr>
        <w:spacing w:after="0" w:line="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By /s/Philippe P. Dauman</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Philippe P. Dauman,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March 31, 1994</w:t>
      </w:r>
    </w:p>
    <w:p>
      <w:pPr>
        <w:spacing w:after="0" w:line="622" w:lineRule="exact"/>
        <w:rPr>
          <w:sz w:val="20"/>
          <w:szCs w:val="20"/>
          <w:color w:val="auto"/>
        </w:rPr>
      </w:pPr>
    </w:p>
    <w:p>
      <w:pPr>
        <w:sectPr>
          <w:pgSz w:w="11900" w:h="16838" w:orient="portrait"/>
          <w:cols w:equalWidth="0" w:num="2">
            <w:col w:w="5160" w:space="220"/>
            <w:col w:w="4839"/>
          </w:cols>
          <w:pgMar w:left="240" w:top="717" w:right="1440" w:bottom="564" w:gutter="0" w:footer="0" w:header="0"/>
          <w:type w:val="continuous"/>
        </w:sectPr>
      </w:pPr>
    </w:p>
    <w:p>
      <w:pPr>
        <w:spacing w:after="0" w:line="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William C. Ferguson,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March 31, 1994</w:t>
      </w:r>
    </w:p>
    <w:p>
      <w:pPr>
        <w:spacing w:after="0" w:line="622" w:lineRule="exact"/>
        <w:rPr>
          <w:sz w:val="20"/>
          <w:szCs w:val="20"/>
          <w:color w:val="auto"/>
        </w:rPr>
      </w:pPr>
    </w:p>
    <w:p>
      <w:pPr>
        <w:sectPr>
          <w:pgSz w:w="11900" w:h="16838" w:orient="portrait"/>
          <w:cols w:equalWidth="0" w:num="3">
            <w:col w:w="1700" w:space="100"/>
            <w:col w:w="3360" w:space="220"/>
            <w:col w:w="4839"/>
          </w:cols>
          <w:pgMar w:left="240" w:top="717" w:right="1440" w:bottom="564" w:gutter="0" w:footer="0" w:header="0"/>
          <w:type w:val="continuous"/>
        </w:sectPr>
      </w:pPr>
    </w:p>
    <w:p>
      <w:pPr>
        <w:spacing w:after="0" w:line="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H. Wayne Huizenga,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March 31, 1994</w:t>
      </w:r>
    </w:p>
    <w:p>
      <w:pPr>
        <w:spacing w:after="0" w:line="622" w:lineRule="exact"/>
        <w:rPr>
          <w:sz w:val="20"/>
          <w:szCs w:val="20"/>
          <w:color w:val="auto"/>
        </w:rPr>
      </w:pPr>
    </w:p>
    <w:p>
      <w:pPr>
        <w:sectPr>
          <w:pgSz w:w="11900" w:h="16838" w:orient="portrait"/>
          <w:cols w:equalWidth="0" w:num="3">
            <w:col w:w="1700" w:space="100"/>
            <w:col w:w="3360" w:space="220"/>
            <w:col w:w="4839"/>
          </w:cols>
          <w:pgMar w:left="240" w:top="717" w:right="1440" w:bottom="564" w:gutter="0" w:footer="0" w:header="0"/>
          <w:type w:val="continuous"/>
        </w:sectPr>
      </w:pPr>
    </w:p>
    <w:p>
      <w:pPr>
        <w:spacing w:after="0" w:line="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Ken Miller,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March 31, 1994</w:t>
      </w:r>
    </w:p>
    <w:p>
      <w:pPr>
        <w:spacing w:after="0" w:line="622" w:lineRule="exact"/>
        <w:rPr>
          <w:sz w:val="20"/>
          <w:szCs w:val="20"/>
          <w:color w:val="auto"/>
        </w:rPr>
      </w:pPr>
    </w:p>
    <w:p>
      <w:pPr>
        <w:sectPr>
          <w:pgSz w:w="11900" w:h="16838" w:orient="portrait"/>
          <w:cols w:equalWidth="0" w:num="3">
            <w:col w:w="1700" w:space="100"/>
            <w:col w:w="3360" w:space="220"/>
            <w:col w:w="4839"/>
          </w:cols>
          <w:pgMar w:left="240" w:top="717" w:right="1440" w:bottom="564" w:gutter="0" w:footer="0" w:header="0"/>
          <w:type w:val="continuous"/>
        </w:sectPr>
      </w:pPr>
    </w:p>
    <w:p>
      <w:pPr>
        <w:spacing w:after="0" w:line="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Brent D. Redstone,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March 31, 1994</w:t>
      </w:r>
    </w:p>
    <w:p>
      <w:pPr>
        <w:spacing w:after="0" w:line="622" w:lineRule="exact"/>
        <w:rPr>
          <w:sz w:val="20"/>
          <w:szCs w:val="20"/>
          <w:color w:val="auto"/>
        </w:rPr>
      </w:pPr>
    </w:p>
    <w:p>
      <w:pPr>
        <w:sectPr>
          <w:pgSz w:w="11900" w:h="16838" w:orient="portrait"/>
          <w:cols w:equalWidth="0" w:num="3">
            <w:col w:w="1700" w:space="100"/>
            <w:col w:w="3360" w:space="220"/>
            <w:col w:w="4839"/>
          </w:cols>
          <w:pgMar w:left="240" w:top="717" w:right="1440" w:bottom="564" w:gutter="0" w:footer="0" w:header="0"/>
          <w:type w:val="continuous"/>
        </w:sectPr>
      </w:pPr>
    </w:p>
    <w:p>
      <w:pPr>
        <w:spacing w:after="0" w:line="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Sumner M. Redstone,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March 31, 1994</w:t>
      </w:r>
    </w:p>
    <w:p>
      <w:pPr>
        <w:spacing w:after="0" w:line="622" w:lineRule="exact"/>
        <w:rPr>
          <w:sz w:val="20"/>
          <w:szCs w:val="20"/>
          <w:color w:val="auto"/>
        </w:rPr>
      </w:pPr>
    </w:p>
    <w:p>
      <w:pPr>
        <w:sectPr>
          <w:pgSz w:w="11900" w:h="16838" w:orient="portrait"/>
          <w:cols w:equalWidth="0" w:num="3">
            <w:col w:w="1700" w:space="100"/>
            <w:col w:w="3360" w:space="220"/>
            <w:col w:w="4839"/>
          </w:cols>
          <w:pgMar w:left="240" w:top="717" w:right="1440" w:bottom="564" w:gutter="0" w:footer="0" w:header="0"/>
          <w:type w:val="continuous"/>
        </w:sectPr>
      </w:pPr>
    </w:p>
    <w:p>
      <w:pPr>
        <w:spacing w:after="0" w:line="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Frederic V. Salerno,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March 31, 1994</w:t>
      </w:r>
    </w:p>
    <w:p>
      <w:pPr>
        <w:spacing w:after="0" w:line="622" w:lineRule="exact"/>
        <w:rPr>
          <w:sz w:val="20"/>
          <w:szCs w:val="20"/>
          <w:color w:val="auto"/>
        </w:rPr>
      </w:pPr>
    </w:p>
    <w:p>
      <w:pPr>
        <w:sectPr>
          <w:pgSz w:w="11900" w:h="16838" w:orient="portrait"/>
          <w:cols w:equalWidth="0" w:num="3">
            <w:col w:w="1700" w:space="100"/>
            <w:col w:w="3360" w:space="220"/>
            <w:col w:w="4839"/>
          </w:cols>
          <w:pgMar w:left="240" w:top="717" w:right="1440" w:bottom="564" w:gutter="0" w:footer="0" w:header="0"/>
          <w:type w:val="continuous"/>
        </w:sectPr>
      </w:pPr>
    </w:p>
    <w:p>
      <w:pPr>
        <w:spacing w:after="0" w:line="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William Schwartz,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March 31, 1994</w:t>
      </w:r>
    </w:p>
    <w:p>
      <w:pPr>
        <w:spacing w:after="0" w:line="622" w:lineRule="exact"/>
        <w:rPr>
          <w:sz w:val="20"/>
          <w:szCs w:val="20"/>
          <w:color w:val="auto"/>
        </w:rPr>
      </w:pPr>
    </w:p>
    <w:p>
      <w:pPr>
        <w:sectPr>
          <w:pgSz w:w="11900" w:h="16838" w:orient="portrait"/>
          <w:cols w:equalWidth="0" w:num="3">
            <w:col w:w="1700" w:space="100"/>
            <w:col w:w="3360" w:space="220"/>
            <w:col w:w="4839"/>
          </w:cols>
          <w:pgMar w:left="240" w:top="717" w:right="1440" w:bottom="564" w:gutter="0" w:footer="0" w:header="0"/>
          <w:type w:val="continuous"/>
        </w:sectPr>
      </w:pPr>
    </w:p>
    <w:p>
      <w:pPr>
        <w:spacing w:after="0" w:line="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 By /s/Philippe P. Dauman</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Philippe P. Dauman</w:t>
      </w:r>
    </w:p>
    <w:p>
      <w:pPr>
        <w:ind w:left="1900"/>
        <w:spacing w:after="0" w:line="238" w:lineRule="auto"/>
        <w:rPr>
          <w:sz w:val="20"/>
          <w:szCs w:val="20"/>
          <w:color w:val="auto"/>
        </w:rPr>
      </w:pPr>
      <w:r>
        <w:rPr>
          <w:rFonts w:ascii="Courier New" w:cs="Courier New" w:eastAsia="Courier New" w:hAnsi="Courier New"/>
          <w:sz w:val="18"/>
          <w:szCs w:val="18"/>
          <w:color w:val="auto"/>
        </w:rPr>
        <w:t>Attorney-in-Fact</w:t>
      </w:r>
    </w:p>
    <w:p>
      <w:pPr>
        <w:ind w:left="1900"/>
        <w:spacing w:after="0"/>
        <w:rPr>
          <w:sz w:val="20"/>
          <w:szCs w:val="20"/>
          <w:color w:val="auto"/>
        </w:rPr>
      </w:pPr>
      <w:r>
        <w:rPr>
          <w:rFonts w:ascii="Courier New" w:cs="Courier New" w:eastAsia="Courier New" w:hAnsi="Courier New"/>
          <w:sz w:val="18"/>
          <w:szCs w:val="18"/>
          <w:color w:val="auto"/>
        </w:rPr>
        <w:t>for the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March 31, 1994</w:t>
      </w:r>
    </w:p>
    <w:p>
      <w:pPr>
        <w:sectPr>
          <w:pgSz w:w="11900" w:h="16838" w:orient="portrait"/>
          <w:cols w:equalWidth="0" w:num="2">
            <w:col w:w="5160" w:space="220"/>
            <w:col w:w="4839"/>
          </w:cols>
          <w:pgMar w:left="240" w:top="717" w:right="1440" w:bottom="564" w:gutter="0" w:footer="0" w:header="0"/>
          <w:type w:val="continuous"/>
        </w:sectPr>
      </w:pPr>
    </w:p>
    <w:bookmarkStart w:id="152" w:name="page153"/>
    <w:bookmarkEnd w:id="152"/>
    <w:p>
      <w:pPr>
        <w:ind w:left="2320"/>
        <w:spacing w:after="0"/>
        <w:rPr>
          <w:sz w:val="20"/>
          <w:szCs w:val="20"/>
          <w:color w:val="auto"/>
        </w:rPr>
      </w:pPr>
      <w:r>
        <w:rPr>
          <w:rFonts w:ascii="Courier New" w:cs="Courier New" w:eastAsia="Courier New" w:hAnsi="Courier New"/>
          <w:sz w:val="18"/>
          <w:szCs w:val="18"/>
          <w:color w:val="auto"/>
        </w:rPr>
        <w:t>VIACOM INC. AND SUBSIDIARIES</w:t>
      </w:r>
    </w:p>
    <w:p>
      <w:pPr>
        <w:ind w:left="2860"/>
        <w:spacing w:after="0" w:line="238" w:lineRule="auto"/>
        <w:rPr>
          <w:sz w:val="20"/>
          <w:szCs w:val="20"/>
          <w:color w:val="auto"/>
        </w:rPr>
      </w:pPr>
      <w:r>
        <w:rPr>
          <w:rFonts w:ascii="Courier New" w:cs="Courier New" w:eastAsia="Courier New" w:hAnsi="Courier New"/>
          <w:sz w:val="18"/>
          <w:szCs w:val="18"/>
          <w:color w:val="auto"/>
        </w:rPr>
        <w:t>INDEX TO EXHIBITS</w:t>
      </w:r>
    </w:p>
    <w:p>
      <w:pPr>
        <w:ind w:left="3280"/>
        <w:spacing w:after="0"/>
        <w:rPr>
          <w:sz w:val="20"/>
          <w:szCs w:val="20"/>
          <w:color w:val="auto"/>
        </w:rPr>
      </w:pPr>
      <w:r>
        <w:rPr>
          <w:rFonts w:ascii="Courier New" w:cs="Courier New" w:eastAsia="Courier New" w:hAnsi="Courier New"/>
          <w:sz w:val="18"/>
          <w:szCs w:val="18"/>
          <w:color w:val="auto"/>
        </w:rPr>
        <w:t>ITEM 14(C)</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Unless indicated otherwise, all exhibits have been filed previously.</w:t>
      </w:r>
    </w:p>
    <w:p>
      <w:pPr>
        <w:spacing w:after="0" w:line="200" w:lineRule="exact"/>
        <w:rPr>
          <w:sz w:val="20"/>
          <w:szCs w:val="20"/>
          <w:color w:val="auto"/>
        </w:rPr>
      </w:pPr>
    </w:p>
    <w:p>
      <w:pPr>
        <w:spacing w:after="0" w:line="221" w:lineRule="exact"/>
        <w:rPr>
          <w:sz w:val="20"/>
          <w:szCs w:val="20"/>
          <w:color w:val="auto"/>
        </w:rPr>
      </w:pPr>
    </w:p>
    <w:p>
      <w:pPr>
        <w:spacing w:after="0"/>
        <w:tabs>
          <w:tab w:leader="none" w:pos="1880" w:val="left"/>
          <w:tab w:leader="none" w:pos="600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8"/>
          <w:szCs w:val="18"/>
          <w:color w:val="auto"/>
        </w:rPr>
        <w:t>DESCRIPTION OF DOCUMENT</w:t>
      </w:r>
      <w:r>
        <w:rPr>
          <w:sz w:val="20"/>
          <w:szCs w:val="20"/>
          <w:color w:val="auto"/>
        </w:rPr>
        <w:tab/>
      </w:r>
      <w:r>
        <w:rPr>
          <w:rFonts w:ascii="Courier New" w:cs="Courier New" w:eastAsia="Courier New" w:hAnsi="Courier New"/>
          <w:sz w:val="16"/>
          <w:szCs w:val="16"/>
          <w:color w:val="auto"/>
        </w:rPr>
        <w:t>PAGE NO.</w:t>
      </w:r>
    </w:p>
    <w:p>
      <w:pPr>
        <w:spacing w:after="0" w:line="4"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8" w:lineRule="exact"/>
        <w:rPr>
          <w:rFonts w:ascii="Courier New" w:cs="Courier New" w:eastAsia="Courier New" w:hAnsi="Courier New"/>
          <w:sz w:val="16"/>
          <w:szCs w:val="16"/>
          <w:color w:val="auto"/>
        </w:rPr>
      </w:pPr>
    </w:p>
    <w:p>
      <w:pPr>
        <w:ind w:left="1060" w:hanging="736"/>
        <w:spacing w:after="0"/>
        <w:tabs>
          <w:tab w:leader="none" w:pos="106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of Acquisition</w:t>
      </w:r>
    </w:p>
    <w:p>
      <w:pPr>
        <w:spacing w:after="0" w:line="206" w:lineRule="exact"/>
        <w:rPr>
          <w:rFonts w:ascii="Courier New" w:cs="Courier New" w:eastAsia="Courier New" w:hAnsi="Courier New"/>
          <w:sz w:val="18"/>
          <w:szCs w:val="18"/>
          <w:color w:val="auto"/>
        </w:rPr>
      </w:pPr>
    </w:p>
    <w:p>
      <w:pPr>
        <w:ind w:left="1060" w:right="4419" w:hanging="420"/>
        <w:spacing w:after="0" w:line="268" w:lineRule="auto"/>
        <w:tabs>
          <w:tab w:leader="none" w:pos="1060" w:val="left"/>
        </w:tabs>
        <w:numPr>
          <w:ilvl w:val="2"/>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 of Ownership and Merger of Viacom International Inc. into Arsenal Holdings II, Inc. as filed with the Office of Secretary of State of Delaware and effective on April 26, 1990 (incorporated by reference to</w:t>
      </w:r>
    </w:p>
    <w:p>
      <w:pPr>
        <w:ind w:left="1060" w:right="4319"/>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Exhibit 2(1) to the Current Report on Form 8-K of Viacom International Inc. with a report date of April 26, 1990) (File No. 1-9554).</w:t>
      </w:r>
    </w:p>
    <w:p>
      <w:pPr>
        <w:spacing w:after="0" w:line="178" w:lineRule="exact"/>
        <w:rPr>
          <w:rFonts w:ascii="Courier New" w:cs="Courier New" w:eastAsia="Courier New" w:hAnsi="Courier New"/>
          <w:sz w:val="16"/>
          <w:szCs w:val="16"/>
          <w:color w:val="auto"/>
        </w:rPr>
      </w:pPr>
    </w:p>
    <w:p>
      <w:pPr>
        <w:ind w:left="1060" w:right="4319" w:hanging="420"/>
        <w:spacing w:after="0" w:line="272" w:lineRule="auto"/>
        <w:tabs>
          <w:tab w:leader="none" w:pos="1060" w:val="left"/>
        </w:tabs>
        <w:numPr>
          <w:ilvl w:val="2"/>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 and Agreement of Merger of Viacom International Inc. into Arsenal Holdings II, Inc. filed with the Office of the Secretary of State of Ohio and effective April 26, 1990 (incorporated by reference to Exhibit 2(2) to the Current Report on Form 8-K of Viacom International Inc. with a report date of April 26, 1990) (File No. 1-9554).</w:t>
      </w:r>
    </w:p>
    <w:p>
      <w:pPr>
        <w:spacing w:after="0" w:line="385" w:lineRule="exact"/>
        <w:rPr>
          <w:rFonts w:ascii="Courier New" w:cs="Courier New" w:eastAsia="Courier New" w:hAnsi="Courier New"/>
          <w:sz w:val="16"/>
          <w:szCs w:val="16"/>
          <w:color w:val="auto"/>
        </w:rPr>
      </w:pPr>
    </w:p>
    <w:p>
      <w:pPr>
        <w:ind w:left="1060" w:right="4319" w:hanging="420"/>
        <w:spacing w:after="0" w:line="237" w:lineRule="auto"/>
        <w:tabs>
          <w:tab w:leader="none" w:pos="1060" w:val="left"/>
        </w:tabs>
        <w:numPr>
          <w:ilvl w:val="2"/>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and Plan of Merger dated as of January 7, 1994 between Viacom Inc. and Blockbuster Entertainment Corporation (incorporated by reference to Exhibit 99(c)(9) to Viacom Inc. Schedule 14D-1 Tender Offer Statement (Amendment No. 20) dated January 7, 1994).</w:t>
      </w:r>
    </w:p>
    <w:p>
      <w:pPr>
        <w:spacing w:after="0" w:line="211" w:lineRule="exact"/>
        <w:rPr>
          <w:rFonts w:ascii="Courier New" w:cs="Courier New" w:eastAsia="Courier New" w:hAnsi="Courier New"/>
          <w:sz w:val="18"/>
          <w:szCs w:val="18"/>
          <w:color w:val="auto"/>
        </w:rPr>
      </w:pPr>
    </w:p>
    <w:p>
      <w:pPr>
        <w:ind w:left="1060" w:right="4519" w:hanging="420"/>
        <w:spacing w:after="0" w:line="236" w:lineRule="auto"/>
        <w:tabs>
          <w:tab w:leader="none" w:pos="1060" w:val="left"/>
        </w:tabs>
        <w:numPr>
          <w:ilvl w:val="2"/>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Agreement dated as of January 7, 1994 between National Amusements, Inc. and Blockbuster Entertainment Corporation.</w:t>
      </w:r>
    </w:p>
    <w:p>
      <w:pPr>
        <w:spacing w:after="0" w:line="208" w:lineRule="exact"/>
        <w:rPr>
          <w:rFonts w:ascii="Courier New" w:cs="Courier New" w:eastAsia="Courier New" w:hAnsi="Courier New"/>
          <w:sz w:val="18"/>
          <w:szCs w:val="18"/>
          <w:color w:val="auto"/>
        </w:rPr>
      </w:pPr>
    </w:p>
    <w:p>
      <w:pPr>
        <w:ind w:left="1060" w:right="4319" w:hanging="420"/>
        <w:spacing w:after="0" w:line="237" w:lineRule="auto"/>
        <w:tabs>
          <w:tab w:leader="none" w:pos="1060" w:val="left"/>
        </w:tabs>
        <w:numPr>
          <w:ilvl w:val="2"/>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Amended and Restated Stockholders Stock Option Agreement dated as of January 7, 1994 among Viacom Inc. and each person listed on the signature pages thereto.</w:t>
      </w:r>
    </w:p>
    <w:p>
      <w:pPr>
        <w:spacing w:after="0" w:line="207" w:lineRule="exact"/>
        <w:rPr>
          <w:rFonts w:ascii="Courier New" w:cs="Courier New" w:eastAsia="Courier New" w:hAnsi="Courier New"/>
          <w:sz w:val="18"/>
          <w:szCs w:val="18"/>
          <w:color w:val="auto"/>
        </w:rPr>
      </w:pPr>
    </w:p>
    <w:p>
      <w:pPr>
        <w:jc w:val="both"/>
        <w:ind w:left="1060" w:right="4419" w:hanging="420"/>
        <w:spacing w:after="0" w:line="279" w:lineRule="auto"/>
        <w:tabs>
          <w:tab w:leader="none" w:pos="1060" w:val="left"/>
        </w:tabs>
        <w:numPr>
          <w:ilvl w:val="2"/>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Amended and Restated Proxy Agreement dated as of January 7, 1994 among Viacom Inc. and each person listed on the signature pages thereto.</w:t>
      </w:r>
    </w:p>
    <w:p>
      <w:pPr>
        <w:spacing w:after="0" w:line="178" w:lineRule="exact"/>
        <w:rPr>
          <w:rFonts w:ascii="Courier New" w:cs="Courier New" w:eastAsia="Courier New" w:hAnsi="Courier New"/>
          <w:sz w:val="16"/>
          <w:szCs w:val="16"/>
          <w:color w:val="auto"/>
        </w:rPr>
      </w:pPr>
    </w:p>
    <w:p>
      <w:pPr>
        <w:ind w:left="1060" w:right="4319" w:hanging="420"/>
        <w:spacing w:after="0" w:line="237" w:lineRule="auto"/>
        <w:tabs>
          <w:tab w:leader="none" w:pos="1060" w:val="left"/>
        </w:tabs>
        <w:numPr>
          <w:ilvl w:val="2"/>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Agreement dated as of January 21, 1994 between National Amusements, Inc. and Paramount Communications Inc. (incorporated by reference to Exhibit 99(a)(66) to Viacom Inc. Schedule 14D-1 Tender Offer Statement (Amendment No. 29) dated January 24, 1994).</w:t>
      </w:r>
    </w:p>
    <w:p>
      <w:pPr>
        <w:spacing w:after="0" w:line="209" w:lineRule="exact"/>
        <w:rPr>
          <w:rFonts w:ascii="Courier New" w:cs="Courier New" w:eastAsia="Courier New" w:hAnsi="Courier New"/>
          <w:sz w:val="18"/>
          <w:szCs w:val="18"/>
          <w:color w:val="auto"/>
        </w:rPr>
      </w:pPr>
    </w:p>
    <w:p>
      <w:pPr>
        <w:ind w:left="1060" w:right="4319" w:hanging="420"/>
        <w:spacing w:after="0" w:line="237" w:lineRule="auto"/>
        <w:tabs>
          <w:tab w:leader="none" w:pos="1060" w:val="left"/>
        </w:tabs>
        <w:numPr>
          <w:ilvl w:val="2"/>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Amended and Restated Agreement and Plan of Merger dated as of February 4, 1994 between Viacom Inc. and Paramount Communications Inc. (incorporated by reference to Exhibit 99(a)(92) to Viacom Inc. Schedule 14D-1 Tender Offer Statement (Amendment No. 38) dated February 7, 1994).</w:t>
      </w:r>
    </w:p>
    <w:p>
      <w:pPr>
        <w:spacing w:after="0" w:line="200" w:lineRule="exact"/>
        <w:rPr>
          <w:sz w:val="20"/>
          <w:szCs w:val="20"/>
          <w:color w:val="auto"/>
        </w:rPr>
      </w:pPr>
    </w:p>
    <w:p>
      <w:pPr>
        <w:spacing w:after="0" w:line="20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E-1</w:t>
      </w:r>
    </w:p>
    <w:p>
      <w:pPr>
        <w:sectPr>
          <w:pgSz w:w="11900" w:h="16838" w:orient="portrait"/>
          <w:cols w:equalWidth="0" w:num="1">
            <w:col w:w="10219"/>
          </w:cols>
          <w:pgMar w:left="240" w:top="717" w:right="1440" w:bottom="1440" w:gutter="0" w:footer="0" w:header="0"/>
        </w:sectPr>
      </w:pPr>
    </w:p>
    <w:bookmarkStart w:id="153" w:name="page154"/>
    <w:bookmarkEnd w:id="153"/>
    <w:p>
      <w:pPr>
        <w:spacing w:after="0"/>
        <w:tabs>
          <w:tab w:leader="none" w:pos="1880" w:val="left"/>
          <w:tab w:leader="none" w:pos="600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8"/>
          <w:szCs w:val="18"/>
          <w:color w:val="auto"/>
        </w:rPr>
        <w:t>DESCRIPTION OF DOCUMENT</w:t>
      </w:r>
      <w:r>
        <w:rPr>
          <w:sz w:val="20"/>
          <w:szCs w:val="20"/>
          <w:color w:val="auto"/>
        </w:rPr>
        <w:tab/>
      </w:r>
      <w:r>
        <w:rPr>
          <w:rFonts w:ascii="Courier New" w:cs="Courier New" w:eastAsia="Courier New" w:hAnsi="Courier New"/>
          <w:sz w:val="16"/>
          <w:szCs w:val="16"/>
          <w:color w:val="auto"/>
        </w:rPr>
        <w:t>PAGE NO.</w:t>
      </w:r>
    </w:p>
    <w:p>
      <w:pPr>
        <w:spacing w:after="0" w:line="4"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8" w:lineRule="exact"/>
        <w:rPr>
          <w:rFonts w:ascii="Courier New" w:cs="Courier New" w:eastAsia="Courier New" w:hAnsi="Courier New"/>
          <w:sz w:val="16"/>
          <w:szCs w:val="16"/>
          <w:color w:val="auto"/>
        </w:rPr>
      </w:pPr>
    </w:p>
    <w:p>
      <w:pPr>
        <w:ind w:left="1060" w:hanging="736"/>
        <w:spacing w:after="0"/>
        <w:tabs>
          <w:tab w:leader="none" w:pos="106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Articles of Incorporation and By-laws</w:t>
      </w:r>
    </w:p>
    <w:p>
      <w:pPr>
        <w:spacing w:after="0" w:line="206" w:lineRule="exact"/>
        <w:rPr>
          <w:rFonts w:ascii="Courier New" w:cs="Courier New" w:eastAsia="Courier New" w:hAnsi="Courier New"/>
          <w:sz w:val="18"/>
          <w:szCs w:val="18"/>
          <w:color w:val="auto"/>
        </w:rPr>
      </w:pPr>
    </w:p>
    <w:p>
      <w:pPr>
        <w:ind w:left="1060" w:right="4319" w:hanging="420"/>
        <w:spacing w:after="0" w:line="237" w:lineRule="auto"/>
        <w:tabs>
          <w:tab w:leader="none" w:pos="1060" w:val="left"/>
        </w:tabs>
        <w:numPr>
          <w:ilvl w:val="2"/>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Restated Certificate of Incorporation of Viacom Inc. (incorporated by reference to Exhibit 3(a) to the Annual Reports on Form 10-K of Viacom Inc. and Viacom International Inc. for the fiscal year ended December 31, 1992, as amended by Form 10-K/A Amendment No. 1 dated November 29, 1993 and as further amended by Form 10-K/A Amendment No. 2 dated December 9, 1993) (File Nos. 1-9553/1-9554).</w:t>
      </w:r>
    </w:p>
    <w:p>
      <w:pPr>
        <w:spacing w:after="0" w:line="213" w:lineRule="exact"/>
        <w:rPr>
          <w:rFonts w:ascii="Courier New" w:cs="Courier New" w:eastAsia="Courier New" w:hAnsi="Courier New"/>
          <w:sz w:val="18"/>
          <w:szCs w:val="18"/>
          <w:color w:val="auto"/>
        </w:rPr>
      </w:pPr>
    </w:p>
    <w:p>
      <w:pPr>
        <w:ind w:left="1060" w:right="4319" w:hanging="420"/>
        <w:spacing w:after="0" w:line="270" w:lineRule="auto"/>
        <w:tabs>
          <w:tab w:leader="none" w:pos="1060" w:val="left"/>
        </w:tabs>
        <w:numPr>
          <w:ilvl w:val="2"/>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 of the Designations, Powers, Preferences and Relative, Participating or other Rights, and the Qualifications, Limitations or Restrictions thereof, of Series A Cumulative Convertible Preferred Stock ($0.01 par value) of Viacom Inc. (incorporated by reference to Exhibit 4.1 to the Quarterly Reports on Form 10-Q of Viacom Inc. and Viacom International Inc. for the quarter ended September 30, 1993) (File Nos. 1-9553/1-9554).</w:t>
      </w:r>
    </w:p>
    <w:p>
      <w:pPr>
        <w:spacing w:after="0" w:line="189" w:lineRule="exact"/>
        <w:rPr>
          <w:rFonts w:ascii="Courier New" w:cs="Courier New" w:eastAsia="Courier New" w:hAnsi="Courier New"/>
          <w:sz w:val="16"/>
          <w:szCs w:val="16"/>
          <w:color w:val="auto"/>
        </w:rPr>
      </w:pPr>
    </w:p>
    <w:p>
      <w:pPr>
        <w:ind w:left="1060" w:right="4319" w:hanging="420"/>
        <w:spacing w:after="0" w:line="237" w:lineRule="auto"/>
        <w:tabs>
          <w:tab w:leader="none" w:pos="1060" w:val="left"/>
        </w:tabs>
        <w:numPr>
          <w:ilvl w:val="2"/>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 of the Designations, Powers, Preferences and Relative, Participating or other Rights, and the Qualifications, Limitations or Restrictions thereof, of Series B Cumulative Convertible Preferred Stock ($0.01 par value) of Viacom Inc.</w:t>
      </w:r>
    </w:p>
    <w:p>
      <w:pPr>
        <w:spacing w:after="0" w:line="209" w:lineRule="exact"/>
        <w:rPr>
          <w:rFonts w:ascii="Courier New" w:cs="Courier New" w:eastAsia="Courier New" w:hAnsi="Courier New"/>
          <w:sz w:val="18"/>
          <w:szCs w:val="18"/>
          <w:color w:val="auto"/>
        </w:rPr>
      </w:pPr>
    </w:p>
    <w:p>
      <w:pPr>
        <w:ind w:left="1060" w:right="4519" w:hanging="420"/>
        <w:spacing w:after="0" w:line="237" w:lineRule="auto"/>
        <w:tabs>
          <w:tab w:leader="none" w:pos="1060" w:val="left"/>
        </w:tabs>
        <w:numPr>
          <w:ilvl w:val="2"/>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By-laws of Viacom Inc. (incorporated by reference to Exhibit 3.3 to the Registration Statement on Form S-4 filed by Viacom Inc.) (File No. 33-13812).</w:t>
      </w:r>
    </w:p>
    <w:p>
      <w:pPr>
        <w:spacing w:after="0" w:line="207" w:lineRule="exact"/>
        <w:rPr>
          <w:rFonts w:ascii="Courier New" w:cs="Courier New" w:eastAsia="Courier New" w:hAnsi="Courier New"/>
          <w:sz w:val="18"/>
          <w:szCs w:val="18"/>
          <w:color w:val="auto"/>
        </w:rPr>
      </w:pPr>
    </w:p>
    <w:p>
      <w:pPr>
        <w:ind w:left="1060" w:right="4319" w:hanging="420"/>
        <w:spacing w:after="0" w:line="272" w:lineRule="auto"/>
        <w:tabs>
          <w:tab w:leader="none" w:pos="1060" w:val="left"/>
        </w:tabs>
        <w:numPr>
          <w:ilvl w:val="2"/>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 of Incorporation of Viacom International Inc. (formerly Arsenal Holdings II, Inc.) (incorporated by reference to Exhibit 3(e) to the Annual Reports on Form 10-K of Viacom Inc. and Viacom International Inc. for the fiscal year ended December 31, 1990, as amended on Form 8, dated June 3, 1991) (File Nos. 1-9553/1-9554).</w:t>
      </w:r>
    </w:p>
    <w:p>
      <w:pPr>
        <w:spacing w:after="0" w:line="385" w:lineRule="exact"/>
        <w:rPr>
          <w:rFonts w:ascii="Courier New" w:cs="Courier New" w:eastAsia="Courier New" w:hAnsi="Courier New"/>
          <w:sz w:val="16"/>
          <w:szCs w:val="16"/>
          <w:color w:val="auto"/>
        </w:rPr>
      </w:pPr>
    </w:p>
    <w:p>
      <w:pPr>
        <w:ind w:left="1060" w:right="4319" w:hanging="420"/>
        <w:spacing w:after="0" w:line="271" w:lineRule="auto"/>
        <w:tabs>
          <w:tab w:leader="none" w:pos="1060" w:val="left"/>
        </w:tabs>
        <w:numPr>
          <w:ilvl w:val="2"/>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By-laws of Viacom International Inc. (formerly Arsenal Holdings II, Inc.) (incorporated by reference to Exhibit 3(f) to the Annual Reports on Form 10-K of Viacom Inc. and Viacom International Inc. for the fiscal year ended December 31, 1990, as amended on Form 8, dated June 3, 1991) (File Nos. 1-9553/1-9554).</w:t>
      </w:r>
    </w:p>
    <w:p>
      <w:pPr>
        <w:spacing w:after="0" w:line="38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E-2</w:t>
      </w:r>
    </w:p>
    <w:p>
      <w:pPr>
        <w:sectPr>
          <w:pgSz w:w="11900" w:h="16838" w:orient="portrait"/>
          <w:cols w:equalWidth="0" w:num="1">
            <w:col w:w="10219"/>
          </w:cols>
          <w:pgMar w:left="240" w:top="717" w:right="1440" w:bottom="1440" w:gutter="0" w:footer="0" w:header="0"/>
        </w:sectPr>
      </w:pPr>
    </w:p>
    <w:bookmarkStart w:id="154" w:name="page155"/>
    <w:bookmarkEnd w:id="154"/>
    <w:p>
      <w:pPr>
        <w:spacing w:after="0"/>
        <w:tabs>
          <w:tab w:leader="none" w:pos="1880" w:val="left"/>
          <w:tab w:leader="none" w:pos="600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8"/>
          <w:szCs w:val="18"/>
          <w:color w:val="auto"/>
        </w:rPr>
        <w:t>DESCRIPTION OF DOCUMENT</w:t>
      </w:r>
      <w:r>
        <w:rPr>
          <w:sz w:val="20"/>
          <w:szCs w:val="20"/>
          <w:color w:val="auto"/>
        </w:rPr>
        <w:tab/>
      </w:r>
      <w:r>
        <w:rPr>
          <w:rFonts w:ascii="Courier New" w:cs="Courier New" w:eastAsia="Courier New" w:hAnsi="Courier New"/>
          <w:sz w:val="16"/>
          <w:szCs w:val="16"/>
          <w:color w:val="auto"/>
        </w:rPr>
        <w:t>PAGE NO.</w:t>
      </w:r>
    </w:p>
    <w:p>
      <w:pPr>
        <w:spacing w:after="0" w:line="4"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23" w:lineRule="exact"/>
        <w:rPr>
          <w:rFonts w:ascii="Courier New" w:cs="Courier New" w:eastAsia="Courier New" w:hAnsi="Courier New"/>
          <w:sz w:val="16"/>
          <w:szCs w:val="16"/>
          <w:color w:val="auto"/>
        </w:rPr>
      </w:pPr>
    </w:p>
    <w:p>
      <w:pPr>
        <w:ind w:left="1060" w:right="4619" w:hanging="736"/>
        <w:spacing w:after="0" w:line="235" w:lineRule="auto"/>
        <w:tabs>
          <w:tab w:leader="none" w:pos="106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Instruments defining the rights of security holders, including indentures:</w:t>
      </w:r>
    </w:p>
    <w:p>
      <w:pPr>
        <w:spacing w:after="0" w:line="208" w:lineRule="exact"/>
        <w:rPr>
          <w:rFonts w:ascii="Courier New" w:cs="Courier New" w:eastAsia="Courier New" w:hAnsi="Courier New"/>
          <w:sz w:val="18"/>
          <w:szCs w:val="18"/>
          <w:color w:val="auto"/>
        </w:rPr>
      </w:pPr>
    </w:p>
    <w:p>
      <w:pPr>
        <w:ind w:left="1060" w:right="4519" w:hanging="420"/>
        <w:spacing w:after="0" w:line="237" w:lineRule="auto"/>
        <w:tabs>
          <w:tab w:leader="none" w:pos="1060" w:val="left"/>
        </w:tabs>
        <w:numPr>
          <w:ilvl w:val="2"/>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Specimen certificate representing the Viacom Inc. Voting Common Stock (currently Class A Common Stock) (incorporated by reference to Exhibit 4.1 to the Registration Statement on Form S-4 filed by Viacom Inc.) (File No. 33-13812).</w:t>
      </w:r>
    </w:p>
    <w:p>
      <w:pPr>
        <w:spacing w:after="0" w:line="209" w:lineRule="exact"/>
        <w:rPr>
          <w:rFonts w:ascii="Courier New" w:cs="Courier New" w:eastAsia="Courier New" w:hAnsi="Courier New"/>
          <w:sz w:val="18"/>
          <w:szCs w:val="18"/>
          <w:color w:val="auto"/>
        </w:rPr>
      </w:pPr>
    </w:p>
    <w:p>
      <w:pPr>
        <w:ind w:left="1060" w:right="4319" w:hanging="420"/>
        <w:spacing w:after="0" w:line="272" w:lineRule="auto"/>
        <w:tabs>
          <w:tab w:leader="none" w:pos="1060" w:val="left"/>
        </w:tabs>
        <w:numPr>
          <w:ilvl w:val="2"/>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Specimen certificate representing Viacom Inc. Class B Non-Voting Common Stock (incorporated by reference to Exhibit 4(a) to the Quarterly Reports on Form 10-Q of Viacom Inc. and Viacom International Inc. for the quarter ended June 30, 1990) (File Nos. 1-9553/1-9554).</w:t>
      </w:r>
    </w:p>
    <w:p>
      <w:pPr>
        <w:spacing w:after="0" w:line="185" w:lineRule="exact"/>
        <w:rPr>
          <w:rFonts w:ascii="Courier New" w:cs="Courier New" w:eastAsia="Courier New" w:hAnsi="Courier New"/>
          <w:sz w:val="16"/>
          <w:szCs w:val="16"/>
          <w:color w:val="auto"/>
        </w:rPr>
      </w:pPr>
    </w:p>
    <w:p>
      <w:pPr>
        <w:ind w:left="1060" w:right="4419" w:hanging="420"/>
        <w:spacing w:after="0" w:line="236" w:lineRule="auto"/>
        <w:tabs>
          <w:tab w:leader="none" w:pos="1060" w:val="left"/>
        </w:tabs>
        <w:numPr>
          <w:ilvl w:val="2"/>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Specimen certificate representing Viacom Inc. Series A Cumulative Convertible Preferred Stock of Viacom Inc.</w:t>
      </w:r>
    </w:p>
    <w:p>
      <w:pPr>
        <w:spacing w:after="0" w:line="208" w:lineRule="exact"/>
        <w:rPr>
          <w:rFonts w:ascii="Courier New" w:cs="Courier New" w:eastAsia="Courier New" w:hAnsi="Courier New"/>
          <w:sz w:val="18"/>
          <w:szCs w:val="18"/>
          <w:color w:val="auto"/>
        </w:rPr>
      </w:pPr>
    </w:p>
    <w:p>
      <w:pPr>
        <w:ind w:left="1060" w:right="4419" w:hanging="420"/>
        <w:spacing w:after="0" w:line="236" w:lineRule="auto"/>
        <w:tabs>
          <w:tab w:leader="none" w:pos="1060" w:val="left"/>
        </w:tabs>
        <w:numPr>
          <w:ilvl w:val="2"/>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Specimen certificate representing Viacom Inc. Series B Cumulative Convertible Preferred Stock of Viacom Inc.</w:t>
      </w:r>
    </w:p>
    <w:p>
      <w:pPr>
        <w:spacing w:after="0" w:line="208" w:lineRule="exact"/>
        <w:rPr>
          <w:rFonts w:ascii="Courier New" w:cs="Courier New" w:eastAsia="Courier New" w:hAnsi="Courier New"/>
          <w:sz w:val="18"/>
          <w:szCs w:val="18"/>
          <w:color w:val="auto"/>
        </w:rPr>
      </w:pPr>
    </w:p>
    <w:p>
      <w:pPr>
        <w:ind w:left="1060" w:right="4319" w:hanging="420"/>
        <w:spacing w:after="0" w:line="269" w:lineRule="auto"/>
        <w:tabs>
          <w:tab w:leader="none" w:pos="1060" w:val="left"/>
        </w:tabs>
        <w:numPr>
          <w:ilvl w:val="2"/>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Indenture, dated as of September 15, 1991, among Viacom International Inc., as Issuer, Viacom Inc., as Guarantor, and The Bank of New York, as Trustee, relating to Viacom International Inc.'s Guarantied Senior Subordinated Debt Securities (incorporated by reference to Exhibit 4.1 to the Current Reports on Form 8-K of Viacom Inc. and Viacom International Inc. with a report date of September 20, 1991) (File Nos. 1-9553/1-9554) as supplemented by the First Supplemental Indenture dated as of September 15, 1991 among Viacom International Inc., as Issuer, Viacom Inc., as Guarantor, and The Bank of New York, as Trustee, relating to Viacom International Inc.'s 10.25% Senior Subordinated Notes due September 15, 2001 (incorporated by reference to Exhibit 4.2 to the Current Reports on Form 8-K of Viacom Inc. and Viacom International Inc. with a report date of September 20, 1991) (File Nos. 1-9553/1-9554) as further supplemented by the Second Supplemental Indenture dated as of March 4, 1992 among Viacom International Inc., as Issuer, Viacom Inc., as Guarantor, and The Bank of New York, as Trustee, relating to Viacom International Inc.'s 9.125% Senior Subordinated Notes due August 15, 1999 and relating to Viacom International Inc.'s 8.75% Senior Subordinated Reset Notes due May 15, 2001 (incorporated by reference to Exhibit 4.1 to the Current Reports on Form 8-K of Viacom Inc. and Viacom International Inc. with a report date of March 4, 1992) (File Nos. 1-9553/1-9554).</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2" w:lineRule="exact"/>
        <w:rPr>
          <w:rFonts w:ascii="Courier New" w:cs="Courier New" w:eastAsia="Courier New" w:hAnsi="Courier New"/>
          <w:sz w:val="16"/>
          <w:szCs w:val="16"/>
          <w:color w:val="auto"/>
        </w:rPr>
      </w:pPr>
    </w:p>
    <w:p>
      <w:pPr>
        <w:ind w:left="1060" w:right="4319" w:hanging="420"/>
        <w:spacing w:after="0" w:line="237" w:lineRule="auto"/>
        <w:tabs>
          <w:tab w:leader="none" w:pos="1060" w:val="left"/>
        </w:tabs>
        <w:numPr>
          <w:ilvl w:val="2"/>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Specimen of Note evidencing the 10.25% Senior Subordinated Notes due September 15, 2001 (incorporated by reference to Exhibit 4.3 to the Current Reports on Form 8-K of Viacom Inc. and Viacom International Inc. with a report date of September 20, 1991) (File Nos. 1-9553/1-9554).</w:t>
      </w:r>
    </w:p>
    <w:p>
      <w:pPr>
        <w:spacing w:after="0" w:line="211" w:lineRule="exact"/>
        <w:rPr>
          <w:rFonts w:ascii="Courier New" w:cs="Courier New" w:eastAsia="Courier New" w:hAnsi="Courier New"/>
          <w:sz w:val="18"/>
          <w:szCs w:val="18"/>
          <w:color w:val="auto"/>
        </w:rPr>
      </w:pPr>
    </w:p>
    <w:p>
      <w:pPr>
        <w:ind w:left="1060" w:right="4319" w:hanging="420"/>
        <w:spacing w:after="0" w:line="237" w:lineRule="auto"/>
        <w:tabs>
          <w:tab w:leader="none" w:pos="1060" w:val="left"/>
        </w:tabs>
        <w:numPr>
          <w:ilvl w:val="2"/>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Specimen of Note evidencing the 9.125% Senior Subordinated Notes due August 15, 1999 (incorporated by reference to Exhibit 4.2 to the Current Reports on Form 8-K of Viacom Inc. and Viacom International Inc. with a report date of March 4, 1992) (File Nos. 1-9553/1-9554).</w:t>
      </w:r>
    </w:p>
    <w:p>
      <w:pPr>
        <w:sectPr>
          <w:pgSz w:w="11900" w:h="16838" w:orient="portrait"/>
          <w:cols w:equalWidth="0" w:num="1">
            <w:col w:w="10219"/>
          </w:cols>
          <w:pgMar w:left="240" w:top="717" w:right="1440" w:bottom="0" w:gutter="0" w:footer="0" w:header="0"/>
        </w:sectPr>
      </w:pPr>
    </w:p>
    <w:bookmarkStart w:id="155" w:name="page156"/>
    <w:bookmarkEnd w:id="155"/>
    <w:p>
      <w:pPr>
        <w:ind w:left="2700"/>
        <w:spacing w:after="0"/>
        <w:rPr>
          <w:sz w:val="20"/>
          <w:szCs w:val="20"/>
          <w:color w:val="auto"/>
        </w:rPr>
      </w:pPr>
      <w:r>
        <w:rPr>
          <w:rFonts w:ascii="Courier New" w:cs="Courier New" w:eastAsia="Courier New" w:hAnsi="Courier New"/>
          <w:sz w:val="16"/>
          <w:szCs w:val="16"/>
          <w:color w:val="auto"/>
        </w:rPr>
        <w:t>E-3</w:t>
      </w:r>
    </w:p>
    <w:p>
      <w:pPr>
        <w:sectPr>
          <w:pgSz w:w="11900" w:h="16838" w:orient="portrait"/>
          <w:cols w:equalWidth="0" w:num="1">
            <w:col w:w="9019"/>
          </w:cols>
          <w:pgMar w:left="1440" w:top="547" w:right="1440" w:bottom="1440" w:gutter="0" w:footer="0" w:header="0"/>
        </w:sectPr>
      </w:pPr>
    </w:p>
    <w:bookmarkStart w:id="156" w:name="page157"/>
    <w:bookmarkEnd w:id="156"/>
    <w:p>
      <w:pPr>
        <w:spacing w:after="0"/>
        <w:tabs>
          <w:tab w:leader="none" w:pos="1880" w:val="left"/>
          <w:tab w:leader="none" w:pos="600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8"/>
          <w:szCs w:val="18"/>
          <w:color w:val="auto"/>
        </w:rPr>
        <w:t>DESCRIPTION OF DOCUMENT</w:t>
      </w:r>
      <w:r>
        <w:rPr>
          <w:sz w:val="20"/>
          <w:szCs w:val="20"/>
          <w:color w:val="auto"/>
        </w:rPr>
        <w:tab/>
      </w:r>
      <w:r>
        <w:rPr>
          <w:rFonts w:ascii="Courier New" w:cs="Courier New" w:eastAsia="Courier New" w:hAnsi="Courier New"/>
          <w:sz w:val="16"/>
          <w:szCs w:val="16"/>
          <w:color w:val="auto"/>
        </w:rPr>
        <w:t>PAGE NO.</w:t>
      </w:r>
    </w:p>
    <w:p>
      <w:pPr>
        <w:spacing w:after="0" w:line="4"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23" w:lineRule="exact"/>
        <w:rPr>
          <w:rFonts w:ascii="Courier New" w:cs="Courier New" w:eastAsia="Courier New" w:hAnsi="Courier New"/>
          <w:sz w:val="16"/>
          <w:szCs w:val="16"/>
          <w:color w:val="auto"/>
        </w:rPr>
      </w:pPr>
    </w:p>
    <w:p>
      <w:pPr>
        <w:ind w:left="1060" w:right="4319" w:hanging="420"/>
        <w:spacing w:after="0" w:line="237" w:lineRule="auto"/>
        <w:tabs>
          <w:tab w:leader="none" w:pos="1060"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Specimen of Note evidencing the 8.75% Senior Subordinated Reset Notes due May 15, 2001 (incorporated by reference to Exhibit 4.1 to the Current Reports on Form 8-K of Viacom Inc. and Viacom International Inc. with a report date of May 28, 1992) (File Nos. 1-9553/1-9554).</w:t>
      </w:r>
    </w:p>
    <w:p>
      <w:pPr>
        <w:spacing w:after="0" w:line="211" w:lineRule="exact"/>
        <w:rPr>
          <w:rFonts w:ascii="Courier New" w:cs="Courier New" w:eastAsia="Courier New" w:hAnsi="Courier New"/>
          <w:sz w:val="18"/>
          <w:szCs w:val="18"/>
          <w:color w:val="auto"/>
        </w:rPr>
      </w:pPr>
    </w:p>
    <w:p>
      <w:pPr>
        <w:ind w:left="1060" w:right="4319" w:hanging="420"/>
        <w:spacing w:after="0" w:line="238" w:lineRule="auto"/>
        <w:tabs>
          <w:tab w:leader="none" w:pos="1060"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Indenture, dated as of July 15, 1988, between Viacom International Inc. and Bankers Trust Company, Trustee, relating to Viacom International Inc.'s 11.80% Senior Subordinated Notes due 1998 (incorporated by reference to Exhibit 4.1 to the Registration Statement on Form S-2 filed by Viacom International Inc.) (File No. 33-21280) and the First Supplement to Indenture dated April 27, 1990 between Viacom International Inc. and Bankers Trust Company, as Trustee (incorporated by reference to Exhibit 4(2) to the Current Report on Form 8-K of Viacom International Inc. with a report date of April 26, 1990) (File No. 1-9554).</w:t>
      </w:r>
    </w:p>
    <w:p>
      <w:pPr>
        <w:spacing w:after="0" w:line="208" w:lineRule="exact"/>
        <w:rPr>
          <w:rFonts w:ascii="Courier New" w:cs="Courier New" w:eastAsia="Courier New" w:hAnsi="Courier New"/>
          <w:sz w:val="18"/>
          <w:szCs w:val="18"/>
          <w:color w:val="auto"/>
        </w:rPr>
      </w:pPr>
    </w:p>
    <w:p>
      <w:pPr>
        <w:ind w:left="1060" w:right="4419" w:hanging="420"/>
        <w:spacing w:after="0" w:line="237" w:lineRule="auto"/>
        <w:tabs>
          <w:tab w:leader="none" w:pos="1060"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Note evidencing the 11.80% Senior Subordinated Notes due 1998 (incorporated by reference to Exhibit A to the Indenture filed as Exhibit 4.1 to the Registration Statement on Form S-2 filed by Viacom International Inc.) (File No. 33-21280).</w:t>
      </w:r>
    </w:p>
    <w:p>
      <w:pPr>
        <w:spacing w:after="0" w:line="209" w:lineRule="exact"/>
        <w:rPr>
          <w:rFonts w:ascii="Courier New" w:cs="Courier New" w:eastAsia="Courier New" w:hAnsi="Courier New"/>
          <w:sz w:val="18"/>
          <w:szCs w:val="18"/>
          <w:color w:val="auto"/>
        </w:rPr>
      </w:pPr>
    </w:p>
    <w:p>
      <w:pPr>
        <w:ind w:left="1060" w:right="4419" w:hanging="420"/>
        <w:spacing w:after="0" w:line="268" w:lineRule="auto"/>
        <w:tabs>
          <w:tab w:leader="none" w:pos="1060"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Indenture, dated as of June 15, 1986, between Viacom International Inc. and Morgan Guaranty Trust Company of New York, Trustee, relating to Viacom International Inc.'s 5 3/4% Convertible Subordinated Debentures Due 2001 (incorporated by reference to Exhibit 4.5(b) to the Annual Report on Form 10-K of Viacom International Inc. for the fiscal year ended December 31, 1986) (File No. 1-6514), and the First Supplement to Indenture, dated June 9, 1987, among Viacom International Inc., Viacom Inc. and Morgan Guaranty Trust Company of New York, Trustee (incorporated by reference to Exhibit 4.5(b) to the Registration Statement on Form S-4 filed by Viacom Inc.) (File No.</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33-13812).</w:t>
      </w:r>
    </w:p>
    <w:p>
      <w:pPr>
        <w:spacing w:after="0" w:line="207" w:lineRule="exact"/>
        <w:rPr>
          <w:rFonts w:ascii="Courier New" w:cs="Courier New" w:eastAsia="Courier New" w:hAnsi="Courier New"/>
          <w:sz w:val="16"/>
          <w:szCs w:val="16"/>
          <w:color w:val="auto"/>
        </w:rPr>
      </w:pPr>
    </w:p>
    <w:p>
      <w:pPr>
        <w:ind w:left="1060" w:right="4319" w:hanging="420"/>
        <w:spacing w:after="0" w:line="269" w:lineRule="auto"/>
        <w:tabs>
          <w:tab w:leader="none" w:pos="1060"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Credit Agreement, dated as of September 26, 1989 (the "Credit Agreement"), among Viacom International Inc., the banks listed therein (the "Banks"), and Citibank, N.A. as Agent and The Bank of New York as Co-Agent, as amended and restated as of January 17, 1992 among Viacom Inc., as Guarantor, Viacom International Inc., the Subsidiary Obligors, the Banks, Citibank, N.A. as Agent, and The Bank of New York as Co-Agent (incorporated by reference to Exhibits 10(1) and 10(2) to the Current Reports on Form 8-K of Viacom Inc. and Viacom International Inc. with a report date of January 22, 1992) as amended by Letter Agreements dated as of May 13, 1993 and April 7, 1993 (incorporated by reference to Exhibits 4.1 and 4.2 to the Current Reports on Form 10-Q of Viacom Inc. and Viacom International Inc. for the quarter ended June 30, 1993) (File Nos. 1-9553/1-9554)</w:t>
      </w:r>
    </w:p>
    <w:p>
      <w:pPr>
        <w:spacing w:after="0" w:line="394" w:lineRule="exact"/>
        <w:rPr>
          <w:rFonts w:ascii="Courier New" w:cs="Courier New" w:eastAsia="Courier New" w:hAnsi="Courier New"/>
          <w:sz w:val="16"/>
          <w:szCs w:val="16"/>
          <w:color w:val="auto"/>
        </w:rPr>
      </w:pPr>
    </w:p>
    <w:p>
      <w:pPr>
        <w:ind w:left="1060" w:right="4319" w:hanging="420"/>
        <w:spacing w:after="0" w:line="272" w:lineRule="auto"/>
        <w:tabs>
          <w:tab w:leader="none" w:pos="1060"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 Facility Agreement dated as of June 2, 1993 among the Company and the banks named therein and The Bank of New York as Administrative Managing Agent, and The Bank of New York and Citibank as Managing Agents (incorporated by reference to Exhibit 10.1 to</w:t>
      </w:r>
    </w:p>
    <w:p>
      <w:pPr>
        <w:sectPr>
          <w:pgSz w:w="11900" w:h="16838" w:orient="portrait"/>
          <w:cols w:equalWidth="0" w:num="1">
            <w:col w:w="10219"/>
          </w:cols>
          <w:pgMar w:left="240" w:top="717" w:right="1440" w:bottom="0" w:gutter="0" w:footer="0" w:header="0"/>
        </w:sectPr>
      </w:pPr>
    </w:p>
    <w:bookmarkStart w:id="157" w:name="page158"/>
    <w:bookmarkEnd w:id="157"/>
    <w:p>
      <w:pPr>
        <w:ind w:right="4519"/>
        <w:spacing w:after="0" w:line="237" w:lineRule="auto"/>
        <w:rPr>
          <w:sz w:val="20"/>
          <w:szCs w:val="20"/>
          <w:color w:val="auto"/>
        </w:rPr>
      </w:pPr>
      <w:r>
        <w:rPr>
          <w:rFonts w:ascii="Courier New" w:cs="Courier New" w:eastAsia="Courier New" w:hAnsi="Courier New"/>
          <w:sz w:val="18"/>
          <w:szCs w:val="18"/>
          <w:color w:val="auto"/>
        </w:rPr>
        <w:t>the Quarterly Reports on Form 10-Q of Viacom Inc. and Viacom International Inc. for the quarter ended June 30, 1993)(File Nos. 1-9553/1-9554).</w:t>
      </w:r>
    </w:p>
    <w:p>
      <w:pPr>
        <w:spacing w:after="0" w:line="200" w:lineRule="exact"/>
        <w:rPr>
          <w:sz w:val="20"/>
          <w:szCs w:val="20"/>
          <w:color w:val="auto"/>
        </w:rPr>
      </w:pPr>
    </w:p>
    <w:p>
      <w:pPr>
        <w:spacing w:after="0" w:line="204"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E-4</w:t>
      </w:r>
    </w:p>
    <w:p>
      <w:pPr>
        <w:sectPr>
          <w:pgSz w:w="11900" w:h="16838" w:orient="portrait"/>
          <w:cols w:equalWidth="0" w:num="1">
            <w:col w:w="9159"/>
          </w:cols>
          <w:pgMar w:left="1300" w:top="142" w:right="1440" w:bottom="1440" w:gutter="0" w:footer="0" w:header="0"/>
        </w:sectPr>
      </w:pPr>
    </w:p>
    <w:bookmarkStart w:id="158" w:name="page159"/>
    <w:bookmarkEnd w:id="158"/>
    <w:p>
      <w:pPr>
        <w:spacing w:after="0"/>
        <w:tabs>
          <w:tab w:leader="none" w:pos="1880" w:val="left"/>
          <w:tab w:leader="none" w:pos="600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8"/>
          <w:szCs w:val="18"/>
          <w:color w:val="auto"/>
        </w:rPr>
        <w:t>DESCRIPTION OF DOCUMENT</w:t>
      </w:r>
      <w:r>
        <w:rPr>
          <w:sz w:val="20"/>
          <w:szCs w:val="20"/>
          <w:color w:val="auto"/>
        </w:rPr>
        <w:tab/>
      </w:r>
      <w:r>
        <w:rPr>
          <w:rFonts w:ascii="Courier New" w:cs="Courier New" w:eastAsia="Courier New" w:hAnsi="Courier New"/>
          <w:sz w:val="16"/>
          <w:szCs w:val="16"/>
          <w:color w:val="auto"/>
        </w:rPr>
        <w:t>PAGE NO.</w:t>
      </w:r>
    </w:p>
    <w:p>
      <w:pPr>
        <w:spacing w:after="0" w:line="4"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23" w:lineRule="exact"/>
        <w:rPr>
          <w:rFonts w:ascii="Courier New" w:cs="Courier New" w:eastAsia="Courier New" w:hAnsi="Courier New"/>
          <w:sz w:val="16"/>
          <w:szCs w:val="16"/>
          <w:color w:val="auto"/>
        </w:rPr>
      </w:pPr>
    </w:p>
    <w:p>
      <w:pPr>
        <w:ind w:left="1060" w:right="4319" w:hanging="420"/>
        <w:spacing w:after="0" w:line="237" w:lineRule="auto"/>
        <w:tabs>
          <w:tab w:leader="none" w:pos="1060" w:val="left"/>
        </w:tabs>
        <w:numPr>
          <w:ilvl w:val="2"/>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 Agreement dated as of November 19, 1993, as amended as of January 4, 1994 and as further amended as of February 15, 1994, among Viacom Inc., the Banks named therein, and The Bank of New York, Citibank, N.A. and Morgan Guaranty Trust Company of New York, as Managing Agents (incorporated by reference to Exhibit 99(a)(11) to Viacom Inc. Schedule 14D-1 Tender Offer Statement (Amendment No. 46) dated March 3, 1994).</w:t>
      </w:r>
    </w:p>
    <w:p>
      <w:pPr>
        <w:spacing w:after="0" w:line="209" w:lineRule="exact"/>
        <w:rPr>
          <w:rFonts w:ascii="Courier New" w:cs="Courier New" w:eastAsia="Courier New" w:hAnsi="Courier New"/>
          <w:sz w:val="18"/>
          <w:szCs w:val="18"/>
          <w:color w:val="auto"/>
        </w:rPr>
      </w:pPr>
    </w:p>
    <w:p>
      <w:pPr>
        <w:ind w:left="1060" w:hanging="736"/>
        <w:spacing w:after="0"/>
        <w:tabs>
          <w:tab w:leader="none" w:pos="1060"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Contracts</w:t>
      </w:r>
    </w:p>
    <w:p>
      <w:pPr>
        <w:spacing w:after="0" w:line="206" w:lineRule="exact"/>
        <w:rPr>
          <w:rFonts w:ascii="Courier New" w:cs="Courier New" w:eastAsia="Courier New" w:hAnsi="Courier New"/>
          <w:sz w:val="18"/>
          <w:szCs w:val="18"/>
          <w:color w:val="auto"/>
        </w:rPr>
      </w:pPr>
    </w:p>
    <w:p>
      <w:pPr>
        <w:ind w:left="1060" w:right="4739" w:hanging="420"/>
        <w:spacing w:after="0" w:line="237" w:lineRule="auto"/>
        <w:tabs>
          <w:tab w:leader="none" w:pos="1060" w:val="left"/>
        </w:tabs>
        <w:numPr>
          <w:ilvl w:val="2"/>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Viacom Inc. 1989 Long-Term Management Incentive Plan (as amended and restated through April 23, 1990) (incorporated by reference to Exhibit A to Viacom Inc.'s Definitive Proxy Statement dated April 27, 1990).*</w:t>
      </w:r>
    </w:p>
    <w:p>
      <w:pPr>
        <w:spacing w:after="0" w:line="209" w:lineRule="exact"/>
        <w:rPr>
          <w:rFonts w:ascii="Courier New" w:cs="Courier New" w:eastAsia="Courier New" w:hAnsi="Courier New"/>
          <w:sz w:val="18"/>
          <w:szCs w:val="18"/>
          <w:color w:val="auto"/>
        </w:rPr>
      </w:pPr>
    </w:p>
    <w:p>
      <w:pPr>
        <w:ind w:left="1060" w:right="4319" w:hanging="420"/>
        <w:spacing w:after="0" w:line="238" w:lineRule="auto"/>
        <w:tabs>
          <w:tab w:leader="none" w:pos="1060" w:val="left"/>
        </w:tabs>
        <w:numPr>
          <w:ilvl w:val="2"/>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Viacom Inc. Long-Term Incentive Plan (incorporated by reference to Exhibit A to Viacom Inc.'s Definitive Proxy Statement dated April 29, 1988), and amendment thereto (incorporated by reference to Exhibit 10(d) to the Annual Reports on Form 10-K of Viacom Inc. and Viacom International Inc. for the fiscal year ended December 21, 1991) (File Nos. 1-9553/1-9554), and as further amended by amendment dated December 17, 1992 (incorporated by reference to Exhibit 10(d) to the Annual Reports on Form 10-K of Viacom Inc. and Viacom International Inc. for the fiscal year ended December 31, 1992, as amended by Form 10-K/A Amendment No. 1 dated November 29, 1993 and as further amended by Form 10-K/A Amendment No. 2 dated December 9, 1993) (File Nos. 1-9553/1-9554).*</w:t>
      </w:r>
    </w:p>
    <w:p>
      <w:pPr>
        <w:spacing w:after="0" w:line="209" w:lineRule="exact"/>
        <w:rPr>
          <w:rFonts w:ascii="Courier New" w:cs="Courier New" w:eastAsia="Courier New" w:hAnsi="Courier New"/>
          <w:sz w:val="18"/>
          <w:szCs w:val="18"/>
          <w:color w:val="auto"/>
        </w:rPr>
      </w:pPr>
    </w:p>
    <w:p>
      <w:pPr>
        <w:ind w:left="1060" w:right="4319" w:hanging="420"/>
        <w:spacing w:after="0" w:line="237" w:lineRule="auto"/>
        <w:tabs>
          <w:tab w:leader="none" w:pos="1060" w:val="left"/>
        </w:tabs>
        <w:numPr>
          <w:ilvl w:val="2"/>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Viacom Inc. Long-Term Incentive Plan (Divisional) (incorporated by reference to Exhibit 10.2 to the Quarterly Reports on Form 10-Q of Viacom Inc. and Viacom International Inc. for the quarter ended June 30, 1993)(File Nos. 1-9553/1-9554).*</w:t>
      </w:r>
    </w:p>
    <w:p>
      <w:pPr>
        <w:spacing w:after="0" w:line="209" w:lineRule="exact"/>
        <w:rPr>
          <w:rFonts w:ascii="Courier New" w:cs="Courier New" w:eastAsia="Courier New" w:hAnsi="Courier New"/>
          <w:sz w:val="18"/>
          <w:szCs w:val="18"/>
          <w:color w:val="auto"/>
        </w:rPr>
      </w:pPr>
    </w:p>
    <w:p>
      <w:pPr>
        <w:ind w:left="1060" w:right="4419" w:hanging="420"/>
        <w:spacing w:after="0" w:line="270" w:lineRule="auto"/>
        <w:tabs>
          <w:tab w:leader="none" w:pos="1060" w:val="left"/>
        </w:tabs>
        <w:numPr>
          <w:ilvl w:val="2"/>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Viacom International Inc. Deferred Compensation Plan for Non-Employee Directors (as amended and restated through December 17, 1992) (incorporated by reference to Exhibit 10(e) to the Annual Reports on Form 10-K of Viacom Inc. and Viacom International Inc. for the fiscal year ended December 31, 1992, as amended by Form 10-K/A Amendment No. 1 dated November 29, 1993 and as further amended by Form 10-K/A Amendment No. 2 dated December 9, 1993) (File Nos. 1-9553/1-9554).*</w:t>
      </w:r>
    </w:p>
    <w:p>
      <w:pPr>
        <w:spacing w:after="0" w:line="187" w:lineRule="exact"/>
        <w:rPr>
          <w:rFonts w:ascii="Courier New" w:cs="Courier New" w:eastAsia="Courier New" w:hAnsi="Courier New"/>
          <w:sz w:val="16"/>
          <w:szCs w:val="16"/>
          <w:color w:val="auto"/>
        </w:rPr>
      </w:pPr>
    </w:p>
    <w:p>
      <w:pPr>
        <w:ind w:left="1060" w:right="4319" w:hanging="420"/>
        <w:spacing w:after="0" w:line="237" w:lineRule="auto"/>
        <w:tabs>
          <w:tab w:leader="none" w:pos="1060" w:val="left"/>
        </w:tabs>
        <w:numPr>
          <w:ilvl w:val="2"/>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Viacom Inc. and Viacom International Inc. Retirement Income Plan for Non-Employee Directors (incorporated by reference to Exhibit 10(f) to the Annual Reports on Form 10-K of Viacom Inc. and Viacom International Inc. for the fiscal year ended December 31, 1989) (File Nos. 1-9553/1-9554).*</w:t>
      </w:r>
    </w:p>
    <w:p>
      <w:pPr>
        <w:spacing w:after="0" w:line="200" w:lineRule="exact"/>
        <w:rPr>
          <w:sz w:val="20"/>
          <w:szCs w:val="20"/>
          <w:color w:val="auto"/>
        </w:rPr>
      </w:pPr>
    </w:p>
    <w:p>
      <w:pPr>
        <w:spacing w:after="0" w:line="214" w:lineRule="exact"/>
        <w:rPr>
          <w:sz w:val="20"/>
          <w:szCs w:val="20"/>
          <w:color w:val="auto"/>
        </w:rPr>
      </w:pPr>
    </w:p>
    <w:p>
      <w:pPr>
        <w:ind w:left="1060" w:right="4739" w:hanging="420"/>
        <w:spacing w:after="0" w:line="236" w:lineRule="auto"/>
        <w:tabs>
          <w:tab w:leader="none" w:pos="849"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 contract or compensatory plan required to be filed as an exhibit to this form pursuant to Item 14(c).</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E-5</w:t>
      </w:r>
    </w:p>
    <w:p>
      <w:pPr>
        <w:sectPr>
          <w:pgSz w:w="11900" w:h="16838" w:orient="portrait"/>
          <w:cols w:equalWidth="0" w:num="1">
            <w:col w:w="10219"/>
          </w:cols>
          <w:pgMar w:left="240" w:top="717" w:right="1440" w:bottom="159" w:gutter="0" w:footer="0" w:header="0"/>
        </w:sectPr>
      </w:pPr>
    </w:p>
    <w:bookmarkStart w:id="159" w:name="page160"/>
    <w:bookmarkEnd w:id="159"/>
    <w:p>
      <w:pPr>
        <w:spacing w:after="0"/>
        <w:tabs>
          <w:tab w:leader="none" w:pos="1880" w:val="left"/>
          <w:tab w:leader="none" w:pos="620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8"/>
          <w:szCs w:val="18"/>
          <w:color w:val="auto"/>
        </w:rPr>
        <w:t>DESCRIPTION OF DOCUMENT</w:t>
      </w:r>
      <w:r>
        <w:rPr>
          <w:sz w:val="20"/>
          <w:szCs w:val="20"/>
          <w:color w:val="auto"/>
        </w:rPr>
        <w:tab/>
      </w:r>
      <w:r>
        <w:rPr>
          <w:rFonts w:ascii="Courier New" w:cs="Courier New" w:eastAsia="Courier New" w:hAnsi="Courier New"/>
          <w:sz w:val="16"/>
          <w:szCs w:val="16"/>
          <w:color w:val="auto"/>
        </w:rPr>
        <w:t>PAGE NO.</w:t>
      </w:r>
    </w:p>
    <w:p>
      <w:pPr>
        <w:spacing w:after="0" w:line="4"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23" w:lineRule="exact"/>
        <w:rPr>
          <w:rFonts w:ascii="Courier New" w:cs="Courier New" w:eastAsia="Courier New" w:hAnsi="Courier New"/>
          <w:sz w:val="16"/>
          <w:szCs w:val="16"/>
          <w:color w:val="auto"/>
        </w:rPr>
      </w:pPr>
    </w:p>
    <w:p>
      <w:pPr>
        <w:ind w:left="1060" w:right="4319" w:hanging="420"/>
        <w:spacing w:after="0" w:line="272" w:lineRule="auto"/>
        <w:tabs>
          <w:tab w:leader="none" w:pos="1060"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Viacom Inc. Stock Option Plan for Non-Employee Directors (incorporated by reference to Exhibit 10.2 to the Quarterly Reports on Form 10-Q of Viacom Inc. and Viacom International Inc. for the quarter ended June 30, 1993)(File Nos. 1-9553/1-9554).*</w:t>
      </w:r>
    </w:p>
    <w:p>
      <w:pPr>
        <w:spacing w:after="0" w:line="185" w:lineRule="exact"/>
        <w:rPr>
          <w:rFonts w:ascii="Courier New" w:cs="Courier New" w:eastAsia="Courier New" w:hAnsi="Courier New"/>
          <w:sz w:val="16"/>
          <w:szCs w:val="16"/>
          <w:color w:val="auto"/>
        </w:rPr>
      </w:pPr>
    </w:p>
    <w:p>
      <w:pPr>
        <w:ind w:left="1060" w:right="4319" w:hanging="420"/>
        <w:spacing w:after="0" w:line="237" w:lineRule="auto"/>
        <w:tabs>
          <w:tab w:leader="none" w:pos="1060"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Excess Benefits Investment Plan for Certain Key Employees of Viacom International Inc. (effective April 1, 1984 and amended as of January 1, 1990) (incorporated by reference to Exhibit 10(h) to the Annual Reports on</w:t>
      </w:r>
    </w:p>
    <w:p>
      <w:pPr>
        <w:spacing w:after="0" w:line="6" w:lineRule="exact"/>
        <w:rPr>
          <w:rFonts w:ascii="Courier New" w:cs="Courier New" w:eastAsia="Courier New" w:hAnsi="Courier New"/>
          <w:sz w:val="18"/>
          <w:szCs w:val="18"/>
          <w:color w:val="auto"/>
        </w:rPr>
      </w:pPr>
    </w:p>
    <w:p>
      <w:pPr>
        <w:ind w:left="1060" w:right="431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Form 10-K of Viacom Inc. and Viacom International Inc. for the fiscal year ended December 31, 1990) (File Nos. 1-9553/1-9554).*</w:t>
      </w:r>
    </w:p>
    <w:p>
      <w:pPr>
        <w:spacing w:after="0" w:line="178" w:lineRule="exact"/>
        <w:rPr>
          <w:rFonts w:ascii="Courier New" w:cs="Courier New" w:eastAsia="Courier New" w:hAnsi="Courier New"/>
          <w:sz w:val="18"/>
          <w:szCs w:val="18"/>
          <w:color w:val="auto"/>
        </w:rPr>
      </w:pPr>
    </w:p>
    <w:p>
      <w:pPr>
        <w:ind w:left="1060" w:right="4319" w:hanging="420"/>
        <w:spacing w:after="0" w:line="272" w:lineRule="auto"/>
        <w:tabs>
          <w:tab w:leader="none" w:pos="1060"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Excess Pension Plan for Certain Key Employees of Viacom International Inc. (incorporated by reference to Exhibit 10(i) to the Annual Reports on Form 10-K of Viacom Inc. and Viacom International Inc. for the fiscal year ended December 31, 1990) (File Nos. 1-9553/1-9554).*</w:t>
      </w:r>
    </w:p>
    <w:p>
      <w:pPr>
        <w:spacing w:after="0" w:line="185" w:lineRule="exact"/>
        <w:rPr>
          <w:rFonts w:ascii="Courier New" w:cs="Courier New" w:eastAsia="Courier New" w:hAnsi="Courier New"/>
          <w:sz w:val="16"/>
          <w:szCs w:val="16"/>
          <w:color w:val="auto"/>
        </w:rPr>
      </w:pPr>
    </w:p>
    <w:p>
      <w:pPr>
        <w:ind w:left="1060" w:right="4319" w:hanging="420"/>
        <w:spacing w:after="0" w:line="238" w:lineRule="auto"/>
        <w:tabs>
          <w:tab w:leader="none" w:pos="1060"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 Agreement, dated as of August 1, 1987, between Viacom International Inc. and Frank J. Biondi, Jr. (incorporated by reference to Exhibit 10(e) to the Annual Reports on Form 10-K of Viacom Inc. and Viacom International Inc. for the fiscal year ended December 31, 1988) (File No. 1-9553/1-9554). Guarantee Agreement, dated as of August 1, 1987, from Viacom Inc. (incorporated by reference to Exhibit 10(e) to the Annual Reports on Form 10-K of Viacom Inc. and Viacom International Inc. for the fiscal year ended December 31, 1988) (Files Nos. 1-9553/1-9554). Agreement under the Viacom Inc. Long-Term Incentive Plan, dated March 7, 1989, between Viacom Inc. and Frank J. Biondi, Jr. (incorporated by reference to Exhibit 10(e) to the Annual Reports on Form 10-K of Viacom Inc. and Viacom International Inc. for the fiscal year ended December 31, 1988) (File Nos. 1-9553/1-9554).*</w:t>
      </w:r>
    </w:p>
    <w:p>
      <w:pPr>
        <w:spacing w:after="0" w:line="210" w:lineRule="exact"/>
        <w:rPr>
          <w:rFonts w:ascii="Courier New" w:cs="Courier New" w:eastAsia="Courier New" w:hAnsi="Courier New"/>
          <w:sz w:val="18"/>
          <w:szCs w:val="18"/>
          <w:color w:val="auto"/>
        </w:rPr>
      </w:pPr>
    </w:p>
    <w:p>
      <w:pPr>
        <w:ind w:left="1060" w:right="4419" w:hanging="420"/>
        <w:spacing w:after="0" w:line="237" w:lineRule="auto"/>
        <w:tabs>
          <w:tab w:leader="none" w:pos="1060"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dated as of January 1, 1990, between Viacom International Inc. and Neil S. Braun (incorporated by reference to Exhibit 10(l) to the Annual Reports on</w:t>
      </w:r>
    </w:p>
    <w:p>
      <w:pPr>
        <w:spacing w:after="0" w:line="4" w:lineRule="exact"/>
        <w:rPr>
          <w:rFonts w:ascii="Courier New" w:cs="Courier New" w:eastAsia="Courier New" w:hAnsi="Courier New"/>
          <w:sz w:val="18"/>
          <w:szCs w:val="18"/>
          <w:color w:val="auto"/>
        </w:rPr>
      </w:pPr>
    </w:p>
    <w:p>
      <w:pPr>
        <w:ind w:left="1060" w:right="431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Form 10-K of Viacom Inc. and Viacom International Inc. for the fiscal year ended December 31, 1990) (File Nos. 1-9553/1-9554) as amended by an Agreement dated as of October 1, 1992 (incorporated by reference to Exhibit 10(k) to the Annual Reports on Form 10-K of Viacom Inc. and Viacom International Inc. for the fiscal year ended December 31, 1992, as amended by Form 10-K/A Amendment No. 1 dated November 29, 1993 and as further amended by Form 10-K/A Amendment No. 2 dated December 9, 1993) (File Nos. 1-9553/1-9554).*</w:t>
      </w:r>
    </w:p>
    <w:p>
      <w:pPr>
        <w:spacing w:after="0" w:line="186" w:lineRule="exact"/>
        <w:rPr>
          <w:rFonts w:ascii="Courier New" w:cs="Courier New" w:eastAsia="Courier New" w:hAnsi="Courier New"/>
          <w:sz w:val="18"/>
          <w:szCs w:val="18"/>
          <w:color w:val="auto"/>
        </w:rPr>
      </w:pPr>
    </w:p>
    <w:p>
      <w:pPr>
        <w:ind w:left="1060" w:right="4319" w:hanging="420"/>
        <w:spacing w:after="0" w:line="237" w:lineRule="auto"/>
        <w:tabs>
          <w:tab w:leader="none" w:pos="1060"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Amended and Restated Employment Agreement, dated as of October 1, 1987, between Viacom International Inc. and John W. Goddard (incorporated by reference to Exhibit 10(l) to the Annual Reprints on Form 10-K of Viacom Inc. and Viacom International Inc. for the fiscal year ended December 31, 1991) (File Nos. 1-9553/1-9554).*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60" w:right="4739" w:hanging="420"/>
        <w:spacing w:after="0" w:line="290" w:lineRule="auto"/>
        <w:tabs>
          <w:tab w:leader="none" w:pos="849"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contract or compensatory plan required to be filed as an exhibit to this</w:t>
      </w:r>
    </w:p>
    <w:p>
      <w:pPr>
        <w:sectPr>
          <w:pgSz w:w="11900" w:h="16838" w:orient="portrait"/>
          <w:cols w:equalWidth="0" w:num="1">
            <w:col w:w="10219"/>
          </w:cols>
          <w:pgMar w:left="240" w:top="717" w:right="1440" w:bottom="0" w:gutter="0" w:footer="0" w:header="0"/>
        </w:sectPr>
      </w:pPr>
    </w:p>
    <w:bookmarkStart w:id="160" w:name="page161"/>
    <w:bookmarkEnd w:id="160"/>
    <w:p>
      <w:pPr>
        <w:spacing w:after="0"/>
        <w:rPr>
          <w:sz w:val="20"/>
          <w:szCs w:val="20"/>
          <w:color w:val="auto"/>
        </w:rPr>
      </w:pPr>
      <w:r>
        <w:rPr>
          <w:rFonts w:ascii="Courier New" w:cs="Courier New" w:eastAsia="Courier New" w:hAnsi="Courier New"/>
          <w:sz w:val="18"/>
          <w:szCs w:val="18"/>
          <w:color w:val="auto"/>
        </w:rPr>
        <w:t>form pursuant to Item 14(c).</w:t>
      </w:r>
    </w:p>
    <w:p>
      <w:pPr>
        <w:spacing w:after="0" w:line="200" w:lineRule="exact"/>
        <w:rPr>
          <w:sz w:val="20"/>
          <w:szCs w:val="20"/>
          <w:color w:val="auto"/>
        </w:rPr>
      </w:pPr>
    </w:p>
    <w:p>
      <w:pPr>
        <w:spacing w:after="0" w:line="204"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8"/>
          <w:szCs w:val="18"/>
          <w:color w:val="auto"/>
        </w:rPr>
        <w:t>E-6</w:t>
      </w:r>
    </w:p>
    <w:p>
      <w:pPr>
        <w:sectPr>
          <w:pgSz w:w="11900" w:h="16838" w:orient="portrait"/>
          <w:cols w:equalWidth="0" w:num="1">
            <w:col w:w="9159"/>
          </w:cols>
          <w:pgMar w:left="1300" w:top="136" w:right="1440" w:bottom="1440" w:gutter="0" w:footer="0" w:header="0"/>
        </w:sectPr>
      </w:pPr>
    </w:p>
    <w:bookmarkStart w:id="161" w:name="page162"/>
    <w:bookmarkEnd w:id="161"/>
    <w:p>
      <w:pPr>
        <w:spacing w:after="0"/>
        <w:tabs>
          <w:tab w:leader="none" w:pos="1880" w:val="left"/>
          <w:tab w:leader="none" w:pos="600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8"/>
          <w:szCs w:val="18"/>
          <w:color w:val="auto"/>
        </w:rPr>
        <w:t>DESCRIPTION OF DOCUMENT</w:t>
      </w:r>
      <w:r>
        <w:rPr>
          <w:sz w:val="20"/>
          <w:szCs w:val="20"/>
          <w:color w:val="auto"/>
        </w:rPr>
        <w:tab/>
      </w:r>
      <w:r>
        <w:rPr>
          <w:rFonts w:ascii="Courier New" w:cs="Courier New" w:eastAsia="Courier New" w:hAnsi="Courier New"/>
          <w:sz w:val="16"/>
          <w:szCs w:val="16"/>
          <w:color w:val="auto"/>
        </w:rPr>
        <w:t>PAGE NO.</w:t>
      </w:r>
    </w:p>
    <w:p>
      <w:pPr>
        <w:spacing w:after="0" w:line="4"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23" w:lineRule="exact"/>
        <w:rPr>
          <w:rFonts w:ascii="Courier New" w:cs="Courier New" w:eastAsia="Courier New" w:hAnsi="Courier New"/>
          <w:sz w:val="16"/>
          <w:szCs w:val="16"/>
          <w:color w:val="auto"/>
        </w:rPr>
      </w:pPr>
    </w:p>
    <w:p>
      <w:pPr>
        <w:jc w:val="both"/>
        <w:ind w:left="1060" w:right="4319" w:hanging="420"/>
        <w:spacing w:after="0" w:line="236" w:lineRule="auto"/>
        <w:tabs>
          <w:tab w:leader="none" w:pos="1060"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dated as of August 1, 1990, between Viacom International Inc. and George S. Smith, Jr. (incorporated by reference to</w:t>
      </w:r>
    </w:p>
    <w:p>
      <w:pPr>
        <w:spacing w:after="0" w:line="6" w:lineRule="exact"/>
        <w:rPr>
          <w:rFonts w:ascii="Courier New" w:cs="Courier New" w:eastAsia="Courier New" w:hAnsi="Courier New"/>
          <w:sz w:val="18"/>
          <w:szCs w:val="18"/>
          <w:color w:val="auto"/>
        </w:rPr>
      </w:pPr>
    </w:p>
    <w:p>
      <w:pPr>
        <w:ind w:left="1060" w:right="4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Exhibit 10(o) to the Annual Reports on Form 10-K of Viacom Inc. and Viacom International Inc. for the fiscal year ended December 31, 1990) (File Nos. 1-9553/1-9554).*</w:t>
      </w:r>
    </w:p>
    <w:p>
      <w:pPr>
        <w:spacing w:after="0" w:line="207" w:lineRule="exact"/>
        <w:rPr>
          <w:rFonts w:ascii="Courier New" w:cs="Courier New" w:eastAsia="Courier New" w:hAnsi="Courier New"/>
          <w:sz w:val="18"/>
          <w:szCs w:val="18"/>
          <w:color w:val="auto"/>
        </w:rPr>
      </w:pPr>
    </w:p>
    <w:p>
      <w:pPr>
        <w:ind w:left="1060" w:right="4319" w:hanging="420"/>
        <w:spacing w:after="0" w:line="237" w:lineRule="auto"/>
        <w:tabs>
          <w:tab w:leader="none" w:pos="1060"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dated as of August 1, 1990, between Viacom International Inc. and Mark M. Weinstein (incorporated by reference to Exhibit 10(p) to the Annual Reports on</w:t>
      </w:r>
    </w:p>
    <w:p>
      <w:pPr>
        <w:spacing w:after="0" w:line="4" w:lineRule="exact"/>
        <w:rPr>
          <w:rFonts w:ascii="Courier New" w:cs="Courier New" w:eastAsia="Courier New" w:hAnsi="Courier New"/>
          <w:sz w:val="18"/>
          <w:szCs w:val="18"/>
          <w:color w:val="auto"/>
        </w:rPr>
      </w:pPr>
    </w:p>
    <w:p>
      <w:pPr>
        <w:ind w:left="1060" w:right="43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Form 10-K of Viacom Inc. and Viacom International Inc. for the fiscal year ended December 31, 1990) (File Nos. 1-9553/1-9554) as amended by an Agreement dated as of February 1, 1993 (incorporated by reference to Exhibit 10(n) to the Annual Reports on Form</w:t>
      </w:r>
    </w:p>
    <w:p>
      <w:pPr>
        <w:spacing w:after="0" w:line="1" w:lineRule="exact"/>
        <w:rPr>
          <w:rFonts w:ascii="Courier New" w:cs="Courier New" w:eastAsia="Courier New" w:hAnsi="Courier New"/>
          <w:sz w:val="18"/>
          <w:szCs w:val="18"/>
          <w:color w:val="auto"/>
        </w:rPr>
      </w:pPr>
    </w:p>
    <w:p>
      <w:pPr>
        <w:ind w:left="1060" w:right="441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10-K of Viacom Inc. and Viacom International Inc. for the fiscal year ended December 31, 1992, as amended by Form 10-K/A Amendment No. 1 dated November 29, 1993 and as further amended by Form 10-K/A Amendment No. 2 dated December 9, 1993) (File Nos. 1-9553/1-9554).*</w:t>
      </w:r>
    </w:p>
    <w:p>
      <w:pPr>
        <w:spacing w:after="0" w:line="185" w:lineRule="exact"/>
        <w:rPr>
          <w:rFonts w:ascii="Courier New" w:cs="Courier New" w:eastAsia="Courier New" w:hAnsi="Courier New"/>
          <w:sz w:val="18"/>
          <w:szCs w:val="18"/>
          <w:color w:val="auto"/>
        </w:rPr>
      </w:pPr>
    </w:p>
    <w:p>
      <w:pPr>
        <w:ind w:left="1060" w:right="4319" w:hanging="420"/>
        <w:spacing w:after="0" w:line="269" w:lineRule="auto"/>
        <w:tabs>
          <w:tab w:leader="none" w:pos="1060"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dated as of August 1, 1992, between Viacom International Inc. and Thomas E. Dooley (incorporated by reference to Exhibit 10(o) to the Annual Reports on Form 10-K of Viacom Inc. and Viacom International Inc. for the fiscal year ended December 31, 1992, as amended by Form 10-K/A Amendment No. 1 dated November 29, 1993 and as further amended by Form 10-K/A Amendment No. 2 dated December 9, 1993) (File Nos. 1-9553/1-9554) as amended by an Agreement dated as of October 1, 1992 (incorporated by reference to Exhibit 10(o) to the Annual Reports on Form 10-K of Viacom Inc. and Viacom International Inc. for the fiscal year ended December 31, 1992, as amended by Form 10-K/A Amendment No. 1 dated November 29, 1993 and as further amended by Form 10-K/A Amendment No. 2 dated December 9, 1993) (File Nos. 1-9553/1-9554).*</w:t>
      </w:r>
    </w:p>
    <w:p>
      <w:pPr>
        <w:spacing w:after="0" w:line="394" w:lineRule="exact"/>
        <w:rPr>
          <w:rFonts w:ascii="Courier New" w:cs="Courier New" w:eastAsia="Courier New" w:hAnsi="Courier New"/>
          <w:sz w:val="16"/>
          <w:szCs w:val="16"/>
          <w:color w:val="auto"/>
        </w:rPr>
      </w:pPr>
    </w:p>
    <w:p>
      <w:pPr>
        <w:ind w:left="1060" w:right="4519" w:hanging="420"/>
        <w:spacing w:after="0" w:line="268" w:lineRule="auto"/>
        <w:tabs>
          <w:tab w:leader="none" w:pos="1060"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dated as of January 1, 1992, between Viacom International Inc. and Edward Horowitz (incorporated by reference to Exhibit 10(p) to the Annual Reports on Form</w:t>
      </w:r>
    </w:p>
    <w:p>
      <w:pPr>
        <w:ind w:left="1060" w:right="431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10-K of Viacom Inc. and Viacom International Inc. for the fiscal year ended December 31, 1992, as amended by Form 10-K/A Amendment No. 1 dated November 29, 1993 and as further amended by Form 10-K/A Amendment No. 2 dated December 9, 1993) (File Nos. 1-9553/1-9554) as amended by an Agreement dated as of October 1, 1992 (incorporated by reference to Exhibit 10(p) to the Annual Reports on Form 10-K of Viacom Inc. and Viacom International Inc. for the fiscal year ended December 31, 1992, as amended by Form 10-K/A Amendment No. 1 dated November 29, 1993 and as further amended by Form 10-K/A Amendment No. 2 dated December 9, 1993) (File Nos. 1-9553/1-9554).*</w:t>
      </w:r>
    </w:p>
    <w:p>
      <w:pPr>
        <w:spacing w:after="0" w:line="193" w:lineRule="exact"/>
        <w:rPr>
          <w:rFonts w:ascii="Courier New" w:cs="Courier New" w:eastAsia="Courier New" w:hAnsi="Courier New"/>
          <w:sz w:val="16"/>
          <w:szCs w:val="16"/>
          <w:color w:val="auto"/>
        </w:rPr>
      </w:pPr>
    </w:p>
    <w:p>
      <w:pPr>
        <w:ind w:left="1060" w:right="4319" w:hanging="420"/>
        <w:spacing w:after="0" w:line="270" w:lineRule="auto"/>
        <w:tabs>
          <w:tab w:leader="none" w:pos="1060"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dated as of February 1, 1993 between Viacom International Inc. and Philippe P. Dauman (incorporated by reference to Exhibit 10(q) to the Annual Reports on Form 10-K of Viacom Inc. and Viacom International Inc. for the fiscal year ended December 31, 1992, as amended by Form 10-K/A Amendment No. 1 dated November 29, 1993 and as further amended by Form 10-K/A Amendment No. 2 dated December 9, 1993) (File Nos. 1-9553/1-9554).*</w:t>
      </w:r>
    </w:p>
    <w:p>
      <w:pPr>
        <w:sectPr>
          <w:pgSz w:w="11900" w:h="16838" w:orient="portrait"/>
          <w:cols w:equalWidth="0" w:num="1">
            <w:col w:w="10219"/>
          </w:cols>
          <w:pgMar w:left="240" w:top="717" w:right="1440" w:bottom="0" w:gutter="0" w:footer="0" w:header="0"/>
        </w:sectPr>
      </w:pPr>
    </w:p>
    <w:bookmarkStart w:id="162" w:name="page163"/>
    <w:bookmarkEnd w:id="162"/>
    <w:p>
      <w:pPr>
        <w:ind w:left="420" w:right="4739" w:hanging="420"/>
        <w:spacing w:after="0" w:line="236" w:lineRule="auto"/>
        <w:tabs>
          <w:tab w:leader="none" w:pos="209"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 contract or compensatory plan required to be filed as an exhibit to this form pursuant to Item 14(c).</w:t>
      </w:r>
    </w:p>
    <w:p>
      <w:pPr>
        <w:spacing w:after="0" w:line="200" w:lineRule="exact"/>
        <w:rPr>
          <w:sz w:val="20"/>
          <w:szCs w:val="20"/>
          <w:color w:val="auto"/>
        </w:rPr>
      </w:pPr>
    </w:p>
    <w:p>
      <w:pPr>
        <w:spacing w:after="0" w:line="206" w:lineRule="exact"/>
        <w:rPr>
          <w:sz w:val="20"/>
          <w:szCs w:val="20"/>
          <w:color w:val="auto"/>
        </w:rPr>
      </w:pPr>
    </w:p>
    <w:p>
      <w:pPr>
        <w:ind w:left="2940"/>
        <w:spacing w:after="0"/>
        <w:rPr>
          <w:sz w:val="20"/>
          <w:szCs w:val="20"/>
          <w:color w:val="auto"/>
        </w:rPr>
      </w:pPr>
      <w:r>
        <w:rPr>
          <w:rFonts w:ascii="Courier New" w:cs="Courier New" w:eastAsia="Courier New" w:hAnsi="Courier New"/>
          <w:sz w:val="18"/>
          <w:szCs w:val="18"/>
          <w:color w:val="auto"/>
        </w:rPr>
        <w:t>E-7</w:t>
      </w:r>
    </w:p>
    <w:p>
      <w:pPr>
        <w:sectPr>
          <w:pgSz w:w="11900" w:h="16838" w:orient="portrait"/>
          <w:cols w:equalWidth="0" w:num="1">
            <w:col w:w="9579"/>
          </w:cols>
          <w:pgMar w:left="880" w:top="750" w:right="1440" w:bottom="1440" w:gutter="0" w:footer="0" w:header="0"/>
        </w:sectPr>
      </w:pPr>
    </w:p>
    <w:bookmarkStart w:id="163" w:name="page164"/>
    <w:bookmarkEnd w:id="163"/>
    <w:p>
      <w:pPr>
        <w:spacing w:after="0"/>
        <w:tabs>
          <w:tab w:leader="none" w:pos="1880" w:val="left"/>
          <w:tab w:leader="none" w:pos="600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8"/>
          <w:szCs w:val="18"/>
          <w:color w:val="auto"/>
        </w:rPr>
        <w:t>DESCRIPTION OF DOCUMENT</w:t>
      </w:r>
      <w:r>
        <w:rPr>
          <w:sz w:val="20"/>
          <w:szCs w:val="20"/>
          <w:color w:val="auto"/>
        </w:rPr>
        <w:tab/>
      </w:r>
      <w:r>
        <w:rPr>
          <w:rFonts w:ascii="Courier New" w:cs="Courier New" w:eastAsia="Courier New" w:hAnsi="Courier New"/>
          <w:sz w:val="16"/>
          <w:szCs w:val="16"/>
          <w:color w:val="auto"/>
        </w:rPr>
        <w:t>PAGE NO.</w:t>
      </w:r>
    </w:p>
    <w:p>
      <w:pPr>
        <w:spacing w:after="0" w:line="4"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23" w:lineRule="exact"/>
        <w:rPr>
          <w:rFonts w:ascii="Courier New" w:cs="Courier New" w:eastAsia="Courier New" w:hAnsi="Courier New"/>
          <w:sz w:val="16"/>
          <w:szCs w:val="16"/>
          <w:color w:val="auto"/>
        </w:rPr>
      </w:pPr>
    </w:p>
    <w:p>
      <w:pPr>
        <w:ind w:left="1060" w:right="4319" w:hanging="420"/>
        <w:spacing w:after="0" w:line="272" w:lineRule="auto"/>
        <w:tabs>
          <w:tab w:leader="none" w:pos="1060" w:val="left"/>
        </w:tabs>
        <w:numPr>
          <w:ilvl w:val="2"/>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Partnership Agreement between Viacom HA! Holding Company and The Comedy Channel Corp. dated as of December 17, 1990 (incorporated by reference to Exhibit 10.2 to the Registration Statement on Form S-3 filed by Viacom International Inc.) (File No. 33-40170).</w:t>
      </w:r>
    </w:p>
    <w:p>
      <w:pPr>
        <w:spacing w:after="0" w:line="185" w:lineRule="exact"/>
        <w:rPr>
          <w:rFonts w:ascii="Courier New" w:cs="Courier New" w:eastAsia="Courier New" w:hAnsi="Courier New"/>
          <w:sz w:val="16"/>
          <w:szCs w:val="16"/>
          <w:color w:val="auto"/>
        </w:rPr>
      </w:pPr>
    </w:p>
    <w:p>
      <w:pPr>
        <w:ind w:left="1060" w:right="4319" w:hanging="420"/>
        <w:spacing w:after="0" w:line="237" w:lineRule="auto"/>
        <w:tabs>
          <w:tab w:leader="none" w:pos="1060" w:val="left"/>
        </w:tabs>
        <w:numPr>
          <w:ilvl w:val="2"/>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 between First Security Bank of Utah, N.A., as owner trustee and Viacom International Inc. dated as of August 12, 1992 (incorporated by reference to Exhibit 10(t) to the Annual Reports on Form 10-K of Viacom Inc. and Viacom International Inc. for the fiscal year ended December 31, 1992, as amended by Form 10-K/A Amendment No. 1 dated November 29, 1993 and as further amended by Form 10-K/A Amendment No. 2 dated December 9, 1993) (File Nos. 1-9553/1-9554).</w:t>
      </w:r>
    </w:p>
    <w:p>
      <w:pPr>
        <w:spacing w:after="0" w:line="215" w:lineRule="exact"/>
        <w:rPr>
          <w:rFonts w:ascii="Courier New" w:cs="Courier New" w:eastAsia="Courier New" w:hAnsi="Courier New"/>
          <w:sz w:val="18"/>
          <w:szCs w:val="18"/>
          <w:color w:val="auto"/>
        </w:rPr>
      </w:pPr>
    </w:p>
    <w:p>
      <w:pPr>
        <w:ind w:left="1060" w:right="4319" w:hanging="420"/>
        <w:spacing w:after="0" w:line="271" w:lineRule="auto"/>
        <w:tabs>
          <w:tab w:leader="none" w:pos="1060" w:val="left"/>
        </w:tabs>
        <w:numPr>
          <w:ilvl w:val="2"/>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Lease Agreement dated as of June 22, 1993 between Mellon Financial Services Corporation and Viacom International Inc. (incorporated by reference to Exhibit 10.2 to the Quarterly Reports on Form 10-Q of Viacom Inc. and Viacom International Inc. for the quarter ended June 30, 1993)(File Nos. 1-9553/1-9554).</w:t>
      </w:r>
    </w:p>
    <w:p>
      <w:pPr>
        <w:spacing w:after="0" w:line="187" w:lineRule="exact"/>
        <w:rPr>
          <w:rFonts w:ascii="Courier New" w:cs="Courier New" w:eastAsia="Courier New" w:hAnsi="Courier New"/>
          <w:sz w:val="16"/>
          <w:szCs w:val="16"/>
          <w:color w:val="auto"/>
        </w:rPr>
      </w:pPr>
    </w:p>
    <w:p>
      <w:pPr>
        <w:ind w:left="1060" w:right="4519" w:hanging="420"/>
        <w:spacing w:after="0" w:line="237" w:lineRule="auto"/>
        <w:tabs>
          <w:tab w:leader="none" w:pos="1060" w:val="left"/>
        </w:tabs>
        <w:numPr>
          <w:ilvl w:val="2"/>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Purchase Agreement dated as of October 4, 1993 between Viacom Inc. and NYNEX Corporation, as amended as of November 19, 1993.</w:t>
      </w:r>
    </w:p>
    <w:p>
      <w:pPr>
        <w:spacing w:after="0" w:line="207" w:lineRule="exact"/>
        <w:rPr>
          <w:rFonts w:ascii="Courier New" w:cs="Courier New" w:eastAsia="Courier New" w:hAnsi="Courier New"/>
          <w:sz w:val="18"/>
          <w:szCs w:val="18"/>
          <w:color w:val="auto"/>
        </w:rPr>
      </w:pPr>
    </w:p>
    <w:p>
      <w:pPr>
        <w:ind w:left="1060" w:right="4319" w:hanging="420"/>
        <w:spacing w:after="0" w:line="237" w:lineRule="auto"/>
        <w:tabs>
          <w:tab w:leader="none" w:pos="1060" w:val="left"/>
        </w:tabs>
        <w:numPr>
          <w:ilvl w:val="2"/>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Amended and Restated Stock Purchase Agreement dated October 21, 1993 between Viacom Inc. and Blockbuster Entertainment Corporation (filed herewith).</w:t>
      </w:r>
    </w:p>
    <w:p>
      <w:pPr>
        <w:spacing w:after="0" w:line="207" w:lineRule="exact"/>
        <w:rPr>
          <w:rFonts w:ascii="Courier New" w:cs="Courier New" w:eastAsia="Courier New" w:hAnsi="Courier New"/>
          <w:sz w:val="18"/>
          <w:szCs w:val="18"/>
          <w:color w:val="auto"/>
        </w:rPr>
      </w:pPr>
    </w:p>
    <w:p>
      <w:pPr>
        <w:ind w:left="1060" w:right="4419" w:hanging="420"/>
        <w:spacing w:after="0" w:line="237" w:lineRule="auto"/>
        <w:tabs>
          <w:tab w:leader="none" w:pos="1060" w:val="left"/>
        </w:tabs>
        <w:numPr>
          <w:ilvl w:val="2"/>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Subscription Agreement, dated January 7, 1994 between Viacom Inc. and Blockbuster Entertainment Corporation (incorporated by reference to Exhibit 99(c)(8) to Viacom Inc. Schedule 14D-1 Tender Offer Statement (Amendment No. 20) dated January 7, 1994).</w:t>
      </w:r>
    </w:p>
    <w:p>
      <w:pPr>
        <w:spacing w:after="0" w:line="204" w:lineRule="exact"/>
        <w:rPr>
          <w:rFonts w:ascii="Courier New" w:cs="Courier New" w:eastAsia="Courier New" w:hAnsi="Courier New"/>
          <w:sz w:val="18"/>
          <w:szCs w:val="18"/>
          <w:color w:val="auto"/>
        </w:rPr>
      </w:pPr>
    </w:p>
    <w:p>
      <w:pPr>
        <w:ind w:left="1060" w:hanging="736"/>
        <w:spacing w:after="0"/>
        <w:tabs>
          <w:tab w:leader="none" w:pos="1060"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Statements re Computation of Ratios</w:t>
      </w:r>
    </w:p>
    <w:p>
      <w:pPr>
        <w:spacing w:after="0" w:line="206" w:lineRule="exact"/>
        <w:rPr>
          <w:rFonts w:ascii="Courier New" w:cs="Courier New" w:eastAsia="Courier New" w:hAnsi="Courier New"/>
          <w:sz w:val="18"/>
          <w:szCs w:val="18"/>
          <w:color w:val="auto"/>
        </w:rPr>
      </w:pPr>
    </w:p>
    <w:p>
      <w:pPr>
        <w:ind w:left="1060" w:right="4619" w:hanging="420"/>
        <w:spacing w:after="0" w:line="236" w:lineRule="auto"/>
        <w:tabs>
          <w:tab w:leader="none" w:pos="1060" w:val="left"/>
        </w:tabs>
        <w:numPr>
          <w:ilvl w:val="2"/>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Computation of Ratio of Earnings to Fixed Changes of Viacom International Inc. (filed herewith).</w:t>
      </w:r>
    </w:p>
    <w:p>
      <w:pPr>
        <w:spacing w:after="0" w:line="208" w:lineRule="exact"/>
        <w:rPr>
          <w:rFonts w:ascii="Courier New" w:cs="Courier New" w:eastAsia="Courier New" w:hAnsi="Courier New"/>
          <w:sz w:val="18"/>
          <w:szCs w:val="18"/>
          <w:color w:val="auto"/>
        </w:rPr>
      </w:pPr>
    </w:p>
    <w:p>
      <w:pPr>
        <w:ind w:left="1060" w:right="4519" w:hanging="420"/>
        <w:spacing w:after="0" w:line="235" w:lineRule="auto"/>
        <w:tabs>
          <w:tab w:leader="none" w:pos="1060" w:val="left"/>
        </w:tabs>
        <w:numPr>
          <w:ilvl w:val="2"/>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Computation of Ratio of Earnings to Fixed of Viacom Inc.</w:t>
      </w:r>
    </w:p>
    <w:p>
      <w:pPr>
        <w:spacing w:after="0" w:line="208" w:lineRule="exact"/>
        <w:rPr>
          <w:sz w:val="20"/>
          <w:szCs w:val="20"/>
          <w:color w:val="auto"/>
        </w:rPr>
      </w:pPr>
    </w:p>
    <w:p>
      <w:pPr>
        <w:ind w:left="1060" w:right="5159" w:hanging="736"/>
        <w:spacing w:after="0" w:line="235" w:lineRule="auto"/>
        <w:tabs>
          <w:tab w:leader="none" w:pos="106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Subsidiaries of Viacom Inc. and Viacom International Inc.</w:t>
      </w:r>
    </w:p>
    <w:p>
      <w:pPr>
        <w:spacing w:after="0" w:line="203" w:lineRule="exact"/>
        <w:rPr>
          <w:sz w:val="20"/>
          <w:szCs w:val="20"/>
          <w:color w:val="auto"/>
        </w:rPr>
      </w:pPr>
    </w:p>
    <w:p>
      <w:pPr>
        <w:ind w:left="1060" w:hanging="736"/>
        <w:spacing w:after="0"/>
        <w:tabs>
          <w:tab w:leader="none" w:pos="106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of Experts and Counsel</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of Price Waterhouse.</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of Ernst &amp; Young.</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of Price Waterhouse (filed herewith)</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of Ernst &amp; Young (filed herewith)</w:t>
      </w:r>
    </w:p>
    <w:p>
      <w:pPr>
        <w:spacing w:after="0" w:line="201" w:lineRule="exact"/>
        <w:rPr>
          <w:rFonts w:ascii="Courier New" w:cs="Courier New" w:eastAsia="Courier New" w:hAnsi="Courier New"/>
          <w:sz w:val="18"/>
          <w:szCs w:val="18"/>
          <w:color w:val="auto"/>
        </w:rPr>
      </w:pPr>
    </w:p>
    <w:p>
      <w:pPr>
        <w:ind w:left="1060" w:hanging="736"/>
        <w:spacing w:after="0"/>
        <w:tabs>
          <w:tab w:leader="none" w:pos="106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Powers of Attorney.</w:t>
      </w:r>
    </w:p>
    <w:p>
      <w:pPr>
        <w:spacing w:after="0" w:line="201" w:lineRule="exact"/>
        <w:rPr>
          <w:sz w:val="20"/>
          <w:szCs w:val="20"/>
          <w:color w:val="auto"/>
        </w:rPr>
      </w:pPr>
    </w:p>
    <w:p>
      <w:pPr>
        <w:ind w:left="1060" w:hanging="736"/>
        <w:spacing w:after="0"/>
        <w:tabs>
          <w:tab w:leader="none" w:pos="10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Exhibits</w:t>
      </w:r>
    </w:p>
    <w:p>
      <w:pPr>
        <w:spacing w:after="0" w:line="206" w:lineRule="exact"/>
        <w:rPr>
          <w:rFonts w:ascii="Courier New" w:cs="Courier New" w:eastAsia="Courier New" w:hAnsi="Courier New"/>
          <w:sz w:val="18"/>
          <w:szCs w:val="18"/>
          <w:color w:val="auto"/>
        </w:rPr>
      </w:pPr>
    </w:p>
    <w:p>
      <w:pPr>
        <w:ind w:left="1060" w:right="4619" w:hanging="420"/>
        <w:spacing w:after="0" w:line="273" w:lineRule="auto"/>
        <w:tabs>
          <w:tab w:leader="none" w:pos="1060"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Item 1, Item 2 and Item 3 of Paramount's Transition Report on Form 10-K for the six-month period ended April 30, 1993, as such report was amended in its entirety by Form 10-K/A No. 1 dated September 28, 1993, as</w:t>
      </w:r>
    </w:p>
    <w:p>
      <w:pPr>
        <w:sectPr>
          <w:pgSz w:w="11900" w:h="16838" w:orient="portrait"/>
          <w:cols w:equalWidth="0" w:num="1">
            <w:col w:w="10219"/>
          </w:cols>
          <w:pgMar w:left="240" w:top="717" w:right="1440" w:bottom="0" w:gutter="0" w:footer="0" w:header="0"/>
        </w:sectPr>
      </w:pPr>
    </w:p>
    <w:bookmarkStart w:id="164" w:name="page165"/>
    <w:bookmarkEnd w:id="164"/>
    <w:p>
      <w:pPr>
        <w:ind w:left="420"/>
        <w:spacing w:after="0"/>
        <w:rPr>
          <w:sz w:val="20"/>
          <w:szCs w:val="20"/>
          <w:color w:val="auto"/>
        </w:rPr>
      </w:pPr>
      <w:r>
        <w:rPr>
          <w:rFonts w:ascii="Courier New" w:cs="Courier New" w:eastAsia="Courier New" w:hAnsi="Courier New"/>
          <w:sz w:val="18"/>
          <w:szCs w:val="18"/>
          <w:color w:val="auto"/>
        </w:rPr>
        <w:t>further amended by Form 10-K/A No. 2 dated</w:t>
      </w:r>
    </w:p>
    <w:p>
      <w:pPr>
        <w:ind w:left="420"/>
        <w:spacing w:after="0" w:line="238" w:lineRule="auto"/>
        <w:rPr>
          <w:sz w:val="20"/>
          <w:szCs w:val="20"/>
          <w:color w:val="auto"/>
        </w:rPr>
      </w:pPr>
      <w:r>
        <w:rPr>
          <w:rFonts w:ascii="Courier New" w:cs="Courier New" w:eastAsia="Courier New" w:hAnsi="Courier New"/>
          <w:sz w:val="18"/>
          <w:szCs w:val="18"/>
          <w:color w:val="auto"/>
        </w:rPr>
        <w:t>September 30, 1993 and as further amended</w:t>
      </w:r>
    </w:p>
    <w:p>
      <w:pPr>
        <w:ind w:left="420"/>
        <w:spacing w:after="0"/>
        <w:rPr>
          <w:sz w:val="20"/>
          <w:szCs w:val="20"/>
          <w:color w:val="auto"/>
        </w:rPr>
      </w:pPr>
      <w:r>
        <w:rPr>
          <w:rFonts w:ascii="Courier New" w:cs="Courier New" w:eastAsia="Courier New" w:hAnsi="Courier New"/>
          <w:sz w:val="18"/>
          <w:szCs w:val="18"/>
          <w:color w:val="auto"/>
        </w:rPr>
        <w:t>by Form 10-K/A No. 3 dated March 21, 1994.</w:t>
      </w:r>
    </w:p>
    <w:p>
      <w:pPr>
        <w:spacing w:after="0" w:line="206" w:lineRule="exact"/>
        <w:rPr>
          <w:sz w:val="20"/>
          <w:szCs w:val="20"/>
          <w:color w:val="auto"/>
        </w:rPr>
      </w:pPr>
    </w:p>
    <w:p>
      <w:pPr>
        <w:ind w:left="420" w:right="4319" w:hanging="420"/>
        <w:spacing w:after="0" w:line="236" w:lineRule="auto"/>
        <w:tabs>
          <w:tab w:leader="none" w:pos="4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on Form 10-Q of Paramount Communications Inc. for the quarter ended July 31, 1993.</w:t>
      </w:r>
    </w:p>
    <w:p>
      <w:pPr>
        <w:spacing w:after="0" w:line="208" w:lineRule="exact"/>
        <w:rPr>
          <w:rFonts w:ascii="Courier New" w:cs="Courier New" w:eastAsia="Courier New" w:hAnsi="Courier New"/>
          <w:sz w:val="18"/>
          <w:szCs w:val="18"/>
          <w:color w:val="auto"/>
        </w:rPr>
      </w:pPr>
    </w:p>
    <w:p>
      <w:pPr>
        <w:ind w:left="420" w:right="4739" w:hanging="420"/>
        <w:spacing w:after="0" w:line="236" w:lineRule="auto"/>
        <w:tabs>
          <w:tab w:leader="none" w:pos="4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on Form 10-Q of Paramount Communications Inc. for the quarter ended October 31, 1993.</w:t>
      </w:r>
    </w:p>
    <w:p>
      <w:pPr>
        <w:spacing w:after="0" w:line="208" w:lineRule="exact"/>
        <w:rPr>
          <w:rFonts w:ascii="Courier New" w:cs="Courier New" w:eastAsia="Courier New" w:hAnsi="Courier New"/>
          <w:sz w:val="18"/>
          <w:szCs w:val="18"/>
          <w:color w:val="auto"/>
        </w:rPr>
      </w:pPr>
    </w:p>
    <w:p>
      <w:pPr>
        <w:ind w:left="420" w:right="4739" w:hanging="420"/>
        <w:spacing w:after="0" w:line="236" w:lineRule="auto"/>
        <w:tabs>
          <w:tab w:leader="none" w:pos="4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on Form 10-Q of Paramount Communications Inc. for the quarter ended January 31, 1994.</w:t>
      </w:r>
    </w:p>
    <w:p>
      <w:pPr>
        <w:spacing w:after="0" w:line="203"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E-8</w:t>
      </w:r>
    </w:p>
    <w:p>
      <w:pPr>
        <w:sectPr>
          <w:pgSz w:w="11900" w:h="16838" w:orient="portrait"/>
          <w:cols w:equalWidth="0" w:num="1">
            <w:col w:w="9579"/>
          </w:cols>
          <w:pgMar w:left="880" w:top="136" w:right="1440" w:bottom="1440" w:gutter="0" w:footer="0" w:header="0"/>
        </w:sectPr>
      </w:pPr>
    </w:p>
    <w:bookmarkStart w:id="165" w:name="page166"/>
    <w:bookmarkEnd w:id="165"/>
    <w:p>
      <w:pPr>
        <w:spacing w:after="0"/>
        <w:rPr>
          <w:sz w:val="20"/>
          <w:szCs w:val="20"/>
          <w:color w:val="auto"/>
        </w:rPr>
      </w:pPr>
      <w:r>
        <w:rPr>
          <w:rFonts w:ascii="Courier New" w:cs="Courier New" w:eastAsia="Courier New" w:hAnsi="Courier New"/>
          <w:sz w:val="18"/>
          <w:szCs w:val="18"/>
          <w:color w:val="auto"/>
        </w:rPr>
        <w:t>Consent of Independent Accounts</w:t>
      </w:r>
    </w:p>
    <w:p>
      <w:pPr>
        <w:spacing w:after="0" w:line="207" w:lineRule="exact"/>
        <w:rPr>
          <w:sz w:val="20"/>
          <w:szCs w:val="20"/>
          <w:color w:val="auto"/>
        </w:rPr>
      </w:pPr>
    </w:p>
    <w:p>
      <w:pPr>
        <w:ind w:right="4099"/>
        <w:spacing w:after="0" w:line="268" w:lineRule="auto"/>
        <w:rPr>
          <w:sz w:val="20"/>
          <w:szCs w:val="20"/>
          <w:color w:val="auto"/>
        </w:rPr>
      </w:pPr>
      <w:r>
        <w:rPr>
          <w:rFonts w:ascii="Courier New" w:cs="Courier New" w:eastAsia="Courier New" w:hAnsi="Courier New"/>
          <w:sz w:val="16"/>
          <w:szCs w:val="16"/>
          <w:color w:val="auto"/>
        </w:rPr>
        <w:t>We hereby consent to the incorporation by reference in the Prospectus constituting part of the Registration Statement on Form S-3 (No. 33-59356) of Viacom Inc. and Viacom International Inc. and Form S-8 (No. 33-41934 and No.</w:t>
      </w:r>
    </w:p>
    <w:p>
      <w:pPr>
        <w:spacing w:after="0" w:line="1" w:lineRule="exact"/>
        <w:rPr>
          <w:sz w:val="20"/>
          <w:szCs w:val="20"/>
          <w:color w:val="auto"/>
        </w:rPr>
      </w:pPr>
    </w:p>
    <w:p>
      <w:pPr>
        <w:ind w:right="4099"/>
        <w:spacing w:after="0" w:line="279" w:lineRule="auto"/>
        <w:rPr>
          <w:sz w:val="20"/>
          <w:szCs w:val="20"/>
          <w:color w:val="auto"/>
        </w:rPr>
      </w:pPr>
      <w:r>
        <w:rPr>
          <w:rFonts w:ascii="Courier New" w:cs="Courier New" w:eastAsia="Courier New" w:hAnsi="Courier New"/>
          <w:sz w:val="16"/>
          <w:szCs w:val="16"/>
          <w:color w:val="auto"/>
        </w:rPr>
        <w:t>33-56088) of Viacom Inc., of our reports dated February 4, 1994, except as to Note 2, which is as of March 11, 1994, which appear on pages II-32 and F-2 of this Form 10-K/A.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 WATERHOUSE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38" w:lineRule="auto"/>
        <w:rPr>
          <w:sz w:val="20"/>
          <w:szCs w:val="20"/>
          <w:color w:val="auto"/>
        </w:rPr>
      </w:pPr>
      <w:r>
        <w:rPr>
          <w:rFonts w:ascii="Courier New" w:cs="Courier New" w:eastAsia="Courier New" w:hAnsi="Courier New"/>
          <w:sz w:val="18"/>
          <w:szCs w:val="18"/>
          <w:color w:val="auto"/>
        </w:rPr>
        <w:t>May 2, 1994</w:t>
      </w:r>
    </w:p>
    <w:p>
      <w:pPr>
        <w:sectPr>
          <w:pgSz w:w="11900" w:h="16838" w:orient="portrait"/>
          <w:cols w:equalWidth="0" w:num="1">
            <w:col w:w="10219"/>
          </w:cols>
          <w:pgMar w:left="240" w:top="541" w:right="1440" w:bottom="1440" w:gutter="0" w:footer="0" w:header="0"/>
        </w:sectPr>
      </w:pPr>
    </w:p>
    <w:bookmarkStart w:id="166" w:name="page167"/>
    <w:bookmarkEnd w:id="166"/>
    <w:p>
      <w:pPr>
        <w:ind w:left="180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9"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6"/>
          <w:szCs w:val="16"/>
          <w:color w:val="auto"/>
        </w:rPr>
        <w:t>We consent to the incorporation by reference in the Registration Statement (Form S-3 Number 33-59356) of Viacom Inc. and Viacom International Inc. and the Registration Statements (Form S-8 Numbers 33-41934 and 33-56088) of Viacom Inc. and in the related Prospectuses of our reports dated August 27, 1993, except for Notes A and I, as to which the date is September 10, 1993, with respect to the consolidated financial statements and schedules of Paramount Communications Inc. included in its Transition Report (Form 10-K) for the six months ended April 30, 1993, as amended September 28, 1993, as further amended September 30, 1993 and as further amended March 21, 1994, which are incorporated by reference in this Annual Report (Form 10-K/A).</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ERNST &amp; YOUNG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38" w:lineRule="auto"/>
        <w:rPr>
          <w:sz w:val="20"/>
          <w:szCs w:val="20"/>
          <w:color w:val="auto"/>
        </w:rPr>
      </w:pPr>
      <w:r>
        <w:rPr>
          <w:rFonts w:ascii="Courier New" w:cs="Courier New" w:eastAsia="Courier New" w:hAnsi="Courier New"/>
          <w:sz w:val="18"/>
          <w:szCs w:val="18"/>
          <w:color w:val="auto"/>
        </w:rPr>
        <w:t>May 2, 1994</w:t>
      </w:r>
    </w:p>
    <w:sectPr>
      <w:pgSz w:w="11900" w:h="16838" w:orient="portrait"/>
      <w:cols w:equalWidth="0" w:num="1">
        <w:col w:w="10219"/>
      </w:cols>
      <w:pgMar w:left="2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1."/>
      <w:numFmt w:val="decimal"/>
      <w:start w:val="34"/>
    </w:lvl>
  </w:abstractNum>
  <w:abstractNum w:abstractNumId="1">
    <w:nsid w:val="614FD4A1"/>
    <w:multiLevelType w:val="hybridMultilevel"/>
    <w:lvl w:ilvl="0">
      <w:lvlJc w:val="left"/>
      <w:lvlText w:val="(%1)"/>
      <w:numFmt w:val="lowerRoman"/>
      <w:start w:val="5"/>
    </w:lvl>
  </w:abstractNum>
  <w:abstractNum w:abstractNumId="2">
    <w:nsid w:val="419AC241"/>
    <w:multiLevelType w:val="hybridMultilevel"/>
    <w:lvl w:ilvl="0">
      <w:lvlJc w:val="left"/>
      <w:lvlText w:val="(%1)"/>
      <w:numFmt w:val="decimal"/>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1)"/>
      <w:numFmt w:val="lowerRoman"/>
      <w:start w:val="3"/>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1)"/>
      <w:numFmt w:val="lowerRoman"/>
      <w:start w:val="1"/>
    </w:lvl>
  </w:abstractNum>
  <w:abstractNum w:abstractNumId="10">
    <w:nsid w:val="2463B9EA"/>
    <w:multiLevelType w:val="hybridMultilevel"/>
    <w:lvl w:ilvl="0">
      <w:lvlJc w:val="left"/>
      <w:lvlText w:val="(%1)"/>
      <w:numFmt w:val="lowerRoman"/>
      <w:start w:val="3"/>
    </w:lvl>
  </w:abstractNum>
  <w:abstractNum w:abstractNumId="11">
    <w:nsid w:val="5E884ADC"/>
    <w:multiLevelType w:val="hybridMultilevel"/>
    <w:lvl w:ilvl="0">
      <w:lvlJc w:val="left"/>
      <w:lvlText w:val="(%1)"/>
      <w:numFmt w:val="lowerRoman"/>
      <w:start w:val="3"/>
    </w:lvl>
  </w:abstractNum>
  <w:abstractNum w:abstractNumId="12">
    <w:nsid w:val="51EAD36B"/>
    <w:multiLevelType w:val="hybridMultilevel"/>
    <w:lvl w:ilvl="0">
      <w:lvlJc w:val="left"/>
      <w:lvlText w:val="(%1)"/>
      <w:numFmt w:val="lowerLetter"/>
      <w:start w:val="1"/>
    </w:lvl>
  </w:abstractNum>
  <w:abstractNum w:abstractNumId="13">
    <w:nsid w:val="2D517796"/>
    <w:multiLevelType w:val="hybridMultilevel"/>
    <w:lvl w:ilvl="0">
      <w:lvlJc w:val="left"/>
      <w:lvlText w:val="%1)"/>
      <w:numFmt w:val="lowerLetter"/>
      <w:start w:val="2"/>
    </w:lvl>
  </w:abstractNum>
  <w:abstractNum w:abstractNumId="14">
    <w:nsid w:val="580BD78F"/>
    <w:multiLevelType w:val="hybridMultilevel"/>
    <w:lvl w:ilvl="0">
      <w:lvlJc w:val="left"/>
      <w:lvlText w:val="(%1)"/>
      <w:numFmt w:val="lowerRoman"/>
      <w:start w:val="1"/>
    </w:lvl>
  </w:abstractNum>
  <w:abstractNum w:abstractNumId="15">
    <w:nsid w:val="153EA438"/>
    <w:multiLevelType w:val="hybridMultilevel"/>
    <w:lvl w:ilvl="0">
      <w:lvlJc w:val="left"/>
      <w:lvlText w:val="(%1)"/>
      <w:numFmt w:val="lowerRoman"/>
      <w:start w:val="1"/>
    </w:lvl>
  </w:abstractNum>
  <w:abstractNum w:abstractNumId="16">
    <w:nsid w:val="3855585C"/>
    <w:multiLevelType w:val="hybridMultilevel"/>
    <w:lvl w:ilvl="0">
      <w:lvlJc w:val="left"/>
      <w:lvlText w:val="(%1)"/>
      <w:numFmt w:val="lowerRoman"/>
      <w:start w:val="2"/>
    </w:lvl>
  </w:abstractNum>
  <w:abstractNum w:abstractNumId="17">
    <w:nsid w:val="70A64E2A"/>
    <w:multiLevelType w:val="hybridMultilevel"/>
    <w:lvl w:ilvl="0">
      <w:lvlJc w:val="left"/>
      <w:lvlText w:val="(%1)"/>
      <w:numFmt w:val="lowerLetter"/>
      <w:start w:val="1"/>
    </w:lvl>
  </w:abstractNum>
  <w:abstractNum w:abstractNumId="18">
    <w:nsid w:val="6A2342EC"/>
    <w:multiLevelType w:val="hybridMultilevel"/>
    <w:lvl w:ilvl="0">
      <w:lvlJc w:val="left"/>
      <w:lvlText w:val="(%1)"/>
      <w:numFmt w:val="lowerLetter"/>
      <w:start w:val="2"/>
    </w:lvl>
  </w:abstractNum>
  <w:abstractNum w:abstractNumId="19">
    <w:nsid w:val="2A487CB0"/>
    <w:multiLevelType w:val="hybridMultilevel"/>
    <w:lvl w:ilvl="0">
      <w:lvlJc w:val="left"/>
      <w:lvlText w:val="(%1)"/>
      <w:numFmt w:val="lowerLetter"/>
      <w:start w:val="4"/>
    </w:lvl>
  </w:abstractNum>
  <w:abstractNum w:abstractNumId="20">
    <w:nsid w:val="1D4ED43B"/>
    <w:multiLevelType w:val="hybridMultilevel"/>
    <w:lvl w:ilvl="0">
      <w:lvlJc w:val="left"/>
      <w:lvlText w:val="%1)"/>
      <w:numFmt w:val="lowerLetter"/>
      <w:start w:val="2"/>
    </w:lvl>
  </w:abstractNum>
  <w:abstractNum w:abstractNumId="21">
    <w:nsid w:val="725A06FB"/>
    <w:multiLevelType w:val="hybridMultilevel"/>
    <w:lvl w:ilvl="0">
      <w:lvlJc w:val="left"/>
      <w:lvlText w:val="(%1)"/>
      <w:numFmt w:val="lowerRoman"/>
      <w:start w:val="2"/>
    </w:lvl>
  </w:abstractNum>
  <w:abstractNum w:abstractNumId="22">
    <w:nsid w:val="2CD89A32"/>
    <w:multiLevelType w:val="hybridMultilevel"/>
    <w:lvl w:ilvl="0">
      <w:lvlJc w:val="left"/>
      <w:lvlText w:val="(%1)"/>
      <w:numFmt w:val="lowerLetter"/>
      <w:start w:val="1"/>
    </w:lvl>
  </w:abstractNum>
  <w:abstractNum w:abstractNumId="23">
    <w:nsid w:val="57E4CCAF"/>
    <w:multiLevelType w:val="hybridMultilevel"/>
    <w:lvl w:ilvl="0">
      <w:lvlJc w:val="left"/>
      <w:lvlText w:val="(%1)"/>
      <w:numFmt w:val="lowerRoman"/>
      <w:start w:val="2"/>
    </w:lvl>
  </w:abstractNum>
  <w:abstractNum w:abstractNumId="24">
    <w:nsid w:val="7A6D8D3C"/>
    <w:multiLevelType w:val="hybridMultilevel"/>
    <w:lvl w:ilvl="0">
      <w:lvlJc w:val="left"/>
      <w:lvlText w:val="(%1)"/>
      <w:numFmt w:val="lowerLetter"/>
      <w:start w:val="2"/>
    </w:lvl>
  </w:abstractNum>
  <w:abstractNum w:abstractNumId="25">
    <w:nsid w:val="4B588F54"/>
    <w:multiLevelType w:val="hybridMultilevel"/>
    <w:lvl w:ilvl="0">
      <w:lvlJc w:val="left"/>
      <w:lvlText w:val="(%1)"/>
      <w:numFmt w:val="lowerLetter"/>
      <w:start w:val="4"/>
    </w:lvl>
  </w:abstractNum>
  <w:abstractNum w:abstractNumId="26">
    <w:nsid w:val="542289EC"/>
    <w:multiLevelType w:val="hybridMultilevel"/>
    <w:lvl w:ilvl="0">
      <w:lvlJc w:val="left"/>
      <w:lvlText w:val="(%1)"/>
      <w:numFmt w:val="lowerLetter"/>
      <w:start w:val="1"/>
    </w:lvl>
  </w:abstractNum>
  <w:abstractNum w:abstractNumId="27">
    <w:nsid w:val="6DE91B18"/>
    <w:multiLevelType w:val="hybridMultilevel"/>
    <w:lvl w:ilvl="0">
      <w:lvlJc w:val="left"/>
      <w:lvlText w:val="(%1)"/>
      <w:numFmt w:val="lowerLetter"/>
      <w:start w:val="3"/>
    </w:lvl>
  </w:abstractNum>
  <w:abstractNum w:abstractNumId="28">
    <w:nsid w:val="38437FDB"/>
    <w:multiLevelType w:val="hybridMultilevel"/>
    <w:lvl w:ilvl="0">
      <w:lvlJc w:val="left"/>
      <w:lvlText w:val="(%1)"/>
      <w:numFmt w:val="lowerRoman"/>
      <w:start w:val="2"/>
    </w:lvl>
  </w:abstractNum>
  <w:abstractNum w:abstractNumId="29">
    <w:nsid w:val="7644A45C"/>
    <w:multiLevelType w:val="hybridMultilevel"/>
    <w:lvl w:ilvl="0">
      <w:lvlJc w:val="left"/>
      <w:lvlText w:val="%1)"/>
      <w:numFmt w:val="decimal"/>
      <w:start w:val="8"/>
    </w:lvl>
  </w:abstractNum>
  <w:abstractNum w:abstractNumId="30">
    <w:nsid w:val="32FFF902"/>
    <w:multiLevelType w:val="hybridMultilevel"/>
    <w:lvl w:ilvl="0">
      <w:lvlJc w:val="left"/>
      <w:lvlText w:val="(%1)"/>
      <w:numFmt w:val="decimal"/>
      <w:start w:val="1"/>
    </w:lvl>
  </w:abstractNum>
  <w:abstractNum w:abstractNumId="31">
    <w:nsid w:val="684A481A"/>
    <w:multiLevelType w:val="hybridMultilevel"/>
    <w:lvl w:ilvl="0">
      <w:lvlJc w:val="left"/>
      <w:lvlText w:val="%1."/>
      <w:numFmt w:val="upperLetter"/>
      <w:start w:val="35"/>
    </w:lvl>
  </w:abstractNum>
  <w:abstractNum w:abstractNumId="32">
    <w:nsid w:val="579478FE"/>
    <w:multiLevelType w:val="hybridMultilevel"/>
    <w:lvl w:ilvl="0">
      <w:lvlJc w:val="left"/>
      <w:lvlText w:val="(%1)"/>
      <w:numFmt w:val="upperLetter"/>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1)"/>
      <w:numFmt w:val="decimal"/>
      <w:start w:val="1"/>
    </w:lvl>
  </w:abstractNum>
  <w:abstractNum w:abstractNumId="40">
    <w:nsid w:val="520EEDD1"/>
    <w:multiLevelType w:val="hybridMultilevel"/>
    <w:lvl w:ilvl="0">
      <w:lvlJc w:val="left"/>
      <w:lvlText w:val="(%1)"/>
      <w:numFmt w:val="decimal"/>
      <w:start w:val="1"/>
    </w:lvl>
  </w:abstractNum>
  <w:abstractNum w:abstractNumId="41">
    <w:nsid w:val="374A3FE6"/>
    <w:multiLevelType w:val="hybridMultilevel"/>
    <w:lvl w:ilvl="0">
      <w:lvlJc w:val="left"/>
      <w:lvlText w:val="(%1)"/>
      <w:numFmt w:val="decimal"/>
      <w:start w:val="1"/>
    </w:lvl>
  </w:abstractNum>
  <w:abstractNum w:abstractNumId="42">
    <w:nsid w:val="4F4EF005"/>
    <w:multiLevelType w:val="hybridMultilevel"/>
    <w:lvl w:ilvl="0">
      <w:lvlJc w:val="left"/>
      <w:lvlText w:val="(%1)"/>
      <w:numFmt w:val="decimal"/>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1)"/>
      <w:numFmt w:val="lowerRoman"/>
      <w:start w:val="2"/>
    </w:lvl>
  </w:abstractNum>
  <w:abstractNum w:abstractNumId="46">
    <w:nsid w:val="39386575"/>
    <w:multiLevelType w:val="hybridMultilevel"/>
    <w:lvl w:ilvl="0">
      <w:lvlJc w:val="left"/>
      <w:lvlText w:val="(%1)"/>
      <w:numFmt w:val="decimal"/>
      <w:start w:val="1"/>
    </w:lvl>
  </w:abstractNum>
  <w:abstractNum w:abstractNumId="47">
    <w:nsid w:val="1CF10FD8"/>
    <w:multiLevelType w:val="hybridMultilevel"/>
    <w:lvl w:ilvl="0">
      <w:lvlJc w:val="left"/>
      <w:lvlText w:val="(%1)"/>
      <w:numFmt w:val="lowerLetter"/>
      <w:start w:val="1"/>
    </w:lvl>
  </w:abstractNum>
  <w:abstractNum w:abstractNumId="48">
    <w:nsid w:val="180115BE"/>
    <w:multiLevelType w:val="hybridMultilevel"/>
    <w:lvl w:ilvl="0">
      <w:lvlJc w:val="left"/>
      <w:lvlText w:val="(%1)"/>
      <w:numFmt w:val="lowerLetter"/>
      <w:start w:val="3"/>
    </w:lvl>
  </w:abstractNum>
  <w:abstractNum w:abstractNumId="49">
    <w:nsid w:val="235BA861"/>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50">
    <w:nsid w:val="47398C89"/>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51">
    <w:nsid w:val="354FE9F9"/>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52">
    <w:nsid w:val="15B5AF5C"/>
    <w:multiLevelType w:val="hybridMultilevel"/>
    <w:lvl w:ilvl="0">
      <w:lvlJc w:val="left"/>
      <w:lvlText w:val="-"/>
      <w:numFmt w:val="bullet"/>
      <w:start w:val="1"/>
    </w:lvl>
    <w:lvl w:ilvl="1">
      <w:lvlJc w:val="left"/>
      <w:lvlText w:val="(%2)"/>
      <w:numFmt w:val="lowerLetter"/>
      <w:start w:val="8"/>
    </w:lvl>
  </w:abstractNum>
  <w:abstractNum w:abstractNumId="53">
    <w:nsid w:val="741226BB"/>
    <w:multiLevelType w:val="hybridMultilevel"/>
    <w:lvl w:ilvl="0">
      <w:lvlJc w:val="left"/>
      <w:lvlText w:val="-"/>
      <w:numFmt w:val="bullet"/>
      <w:start w:val="1"/>
    </w:lvl>
    <w:lvl w:ilvl="1">
      <w:lvlJc w:val="left"/>
      <w:lvlText w:val="%2"/>
      <w:numFmt w:val="decimal"/>
      <w:start w:val="1"/>
    </w:lvl>
    <w:lvl w:ilvl="2">
      <w:lvlJc w:val="left"/>
      <w:lvlText w:val="(%3)"/>
      <w:numFmt w:val="lowerLetter"/>
      <w:start w:val="14"/>
    </w:lvl>
  </w:abstractNum>
  <w:abstractNum w:abstractNumId="54">
    <w:nsid w:val="D34B6A8"/>
    <w:multiLevelType w:val="hybridMultilevel"/>
    <w:lvl w:ilvl="0">
      <w:lvlJc w:val="left"/>
      <w:lvlText w:val="-"/>
      <w:numFmt w:val="bullet"/>
      <w:start w:val="1"/>
    </w:lvl>
    <w:lvl w:ilvl="1">
      <w:lvlJc w:val="left"/>
      <w:lvlText w:val="(%2)"/>
      <w:numFmt w:val="decimal"/>
      <w:start w:val="10"/>
    </w:lvl>
    <w:lvl w:ilvl="2">
      <w:lvlJc w:val="left"/>
      <w:lvlText w:val="(%3)"/>
      <w:numFmt w:val="lowerLetter"/>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
      <w:numFmt w:val="bullet"/>
      <w:start w:val="1"/>
    </w:lvl>
    <w:lvl w:ilvl="1">
      <w:lvlJc w:val="left"/>
      <w:lvlText w:val="(%2)"/>
      <w:numFmt w:val="lowerLetter"/>
      <w:start w:val="6"/>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
      <w:numFmt w:val="bullet"/>
      <w:start w:val="1"/>
    </w:lvl>
    <w:lvl w:ilvl="1">
      <w:lvlJc w:val="left"/>
      <w:lvlText w:val="(%2)"/>
      <w:numFmt w:val="lowerLetter"/>
      <w:start w:val="12"/>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
      <w:numFmt w:val="bullet"/>
      <w:start w:val="1"/>
    </w:lvl>
    <w:lvl w:ilvl="1">
      <w:lvlJc w:val="left"/>
      <w:lvlText w:val="%2"/>
      <w:numFmt w:val="decimal"/>
      <w:start w:val="1"/>
    </w:lvl>
    <w:lvl w:ilvl="2">
      <w:lvlJc w:val="left"/>
      <w:lvlText w:val="(%3)"/>
      <w:numFmt w:val="lowerLetter"/>
      <w:start w:val="17"/>
    </w:lvl>
  </w:abstractNum>
  <w:abstractNum w:abstractNumId="61">
    <w:nsid w:val="310C50B3"/>
    <w:multiLevelType w:val="hybridMultilevel"/>
    <w:lvl w:ilvl="0">
      <w:lvlJc w:val="left"/>
      <w:lvlText w:val="-"/>
      <w:numFmt w:val="bullet"/>
      <w:start w:val="1"/>
    </w:lvl>
    <w:lvl w:ilvl="1">
      <w:lvlJc w:val="left"/>
      <w:lvlText w:val="(%2)"/>
      <w:numFmt w:val="decimal"/>
      <w:start w:val="12"/>
    </w:lvl>
    <w:lvl w:ilvl="2">
      <w:lvlJc w:val="left"/>
      <w:lvlText w:val="(%3)"/>
      <w:numFmt w:val="lowerLetter"/>
      <w:start w:val="1"/>
    </w:lvl>
  </w:abstractNum>
  <w:abstractNum w:abstractNumId="62">
    <w:nsid w:val="5FF87E05"/>
    <w:multiLevelType w:val="hybridMultilevel"/>
    <w:lvl w:ilvl="0">
      <w:lvlJc w:val="left"/>
      <w:lvlText w:val="(%1)"/>
      <w:numFmt w:val="decimal"/>
      <w:start w:val="21"/>
    </w:lvl>
  </w:abstractNum>
  <w:abstractNum w:abstractNumId="63">
    <w:nsid w:val="2F305DEF"/>
    <w:multiLevelType w:val="hybridMultilevel"/>
    <w:lvl w:ilvl="0">
      <w:lvlJc w:val="left"/>
      <w:lvlText w:val="(%1)"/>
      <w:numFmt w:val="decimal"/>
      <w:start w:val="23"/>
    </w:lvl>
    <w:lvl w:ilvl="1">
      <w:lvlJc w:val="left"/>
      <w:lvlText w:val="(%2)"/>
      <w:numFmt w:val="lowerLetter"/>
      <w:start w:val="1"/>
    </w:lvl>
  </w:abstractNum>
  <w:abstractNum w:abstractNumId="64">
    <w:nsid w:val="25A70BF7"/>
    <w:multiLevelType w:val="hybridMultilevel"/>
    <w:lvl w:ilvl="0">
      <w:lvlJc w:val="left"/>
      <w:lvlText w:val="(%1)"/>
      <w:numFmt w:val="decimal"/>
      <w:start w:val="99"/>
    </w:lvl>
    <w:lvl w:ilvl="1">
      <w:lvlJc w:val="left"/>
      <w:lvlText w:val="(%2)"/>
      <w:numFmt w:val="lowerLetter"/>
      <w:start w:val="1"/>
    </w:lvl>
  </w:abstractNum>
  <w:abstractNum w:abstractNumId="65">
    <w:nsid w:val="1DBABF00"/>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2019-12-20T01:53:21Z</dcterms:created>
  <dcterms:modified xsi:type="dcterms:W3CDTF">2019-12-20T01:53:21Z</dcterms:modified>
</cp:coreProperties>
</file>