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78" w:lineRule="exact"/>
        <w:rPr>
          <w:sz w:val="24"/>
          <w:szCs w:val="24"/>
          <w:color w:val="auto"/>
        </w:rPr>
      </w:pPr>
    </w:p>
    <w:p>
      <w:pPr>
        <w:ind w:left="1260" w:right="3620" w:hanging="894"/>
        <w:spacing w:after="0" w:line="182" w:lineRule="auto"/>
        <w:tabs>
          <w:tab w:leader="none" w:pos="1260" w:val="left"/>
        </w:tabs>
        <w:numPr>
          <w:ilvl w:val="0"/>
          <w:numId w:val="1"/>
        </w:numPr>
        <w:rPr>
          <w:rFonts w:ascii="Arial" w:cs="Arial" w:eastAsia="Arial" w:hAnsi="Arial"/>
          <w:sz w:val="42"/>
          <w:szCs w:val="42"/>
          <w:b w:val="1"/>
          <w:bCs w:val="1"/>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22"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0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1260" w:right="520" w:hanging="894"/>
        <w:spacing w:after="0" w:line="182" w:lineRule="auto"/>
        <w:tabs>
          <w:tab w:leader="none" w:pos="1260" w:val="left"/>
        </w:tabs>
        <w:numPr>
          <w:ilvl w:val="0"/>
          <w:numId w:val="2"/>
        </w:numPr>
        <w:rPr>
          <w:rFonts w:ascii="MS PGothic" w:cs="MS PGothic" w:eastAsia="MS PGothic" w:hAnsi="MS PGothic"/>
          <w:sz w:val="47"/>
          <w:szCs w:val="47"/>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87"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2560" w:type="dxa"/>
            <w:vAlign w:val="bottom"/>
            <w:gridSpan w:val="2"/>
          </w:tcPr>
          <w:p>
            <w:pPr>
              <w:ind w:left="660"/>
              <w:spacing w:after="0"/>
              <w:rPr>
                <w:sz w:val="20"/>
                <w:szCs w:val="20"/>
                <w:color w:val="auto"/>
              </w:rPr>
            </w:pPr>
            <w:r>
              <w:rPr>
                <w:rFonts w:ascii="Arial" w:cs="Arial" w:eastAsia="Arial" w:hAnsi="Arial"/>
                <w:sz w:val="14"/>
                <w:szCs w:val="14"/>
                <w:b w:val="1"/>
                <w:bCs w:val="1"/>
                <w:color w:val="auto"/>
                <w:w w:val="95"/>
              </w:rPr>
              <w:t>For the transition period from</w:t>
            </w: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1420" w:type="dxa"/>
            <w:vAlign w:val="bottom"/>
            <w:tcBorders>
              <w:bottom w:val="single" w:sz="8" w:color="auto"/>
            </w:tcBorders>
            <w:gridSpan w:val="2"/>
          </w:tcPr>
          <w:p>
            <w:pPr>
              <w:spacing w:after="0"/>
              <w:rPr>
                <w:sz w:val="14"/>
                <w:szCs w:val="14"/>
                <w:color w:val="auto"/>
              </w:rPr>
            </w:pPr>
          </w:p>
        </w:tc>
        <w:tc>
          <w:tcPr>
            <w:tcW w:w="46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60" w:type="dxa"/>
            <w:vAlign w:val="bottom"/>
            <w:gridSpan w:val="6"/>
          </w:tcPr>
          <w:p>
            <w:pPr>
              <w:jc w:val="center"/>
              <w:ind w:right="3940"/>
              <w:spacing w:after="0" w:line="151" w:lineRule="exact"/>
              <w:rPr>
                <w:sz w:val="20"/>
                <w:szCs w:val="20"/>
                <w:color w:val="auto"/>
              </w:rPr>
            </w:pPr>
            <w:r>
              <w:rPr>
                <w:rFonts w:ascii="Arial" w:cs="Arial" w:eastAsia="Arial" w:hAnsi="Arial"/>
                <w:sz w:val="14"/>
                <w:szCs w:val="14"/>
                <w:b w:val="1"/>
                <w:bCs w:val="1"/>
                <w:color w:val="auto"/>
                <w:w w:val="93"/>
              </w:rPr>
              <w:t>Commission File Number 001-09553</w:t>
            </w:r>
          </w:p>
        </w:tc>
        <w:tc>
          <w:tcPr>
            <w:tcW w:w="0" w:type="dxa"/>
            <w:vAlign w:val="bottom"/>
          </w:tcPr>
          <w:p>
            <w:pPr>
              <w:spacing w:after="0"/>
              <w:rPr>
                <w:sz w:val="1"/>
                <w:szCs w:val="1"/>
                <w:color w:val="auto"/>
              </w:rPr>
            </w:pPr>
          </w:p>
        </w:tc>
      </w:tr>
      <w:tr>
        <w:trPr>
          <w:trHeight w:val="351"/>
        </w:trPr>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7"/>
          </w:tcPr>
          <w:p>
            <w:pPr>
              <w:jc w:val="center"/>
              <w:ind w:right="3280"/>
              <w:spacing w:after="0"/>
              <w:rPr>
                <w:sz w:val="20"/>
                <w:szCs w:val="20"/>
                <w:color w:val="auto"/>
              </w:rPr>
            </w:pPr>
            <w:r>
              <w:rPr>
                <w:rFonts w:ascii="Arial" w:cs="Arial" w:eastAsia="Arial" w:hAnsi="Arial"/>
                <w:sz w:val="29"/>
                <w:szCs w:val="29"/>
                <w:b w:val="1"/>
                <w:bCs w:val="1"/>
                <w:color w:val="00497F"/>
                <w:w w:val="97"/>
              </w:rPr>
              <w:t>CBS CORPORATION</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920" w:type="dxa"/>
            <w:vAlign w:val="bottom"/>
            <w:gridSpan w:val="7"/>
          </w:tcPr>
          <w:p>
            <w:pPr>
              <w:jc w:val="center"/>
              <w:ind w:right="330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58"/>
        </w:trPr>
        <w:tc>
          <w:tcPr>
            <w:tcW w:w="3300" w:type="dxa"/>
            <w:vAlign w:val="bottom"/>
            <w:gridSpan w:val="3"/>
          </w:tcPr>
          <w:p>
            <w:pPr>
              <w:jc w:val="center"/>
              <w:ind w:left="1525"/>
              <w:spacing w:after="0"/>
              <w:rPr>
                <w:sz w:val="20"/>
                <w:szCs w:val="20"/>
                <w:color w:val="auto"/>
              </w:rPr>
            </w:pPr>
            <w:r>
              <w:rPr>
                <w:rFonts w:ascii="Arial" w:cs="Arial" w:eastAsia="Arial" w:hAnsi="Arial"/>
                <w:sz w:val="18"/>
                <w:szCs w:val="18"/>
                <w:b w:val="1"/>
                <w:bCs w:val="1"/>
                <w:color w:val="auto"/>
                <w:w w:val="98"/>
              </w:rPr>
              <w:t>DELAWARE</w:t>
            </w:r>
          </w:p>
        </w:tc>
        <w:tc>
          <w:tcPr>
            <w:tcW w:w="6920" w:type="dxa"/>
            <w:vAlign w:val="bottom"/>
            <w:gridSpan w:val="7"/>
          </w:tcPr>
          <w:p>
            <w:pPr>
              <w:jc w:val="center"/>
              <w:ind w:left="2417"/>
              <w:spacing w:after="0"/>
              <w:rPr>
                <w:sz w:val="20"/>
                <w:szCs w:val="20"/>
                <w:color w:val="auto"/>
              </w:rPr>
            </w:pPr>
            <w:r>
              <w:rPr>
                <w:rFonts w:ascii="Arial" w:cs="Arial" w:eastAsia="Arial" w:hAnsi="Arial"/>
                <w:sz w:val="18"/>
                <w:szCs w:val="18"/>
                <w:b w:val="1"/>
                <w:bCs w:val="1"/>
                <w:color w:val="auto"/>
                <w:w w:val="89"/>
              </w:rPr>
              <w:t>04-2949533</w:t>
            </w:r>
          </w:p>
        </w:tc>
        <w:tc>
          <w:tcPr>
            <w:tcW w:w="0" w:type="dxa"/>
            <w:vAlign w:val="bottom"/>
          </w:tcPr>
          <w:p>
            <w:pPr>
              <w:spacing w:after="0"/>
              <w:rPr>
                <w:sz w:val="1"/>
                <w:szCs w:val="1"/>
                <w:color w:val="auto"/>
              </w:rPr>
            </w:pPr>
          </w:p>
        </w:tc>
      </w:tr>
      <w:tr>
        <w:trPr>
          <w:trHeight w:val="149"/>
        </w:trPr>
        <w:tc>
          <w:tcPr>
            <w:tcW w:w="3300" w:type="dxa"/>
            <w:vAlign w:val="bottom"/>
            <w:gridSpan w:val="3"/>
          </w:tcPr>
          <w:p>
            <w:pPr>
              <w:jc w:val="center"/>
              <w:ind w:left="1505"/>
              <w:spacing w:after="0" w:line="149" w:lineRule="exact"/>
              <w:rPr>
                <w:sz w:val="20"/>
                <w:szCs w:val="20"/>
                <w:color w:val="auto"/>
              </w:rPr>
            </w:pPr>
            <w:r>
              <w:rPr>
                <w:rFonts w:ascii="Arial" w:cs="Arial" w:eastAsia="Arial" w:hAnsi="Arial"/>
                <w:sz w:val="14"/>
                <w:szCs w:val="14"/>
                <w:color w:val="auto"/>
                <w:w w:val="95"/>
              </w:rPr>
              <w:t>(State or other jurisdiction of</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300" w:type="dxa"/>
            <w:vAlign w:val="bottom"/>
            <w:gridSpan w:val="3"/>
          </w:tcPr>
          <w:p>
            <w:pPr>
              <w:jc w:val="center"/>
              <w:ind w:left="1505"/>
              <w:spacing w:after="0"/>
              <w:rPr>
                <w:sz w:val="20"/>
                <w:szCs w:val="20"/>
                <w:color w:val="auto"/>
              </w:rPr>
            </w:pPr>
            <w:r>
              <w:rPr>
                <w:rFonts w:ascii="Arial" w:cs="Arial" w:eastAsia="Arial" w:hAnsi="Arial"/>
                <w:sz w:val="14"/>
                <w:szCs w:val="14"/>
                <w:color w:val="auto"/>
                <w:w w:val="94"/>
              </w:rPr>
              <w:t>incorporation or organization)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gridSpan w:val="5"/>
          </w:tcPr>
          <w:p>
            <w:pPr>
              <w:jc w:val="center"/>
              <w:ind w:right="4140"/>
              <w:spacing w:after="0"/>
              <w:rPr>
                <w:sz w:val="20"/>
                <w:szCs w:val="20"/>
                <w:color w:val="auto"/>
              </w:rPr>
            </w:pPr>
            <w:r>
              <w:rPr>
                <w:rFonts w:ascii="Arial" w:cs="Arial" w:eastAsia="Arial" w:hAnsi="Arial"/>
                <w:sz w:val="14"/>
                <w:szCs w:val="14"/>
                <w:b w:val="1"/>
                <w:bCs w:val="1"/>
                <w:color w:val="auto"/>
                <w:w w:val="93"/>
              </w:rPr>
              <w:t>51 W. 52</w:t>
            </w:r>
            <w:r>
              <w:rPr>
                <w:rFonts w:ascii="Arial" w:cs="Arial" w:eastAsia="Arial" w:hAnsi="Arial"/>
                <w:sz w:val="8"/>
                <w:szCs w:val="8"/>
                <w:b w:val="1"/>
                <w:bCs w:val="1"/>
                <w:color w:val="auto"/>
                <w:w w:val="93"/>
              </w:rPr>
              <w:t>nd</w:t>
            </w:r>
            <w:r>
              <w:rPr>
                <w:rFonts w:ascii="Arial" w:cs="Arial" w:eastAsia="Arial" w:hAnsi="Arial"/>
                <w:sz w:val="14"/>
                <w:szCs w:val="14"/>
                <w:b w:val="1"/>
                <w:bCs w:val="1"/>
                <w:color w:val="auto"/>
                <w:w w:val="93"/>
              </w:rPr>
              <w:t xml:space="preserve"> Street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80" w:type="dxa"/>
            <w:vAlign w:val="bottom"/>
            <w:gridSpan w:val="5"/>
          </w:tcPr>
          <w:p>
            <w:pPr>
              <w:jc w:val="center"/>
              <w:ind w:right="4120"/>
              <w:spacing w:after="0" w:line="149" w:lineRule="exact"/>
              <w:rPr>
                <w:sz w:val="20"/>
                <w:szCs w:val="20"/>
                <w:color w:val="auto"/>
              </w:rPr>
            </w:pPr>
            <w:r>
              <w:rPr>
                <w:rFonts w:ascii="Arial" w:cs="Arial" w:eastAsia="Arial" w:hAnsi="Arial"/>
                <w:sz w:val="14"/>
                <w:szCs w:val="14"/>
                <w:b w:val="1"/>
                <w:bCs w:val="1"/>
                <w:color w:val="auto"/>
                <w:w w:val="95"/>
              </w:rPr>
              <w:t>New York, NY 10019</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40" w:type="dxa"/>
            <w:vAlign w:val="bottom"/>
            <w:gridSpan w:val="5"/>
          </w:tcPr>
          <w:p>
            <w:pPr>
              <w:jc w:val="center"/>
              <w:ind w:left="897"/>
              <w:spacing w:after="0" w:line="153" w:lineRule="exact"/>
              <w:rPr>
                <w:sz w:val="20"/>
                <w:szCs w:val="20"/>
                <w:color w:val="auto"/>
              </w:rPr>
            </w:pPr>
            <w:r>
              <w:rPr>
                <w:rFonts w:ascii="Arial" w:cs="Arial" w:eastAsia="Arial" w:hAnsi="Arial"/>
                <w:sz w:val="14"/>
                <w:szCs w:val="14"/>
                <w:b w:val="1"/>
                <w:bCs w:val="1"/>
                <w:color w:val="auto"/>
                <w:w w:val="93"/>
              </w:rPr>
              <w:t>(212) 975-4321</w:t>
            </w:r>
          </w:p>
        </w:tc>
        <w:tc>
          <w:tcPr>
            <w:tcW w:w="20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920" w:type="dxa"/>
            <w:vAlign w:val="bottom"/>
            <w:gridSpan w:val="7"/>
          </w:tcPr>
          <w:p>
            <w:pPr>
              <w:jc w:val="center"/>
              <w:ind w:right="3280"/>
              <w:spacing w:after="0" w:line="149" w:lineRule="exact"/>
              <w:rPr>
                <w:sz w:val="20"/>
                <w:szCs w:val="20"/>
                <w:color w:val="auto"/>
              </w:rPr>
            </w:pPr>
            <w:r>
              <w:rPr>
                <w:rFonts w:ascii="Arial" w:cs="Arial" w:eastAsia="Arial" w:hAnsi="Arial"/>
                <w:sz w:val="14"/>
                <w:szCs w:val="14"/>
                <w:color w:val="auto"/>
                <w:w w:val="93"/>
              </w:rPr>
              <w:t>(Address, including zip code, and telephone number,</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6"/>
          </w:tcPr>
          <w:p>
            <w:pPr>
              <w:jc w:val="center"/>
              <w:ind w:right="968"/>
              <w:spacing w:after="0"/>
              <w:rPr>
                <w:sz w:val="20"/>
                <w:szCs w:val="20"/>
                <w:color w:val="auto"/>
              </w:rPr>
            </w:pPr>
            <w:r>
              <w:rPr>
                <w:rFonts w:ascii="Arial" w:cs="Arial" w:eastAsia="Arial" w:hAnsi="Arial"/>
                <w:sz w:val="14"/>
                <w:szCs w:val="14"/>
                <w:color w:val="auto"/>
                <w:w w:val="94"/>
              </w:rPr>
              <w:t>including area code, of registrant’s principal executive offices)</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7"/>
          </w:tcPr>
          <w:p>
            <w:pPr>
              <w:jc w:val="center"/>
              <w:ind w:right="33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73"/>
        </w:trPr>
        <w:tc>
          <w:tcPr>
            <w:tcW w:w="3300" w:type="dxa"/>
            <w:vAlign w:val="bottom"/>
            <w:gridSpan w:val="3"/>
            <w:vMerge w:val="restart"/>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Which Registered</w:t>
            </w:r>
          </w:p>
        </w:tc>
        <w:tc>
          <w:tcPr>
            <w:tcW w:w="0" w:type="dxa"/>
            <w:vAlign w:val="bottom"/>
          </w:tcPr>
          <w:p>
            <w:pPr>
              <w:spacing w:after="0"/>
              <w:rPr>
                <w:sz w:val="1"/>
                <w:szCs w:val="1"/>
                <w:color w:val="auto"/>
              </w:rPr>
            </w:pPr>
          </w:p>
        </w:tc>
      </w:tr>
      <w:tr>
        <w:trPr>
          <w:trHeight w:val="258"/>
        </w:trPr>
        <w:tc>
          <w:tcPr>
            <w:tcW w:w="3300" w:type="dxa"/>
            <w:vAlign w:val="bottom"/>
            <w:gridSpan w:val="3"/>
          </w:tcPr>
          <w:p>
            <w:pPr>
              <w:ind w:left="20"/>
              <w:spacing w:after="0"/>
              <w:rPr>
                <w:sz w:val="20"/>
                <w:szCs w:val="20"/>
                <w:color w:val="auto"/>
              </w:rPr>
            </w:pPr>
            <w:r>
              <w:rPr>
                <w:rFonts w:ascii="Arial" w:cs="Arial" w:eastAsia="Arial" w:hAnsi="Arial"/>
                <w:sz w:val="14"/>
                <w:szCs w:val="14"/>
                <w:color w:val="auto"/>
              </w:rPr>
              <w:t>Class A Common Stock, $0.001 par value</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80" w:type="dxa"/>
            <w:vAlign w:val="bottom"/>
            <w:gridSpan w:val="2"/>
          </w:tcPr>
          <w:p>
            <w:pPr>
              <w:ind w:left="106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70"/>
        </w:trPr>
        <w:tc>
          <w:tcPr>
            <w:tcW w:w="3300" w:type="dxa"/>
            <w:vAlign w:val="bottom"/>
            <w:gridSpan w:val="3"/>
          </w:tcPr>
          <w:p>
            <w:pPr>
              <w:ind w:left="20"/>
              <w:spacing w:after="0"/>
              <w:rPr>
                <w:sz w:val="20"/>
                <w:szCs w:val="20"/>
                <w:color w:val="auto"/>
              </w:rPr>
            </w:pPr>
            <w:r>
              <w:rPr>
                <w:rFonts w:ascii="Arial" w:cs="Arial" w:eastAsia="Arial" w:hAnsi="Arial"/>
                <w:sz w:val="14"/>
                <w:szCs w:val="14"/>
                <w:color w:val="auto"/>
              </w:rPr>
              <w:t>Class B Common Stock, $0.001 par value</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80" w:type="dxa"/>
            <w:vAlign w:val="bottom"/>
            <w:gridSpan w:val="2"/>
          </w:tcPr>
          <w:p>
            <w:pPr>
              <w:ind w:left="106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920" w:type="dxa"/>
            <w:vAlign w:val="bottom"/>
            <w:gridSpan w:val="7"/>
          </w:tcPr>
          <w:p>
            <w:pPr>
              <w:jc w:val="center"/>
              <w:ind w:right="328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500" w:type="dxa"/>
            <w:vAlign w:val="bottom"/>
            <w:gridSpan w:val="4"/>
          </w:tcPr>
          <w:p>
            <w:pPr>
              <w:jc w:val="center"/>
              <w:ind w:right="4720"/>
              <w:spacing w:after="0" w:line="158"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gridSpan w:val="5"/>
          </w:tcPr>
          <w:p>
            <w:pPr>
              <w:jc w:val="center"/>
              <w:ind w:right="4140"/>
              <w:spacing w:after="0"/>
              <w:rPr>
                <w:sz w:val="20"/>
                <w:szCs w:val="20"/>
                <w:color w:val="auto"/>
              </w:rPr>
            </w:pPr>
            <w:r>
              <w:rPr>
                <w:rFonts w:ascii="Arial" w:cs="Arial" w:eastAsia="Arial" w:hAnsi="Arial"/>
                <w:sz w:val="14"/>
                <w:szCs w:val="14"/>
                <w:b w:val="1"/>
                <w:bCs w:val="1"/>
                <w:color w:val="auto"/>
                <w:w w:val="93"/>
              </w:rPr>
              <w:t>(Title of Class)</w:t>
            </w:r>
          </w:p>
        </w:tc>
        <w:tc>
          <w:tcPr>
            <w:tcW w:w="0" w:type="dxa"/>
            <w:vAlign w:val="bottom"/>
          </w:tcPr>
          <w:p>
            <w:pPr>
              <w:spacing w:after="0"/>
              <w:rPr>
                <w:sz w:val="1"/>
                <w:szCs w:val="1"/>
                <w:color w:val="auto"/>
              </w:rPr>
            </w:pPr>
          </w:p>
        </w:tc>
      </w:tr>
    </w:tbl>
    <w:p>
      <w:pPr>
        <w:spacing w:after="0" w:line="34" w:lineRule="exact"/>
        <w:rPr>
          <w:sz w:val="24"/>
          <w:szCs w:val="24"/>
          <w:color w:val="auto"/>
        </w:rPr>
      </w:pPr>
    </w:p>
    <w:p>
      <w:pPr>
        <w:ind w:left="340"/>
        <w:spacing w:after="0"/>
        <w:tabs>
          <w:tab w:leader="none" w:pos="810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of 1933). Yes x</w:t>
        <w:tab/>
        <w:t>No o</w:t>
      </w:r>
    </w:p>
    <w:p>
      <w:pPr>
        <w:spacing w:after="0" w:line="121" w:lineRule="exact"/>
        <w:rPr>
          <w:sz w:val="24"/>
          <w:szCs w:val="24"/>
          <w:color w:val="auto"/>
        </w:rPr>
      </w:pPr>
    </w:p>
    <w:p>
      <w:pPr>
        <w:ind w:left="340"/>
        <w:spacing w:after="0"/>
        <w:tabs>
          <w:tab w:leader="none" w:pos="93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Securities Exchange Act of 1934. Yes o</w:t>
        <w:tab/>
        <w:t>No x</w:t>
      </w:r>
    </w:p>
    <w:p>
      <w:pPr>
        <w:spacing w:after="0" w:line="121" w:lineRule="exact"/>
        <w:rPr>
          <w:sz w:val="24"/>
          <w:szCs w:val="24"/>
          <w:color w:val="auto"/>
        </w:rPr>
      </w:pPr>
    </w:p>
    <w:p>
      <w:pPr>
        <w:jc w:val="both"/>
        <w:ind w:right="20" w:firstLine="324"/>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registrant was required to submit such files). Yes x No o</w:t>
      </w:r>
    </w:p>
    <w:p>
      <w:pPr>
        <w:spacing w:after="0" w:line="12" w:lineRule="exact"/>
        <w:rPr>
          <w:sz w:val="24"/>
          <w:szCs w:val="24"/>
          <w:color w:val="auto"/>
        </w:rPr>
      </w:pPr>
    </w:p>
    <w:p>
      <w:pPr>
        <w:ind w:firstLine="324"/>
        <w:spacing w:after="0"/>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78" w:lineRule="exact"/>
        <w:rPr>
          <w:sz w:val="24"/>
          <w:szCs w:val="24"/>
          <w:color w:val="auto"/>
        </w:rPr>
      </w:pPr>
    </w:p>
    <w:p>
      <w:pPr>
        <w:jc w:val="both"/>
        <w:ind w:firstLine="324"/>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97" w:lineRule="exact"/>
        <w:rPr>
          <w:sz w:val="24"/>
          <w:szCs w:val="24"/>
          <w:color w:val="auto"/>
        </w:rPr>
      </w:pPr>
    </w:p>
    <w:p>
      <w:pPr>
        <w:ind w:left="40"/>
        <w:spacing w:after="0"/>
        <w:tabs>
          <w:tab w:leader="none" w:pos="2640" w:val="left"/>
          <w:tab w:leader="none" w:pos="4620" w:val="left"/>
          <w:tab w:leader="none" w:pos="7140" w:val="left"/>
          <w:tab w:leader="none" w:pos="96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82"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left="340"/>
        <w:spacing w:after="0"/>
        <w:tabs>
          <w:tab w:leader="none" w:pos="8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 Yes o</w:t>
        <w:tab/>
        <w:t>No x</w:t>
      </w:r>
    </w:p>
    <w:p>
      <w:pPr>
        <w:spacing w:after="0" w:line="67" w:lineRule="exact"/>
        <w:rPr>
          <w:sz w:val="24"/>
          <w:szCs w:val="24"/>
          <w:color w:val="auto"/>
        </w:rPr>
      </w:pPr>
    </w:p>
    <w:p>
      <w:pPr>
        <w:jc w:val="both"/>
        <w:ind w:firstLine="324"/>
        <w:spacing w:after="0" w:line="231" w:lineRule="auto"/>
        <w:rPr>
          <w:sz w:val="20"/>
          <w:szCs w:val="20"/>
          <w:color w:val="auto"/>
        </w:rPr>
      </w:pPr>
      <w:r>
        <w:rPr>
          <w:rFonts w:ascii="Arial" w:cs="Arial" w:eastAsia="Arial" w:hAnsi="Arial"/>
          <w:sz w:val="14"/>
          <w:szCs w:val="14"/>
          <w:color w:val="auto"/>
        </w:rPr>
        <w:t>As of June 29, 2018, which was the last business day of the registrant’s most recently completed second fiscal quarter, the market value of the shares of CBS Corporation Class A Common Stock,$0.001 par value (“Class A Common Stock”), held by non-affiliates was approximately $430,735,007 (based upon the closing price of $56.49 per share as reported by the New York Stock Exchange on that date) and the market value of the shares of CBS Corporation Class B Common Stock, $0.001 par value (“Class B Common Stock”), held by non-affiliates was approximately $18,367,556,649 (based upon the closing price of $56.22 per share as reported by the New York Stock Exchange on that date); and the aggregate market value of the shares of both Class A Common Stock and Class B Common Stock held by non-affiliates was $18,798,291,656.</w:t>
      </w:r>
    </w:p>
    <w:p>
      <w:pPr>
        <w:spacing w:after="0" w:line="7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13, 2019, 25,293,972 shares of Class A Common Stock and 347,676,011 shares of Class B Common Stock were outstanding.</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4"/>
          <w:szCs w:val="14"/>
          <w:color w:val="auto"/>
        </w:rPr>
        <w:t>Portions of CBS Corporation’s Notice of 2019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920" w:type="dxa"/>
            <w:vAlign w:val="bottom"/>
            <w:gridSpan w:val="10"/>
          </w:tcPr>
          <w:p>
            <w:pPr>
              <w:jc w:val="center"/>
              <w:ind w:right="3320"/>
              <w:spacing w:after="0"/>
              <w:rPr>
                <w:sz w:val="20"/>
                <w:szCs w:val="20"/>
                <w:color w:val="auto"/>
              </w:rPr>
            </w:pPr>
            <w:r>
              <w:rPr>
                <w:rFonts w:ascii="Arial" w:cs="Arial" w:eastAsia="Arial" w:hAnsi="Arial"/>
                <w:sz w:val="20"/>
                <w:szCs w:val="20"/>
                <w:b w:val="1"/>
                <w:bCs w:val="1"/>
                <w:color w:val="auto"/>
                <w:w w:val="97"/>
              </w:rPr>
              <w:t>CBS CORPORATION</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20" w:type="dxa"/>
            <w:vAlign w:val="bottom"/>
            <w:gridSpan w:val="10"/>
          </w:tcPr>
          <w:p>
            <w:pPr>
              <w:jc w:val="center"/>
              <w:ind w:right="3320"/>
              <w:spacing w:after="0"/>
              <w:rPr>
                <w:sz w:val="20"/>
                <w:szCs w:val="20"/>
                <w:color w:val="auto"/>
              </w:rPr>
            </w:pPr>
            <w:r>
              <w:rPr>
                <w:rFonts w:ascii="Arial" w:cs="Arial" w:eastAsia="Arial" w:hAnsi="Arial"/>
                <w:sz w:val="20"/>
                <w:szCs w:val="20"/>
                <w:b w:val="1"/>
                <w:bCs w:val="1"/>
                <w:color w:val="auto"/>
                <w:w w:val="98"/>
              </w:rPr>
              <w:t>TABLE OF CONTENTS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11"/>
          </w:tcPr>
          <w:p>
            <w:pPr>
              <w:jc w:val="center"/>
              <w:ind w:right="320"/>
              <w:spacing w:after="0"/>
              <w:rPr>
                <w:sz w:val="20"/>
                <w:szCs w:val="20"/>
                <w:color w:val="auto"/>
              </w:rPr>
            </w:pPr>
            <w:r>
              <w:rPr>
                <w:rFonts w:ascii="Arial" w:cs="Arial" w:eastAsia="Arial" w:hAnsi="Arial"/>
                <w:sz w:val="20"/>
                <w:szCs w:val="20"/>
                <w:color w:val="auto"/>
                <w:w w:val="85"/>
              </w:rPr>
              <w:t>Page</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40" w:type="dxa"/>
            <w:vAlign w:val="bottom"/>
            <w:gridSpan w:val="7"/>
            <w:vMerge w:val="restart"/>
          </w:tcPr>
          <w:p>
            <w:pPr>
              <w:jc w:val="center"/>
              <w:ind w:right="4200"/>
              <w:spacing w:after="0"/>
              <w:rPr>
                <w:sz w:val="20"/>
                <w:szCs w:val="20"/>
                <w:color w:val="auto"/>
              </w:rPr>
            </w:pPr>
            <w:r>
              <w:rPr>
                <w:rFonts w:ascii="Arial" w:cs="Arial" w:eastAsia="Arial" w:hAnsi="Arial"/>
                <w:sz w:val="20"/>
                <w:szCs w:val="20"/>
                <w:color w:val="auto"/>
                <w:w w:val="93"/>
              </w:rPr>
              <w:t>PART I</w:t>
            </w: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r>
              <w:rPr>
                <w:rFonts w:ascii="Arial" w:cs="Arial" w:eastAsia="Arial" w:hAnsi="Arial"/>
                <w:sz w:val="20"/>
                <w:szCs w:val="20"/>
                <w:color w:val="auto"/>
              </w:rPr>
              <w:t>Item 1.</w:t>
            </w:r>
          </w:p>
        </w:tc>
        <w:tc>
          <w:tcPr>
            <w:tcW w:w="760" w:type="dxa"/>
            <w:vAlign w:val="bottom"/>
          </w:tcPr>
          <w:p>
            <w:pPr>
              <w:spacing w:after="0"/>
              <w:rPr>
                <w:rFonts w:ascii="Arial" w:cs="Arial" w:eastAsia="Arial" w:hAnsi="Arial"/>
                <w:sz w:val="20"/>
                <w:szCs w:val="20"/>
                <w:color w:val="0000EE"/>
                <w:w w:val="85"/>
              </w:rPr>
            </w:pPr>
            <w:hyperlink w:anchor="page3">
              <w:r>
                <w:rPr>
                  <w:rFonts w:ascii="Arial" w:cs="Arial" w:eastAsia="Arial" w:hAnsi="Arial"/>
                  <w:sz w:val="20"/>
                  <w:szCs w:val="20"/>
                  <w:color w:val="0000EE"/>
                  <w:w w:val="85"/>
                </w:rPr>
                <w:t>Business.</w:t>
              </w:r>
            </w:hyperlink>
          </w:p>
        </w:tc>
        <w:tc>
          <w:tcPr>
            <w:tcW w:w="8000" w:type="dxa"/>
            <w:vAlign w:val="bottom"/>
            <w:gridSpan w:val="18"/>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8"/>
          </w:tcPr>
          <w:p>
            <w:pPr>
              <w:jc w:val="center"/>
              <w:ind w:right="400"/>
              <w:spacing w:after="0"/>
              <w:rPr>
                <w:rFonts w:ascii="Arial" w:cs="Arial" w:eastAsia="Arial" w:hAnsi="Arial"/>
                <w:sz w:val="20"/>
                <w:szCs w:val="20"/>
                <w:color w:val="421BFF"/>
              </w:rPr>
            </w:pPr>
            <w:r>
              <w:rPr>
                <w:rFonts w:ascii="Arial" w:cs="Arial" w:eastAsia="Arial" w:hAnsi="Arial"/>
                <w:sz w:val="20"/>
                <w:szCs w:val="20"/>
                <w:color w:val="421BFF"/>
              </w:rPr>
              <w:t>I-</w:t>
            </w:r>
            <w:hyperlink w:anchor="page4">
              <w:r>
                <w:rPr>
                  <w:rFonts w:ascii="Arial" w:cs="Arial" w:eastAsia="Arial" w:hAnsi="Arial"/>
                  <w:sz w:val="20"/>
                  <w:szCs w:val="20"/>
                  <w:color w:val="0000EE"/>
                </w:rPr>
                <w:t>2</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421B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1A.</w:t>
            </w:r>
          </w:p>
        </w:tc>
        <w:tc>
          <w:tcPr>
            <w:tcW w:w="8760" w:type="dxa"/>
            <w:vAlign w:val="bottom"/>
            <w:gridSpan w:val="19"/>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Risk Factors.</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18">
              <w:r>
                <w:rPr>
                  <w:rFonts w:ascii="Arial" w:cs="Arial" w:eastAsia="Arial" w:hAnsi="Arial"/>
                  <w:sz w:val="20"/>
                  <w:szCs w:val="20"/>
                  <w:color w:val="421BFF"/>
                  <w:w w:val="92"/>
                </w:rPr>
                <w:t>16</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1B.</w:t>
            </w:r>
          </w:p>
        </w:tc>
        <w:tc>
          <w:tcPr>
            <w:tcW w:w="8760" w:type="dxa"/>
            <w:vAlign w:val="bottom"/>
            <w:gridSpan w:val="19"/>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Unresolved Staff Comments.</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29">
              <w:r>
                <w:rPr>
                  <w:rFonts w:ascii="Arial" w:cs="Arial" w:eastAsia="Arial" w:hAnsi="Arial"/>
                  <w:sz w:val="20"/>
                  <w:szCs w:val="20"/>
                  <w:color w:val="421BFF"/>
                  <w:w w:val="92"/>
                </w:rPr>
                <w:t>27</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2.</w:t>
            </w:r>
          </w:p>
        </w:tc>
        <w:tc>
          <w:tcPr>
            <w:tcW w:w="860" w:type="dxa"/>
            <w:vAlign w:val="bottom"/>
            <w:gridSpan w:val="2"/>
          </w:tcPr>
          <w:p>
            <w:pPr>
              <w:spacing w:after="0"/>
              <w:rPr>
                <w:rFonts w:ascii="Arial" w:cs="Arial" w:eastAsia="Arial" w:hAnsi="Arial"/>
                <w:sz w:val="20"/>
                <w:szCs w:val="20"/>
                <w:color w:val="0000EE"/>
                <w:w w:val="84"/>
              </w:rPr>
            </w:pPr>
            <w:hyperlink w:anchor="page29">
              <w:r>
                <w:rPr>
                  <w:rFonts w:ascii="Arial" w:cs="Arial" w:eastAsia="Arial" w:hAnsi="Arial"/>
                  <w:sz w:val="20"/>
                  <w:szCs w:val="20"/>
                  <w:color w:val="0000EE"/>
                  <w:w w:val="84"/>
                </w:rPr>
                <w:t>Properties.</w:t>
              </w:r>
            </w:hyperlink>
          </w:p>
        </w:tc>
        <w:tc>
          <w:tcPr>
            <w:tcW w:w="1440" w:type="dxa"/>
            <w:vAlign w:val="bottom"/>
            <w:gridSpan w:val="6"/>
          </w:tcPr>
          <w:p>
            <w:pPr>
              <w:spacing w:after="0"/>
              <w:rPr>
                <w:sz w:val="24"/>
                <w:szCs w:val="24"/>
                <w:color w:val="auto"/>
              </w:rPr>
            </w:pPr>
          </w:p>
        </w:tc>
        <w:tc>
          <w:tcPr>
            <w:tcW w:w="646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29">
              <w:r>
                <w:rPr>
                  <w:rFonts w:ascii="Arial" w:cs="Arial" w:eastAsia="Arial" w:hAnsi="Arial"/>
                  <w:sz w:val="20"/>
                  <w:szCs w:val="20"/>
                  <w:color w:val="421BFF"/>
                  <w:w w:val="92"/>
                </w:rPr>
                <w:t>27</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3.</w:t>
            </w:r>
          </w:p>
        </w:tc>
        <w:tc>
          <w:tcPr>
            <w:tcW w:w="1520" w:type="dxa"/>
            <w:vAlign w:val="bottom"/>
            <w:gridSpan w:val="4"/>
          </w:tcPr>
          <w:p>
            <w:pPr>
              <w:spacing w:after="0"/>
              <w:rPr>
                <w:rFonts w:ascii="Arial" w:cs="Arial" w:eastAsia="Arial" w:hAnsi="Arial"/>
                <w:sz w:val="20"/>
                <w:szCs w:val="20"/>
                <w:color w:val="0000EE"/>
                <w:w w:val="86"/>
              </w:rPr>
            </w:pPr>
            <w:hyperlink w:anchor="page30">
              <w:r>
                <w:rPr>
                  <w:rFonts w:ascii="Arial" w:cs="Arial" w:eastAsia="Arial" w:hAnsi="Arial"/>
                  <w:sz w:val="20"/>
                  <w:szCs w:val="20"/>
                  <w:color w:val="0000EE"/>
                  <w:w w:val="86"/>
                </w:rPr>
                <w:t>Legal Proceedings.</w:t>
              </w:r>
            </w:hyperlink>
          </w:p>
        </w:tc>
        <w:tc>
          <w:tcPr>
            <w:tcW w:w="7240" w:type="dxa"/>
            <w:vAlign w:val="bottom"/>
            <w:gridSpan w:val="15"/>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30">
              <w:r>
                <w:rPr>
                  <w:rFonts w:ascii="Arial" w:cs="Arial" w:eastAsia="Arial" w:hAnsi="Arial"/>
                  <w:sz w:val="20"/>
                  <w:szCs w:val="20"/>
                  <w:color w:val="421BFF"/>
                  <w:w w:val="92"/>
                </w:rPr>
                <w:t>28</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4.</w:t>
            </w:r>
          </w:p>
        </w:tc>
        <w:tc>
          <w:tcPr>
            <w:tcW w:w="1940" w:type="dxa"/>
            <w:vAlign w:val="bottom"/>
            <w:gridSpan w:val="6"/>
          </w:tcPr>
          <w:p>
            <w:pPr>
              <w:spacing w:after="0"/>
              <w:rPr>
                <w:rFonts w:ascii="Arial" w:cs="Arial" w:eastAsia="Arial" w:hAnsi="Arial"/>
                <w:sz w:val="20"/>
                <w:szCs w:val="20"/>
                <w:color w:val="0000EE"/>
                <w:w w:val="86"/>
              </w:rPr>
            </w:pPr>
            <w:hyperlink w:anchor="page31">
              <w:r>
                <w:rPr>
                  <w:rFonts w:ascii="Arial" w:cs="Arial" w:eastAsia="Arial" w:hAnsi="Arial"/>
                  <w:sz w:val="20"/>
                  <w:szCs w:val="20"/>
                  <w:color w:val="0000EE"/>
                  <w:w w:val="86"/>
                </w:rPr>
                <w:t>Mine Safety Disclosures.</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31">
              <w:r>
                <w:rPr>
                  <w:rFonts w:ascii="Arial" w:cs="Arial" w:eastAsia="Arial" w:hAnsi="Arial"/>
                  <w:sz w:val="20"/>
                  <w:szCs w:val="20"/>
                  <w:color w:val="421BFF"/>
                  <w:w w:val="92"/>
                </w:rPr>
                <w:t>29</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8760" w:type="dxa"/>
            <w:vAlign w:val="bottom"/>
            <w:gridSpan w:val="19"/>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Executive Officers of the Company.</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32">
              <w:r>
                <w:rPr>
                  <w:rFonts w:ascii="Arial" w:cs="Arial" w:eastAsia="Arial" w:hAnsi="Arial"/>
                  <w:sz w:val="20"/>
                  <w:szCs w:val="20"/>
                  <w:color w:val="421BFF"/>
                  <w:w w:val="92"/>
                </w:rPr>
                <w:t>30</w:t>
              </w:r>
            </w:hyperlink>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1"/>
              </w:rPr>
              <w:t>PART II</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5.</w:t>
            </w:r>
          </w:p>
        </w:tc>
        <w:tc>
          <w:tcPr>
            <w:tcW w:w="8100" w:type="dxa"/>
            <w:vAlign w:val="bottom"/>
            <w:gridSpan w:val="18"/>
          </w:tcPr>
          <w:p>
            <w:pPr>
              <w:spacing w:after="0"/>
              <w:rPr>
                <w:rFonts w:ascii="Arial" w:cs="Arial" w:eastAsia="Arial" w:hAnsi="Arial"/>
                <w:sz w:val="20"/>
                <w:szCs w:val="20"/>
                <w:color w:val="0000EE"/>
                <w:w w:val="90"/>
              </w:rPr>
            </w:pPr>
            <w:hyperlink w:anchor="page34">
              <w:r>
                <w:rPr>
                  <w:rFonts w:ascii="Arial" w:cs="Arial" w:eastAsia="Arial" w:hAnsi="Arial"/>
                  <w:sz w:val="20"/>
                  <w:szCs w:val="20"/>
                  <w:color w:val="0000EE"/>
                  <w:w w:val="90"/>
                </w:rPr>
                <w:t>Market for CBS Corporation’s Common Equity, Related Stockholder Matters and Purchases of Equity</w:t>
              </w:r>
            </w:hyperlink>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34">
              <w:r>
                <w:rPr>
                  <w:rFonts w:ascii="Arial" w:cs="Arial" w:eastAsia="Arial" w:hAnsi="Arial"/>
                  <w:sz w:val="20"/>
                  <w:szCs w:val="20"/>
                  <w:color w:val="421BFF"/>
                  <w:w w:val="96"/>
                </w:rPr>
                <w:t>1</w:t>
              </w:r>
            </w:hyperlink>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8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7"/>
              </w:rPr>
            </w:pPr>
            <w:hyperlink w:anchor="page34">
              <w:r>
                <w:rPr>
                  <w:rFonts w:ascii="Arial" w:cs="Arial" w:eastAsia="Arial" w:hAnsi="Arial"/>
                  <w:sz w:val="20"/>
                  <w:szCs w:val="20"/>
                  <w:color w:val="0000EE"/>
                  <w:w w:val="87"/>
                </w:rPr>
                <w:t>Securities.</w:t>
              </w:r>
            </w:hyperlink>
          </w:p>
        </w:tc>
        <w:tc>
          <w:tcPr>
            <w:tcW w:w="7240" w:type="dxa"/>
            <w:vAlign w:val="bottom"/>
            <w:tcBorders>
              <w:top w:val="single" w:sz="8" w:color="0000EE"/>
            </w:tcBorders>
            <w:gridSpan w:val="16"/>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421BFF"/>
            </w:tcBorders>
          </w:tcPr>
          <w:p>
            <w:pPr>
              <w:spacing w:after="0"/>
              <w:rPr>
                <w:sz w:val="18"/>
                <w:szCs w:val="18"/>
                <w:color w:val="auto"/>
              </w:rPr>
            </w:pPr>
          </w:p>
        </w:tc>
        <w:tc>
          <w:tcPr>
            <w:tcW w:w="140" w:type="dxa"/>
            <w:vAlign w:val="bottom"/>
            <w:tcBorders>
              <w:top w:val="single" w:sz="8" w:color="421BFF"/>
            </w:tcBorders>
          </w:tcPr>
          <w:p>
            <w:pPr>
              <w:spacing w:after="0"/>
              <w:rPr>
                <w:sz w:val="18"/>
                <w:szCs w:val="18"/>
                <w:color w:val="auto"/>
              </w:rPr>
            </w:pPr>
          </w:p>
        </w:tc>
        <w:tc>
          <w:tcPr>
            <w:tcW w:w="100" w:type="dxa"/>
            <w:vAlign w:val="bottom"/>
            <w:tcBorders>
              <w:top w:val="single" w:sz="8" w:color="421BFF"/>
            </w:tcBorders>
          </w:tcPr>
          <w:p>
            <w:pPr>
              <w:spacing w:after="0"/>
              <w:rPr>
                <w:sz w:val="18"/>
                <w:szCs w:val="18"/>
                <w:color w:val="auto"/>
              </w:rPr>
            </w:pPr>
          </w:p>
        </w:tc>
        <w:tc>
          <w:tcPr>
            <w:tcW w:w="20" w:type="dxa"/>
            <w:vAlign w:val="bottom"/>
            <w:tcBorders>
              <w:top w:val="single" w:sz="8" w:color="421B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6.</w:t>
            </w:r>
          </w:p>
        </w:tc>
        <w:tc>
          <w:tcPr>
            <w:tcW w:w="1940" w:type="dxa"/>
            <w:vAlign w:val="bottom"/>
            <w:gridSpan w:val="6"/>
          </w:tcPr>
          <w:p>
            <w:pPr>
              <w:spacing w:after="0"/>
              <w:rPr>
                <w:rFonts w:ascii="Arial" w:cs="Arial" w:eastAsia="Arial" w:hAnsi="Arial"/>
                <w:sz w:val="20"/>
                <w:szCs w:val="20"/>
                <w:color w:val="0000EE"/>
                <w:w w:val="87"/>
              </w:rPr>
            </w:pPr>
            <w:hyperlink w:anchor="page36">
              <w:r>
                <w:rPr>
                  <w:rFonts w:ascii="Arial" w:cs="Arial" w:eastAsia="Arial" w:hAnsi="Arial"/>
                  <w:sz w:val="20"/>
                  <w:szCs w:val="20"/>
                  <w:color w:val="0000EE"/>
                  <w:w w:val="87"/>
                </w:rPr>
                <w:t>Selected Financial Data.</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36">
              <w:r>
                <w:rPr>
                  <w:rFonts w:ascii="Arial" w:cs="Arial" w:eastAsia="Arial" w:hAnsi="Arial"/>
                  <w:sz w:val="20"/>
                  <w:szCs w:val="20"/>
                  <w:color w:val="421BFF"/>
                  <w:w w:val="96"/>
                </w:rPr>
                <w:t>3</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7.</w:t>
            </w:r>
          </w:p>
        </w:tc>
        <w:tc>
          <w:tcPr>
            <w:tcW w:w="7160" w:type="dxa"/>
            <w:vAlign w:val="bottom"/>
            <w:gridSpan w:val="15"/>
          </w:tcPr>
          <w:p>
            <w:pPr>
              <w:spacing w:after="0"/>
              <w:rPr>
                <w:rFonts w:ascii="Arial" w:cs="Arial" w:eastAsia="Arial" w:hAnsi="Arial"/>
                <w:sz w:val="20"/>
                <w:szCs w:val="20"/>
                <w:color w:val="0000EE"/>
                <w:w w:val="90"/>
              </w:rPr>
            </w:pPr>
            <w:hyperlink w:anchor="page37">
              <w:r>
                <w:rPr>
                  <w:rFonts w:ascii="Arial" w:cs="Arial" w:eastAsia="Arial" w:hAnsi="Arial"/>
                  <w:sz w:val="20"/>
                  <w:szCs w:val="20"/>
                  <w:color w:val="0000EE"/>
                  <w:w w:val="90"/>
                </w:rPr>
                <w:t>Management’s Discussion and Analysis of Results of Operations and Financial Condition.</w:t>
              </w:r>
            </w:hyperlink>
          </w:p>
        </w:tc>
        <w:tc>
          <w:tcPr>
            <w:tcW w:w="160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37">
              <w:r>
                <w:rPr>
                  <w:rFonts w:ascii="Arial" w:cs="Arial" w:eastAsia="Arial" w:hAnsi="Arial"/>
                  <w:sz w:val="20"/>
                  <w:szCs w:val="20"/>
                  <w:color w:val="421BFF"/>
                  <w:w w:val="96"/>
                </w:rPr>
                <w:t>4</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8.</w:t>
            </w:r>
          </w:p>
        </w:tc>
        <w:tc>
          <w:tcPr>
            <w:tcW w:w="3720" w:type="dxa"/>
            <w:vAlign w:val="bottom"/>
            <w:tcBorders>
              <w:bottom w:val="single" w:sz="8" w:color="0000EE"/>
            </w:tcBorders>
            <w:gridSpan w:val="12"/>
          </w:tcPr>
          <w:p>
            <w:pPr>
              <w:spacing w:after="0"/>
              <w:rPr>
                <w:rFonts w:ascii="Arial" w:cs="Arial" w:eastAsia="Arial" w:hAnsi="Arial"/>
                <w:sz w:val="20"/>
                <w:szCs w:val="20"/>
                <w:color w:val="0000EE"/>
                <w:w w:val="88"/>
              </w:rPr>
            </w:pPr>
            <w:hyperlink w:anchor="page81">
              <w:r>
                <w:rPr>
                  <w:rFonts w:ascii="Arial" w:cs="Arial" w:eastAsia="Arial" w:hAnsi="Arial"/>
                  <w:sz w:val="20"/>
                  <w:szCs w:val="20"/>
                  <w:color w:val="0000EE"/>
                  <w:w w:val="88"/>
                </w:rPr>
                <w:t>Financial Statements and Supplementary Data.</w:t>
              </w:r>
            </w:hyperlink>
          </w:p>
        </w:tc>
        <w:tc>
          <w:tcPr>
            <w:tcW w:w="3440" w:type="dxa"/>
            <w:vAlign w:val="bottom"/>
            <w:gridSpan w:val="3"/>
          </w:tcPr>
          <w:p>
            <w:pPr>
              <w:spacing w:after="0"/>
              <w:rPr>
                <w:sz w:val="24"/>
                <w:szCs w:val="24"/>
                <w:color w:val="auto"/>
              </w:rPr>
            </w:pPr>
          </w:p>
        </w:tc>
        <w:tc>
          <w:tcPr>
            <w:tcW w:w="160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421BFF"/>
            </w:tcBorders>
            <w:gridSpan w:val="9"/>
          </w:tcPr>
          <w:p>
            <w:pPr>
              <w:jc w:val="center"/>
              <w:ind w:right="20"/>
              <w:spacing w:after="0"/>
              <w:rPr>
                <w:rFonts w:ascii="Arial" w:cs="Arial" w:eastAsia="Arial" w:hAnsi="Arial"/>
                <w:sz w:val="20"/>
                <w:szCs w:val="20"/>
                <w:color w:val="421BFF"/>
                <w:w w:val="99"/>
              </w:rPr>
            </w:pPr>
            <w:r>
              <w:rPr>
                <w:rFonts w:ascii="Arial" w:cs="Arial" w:eastAsia="Arial" w:hAnsi="Arial"/>
                <w:sz w:val="20"/>
                <w:szCs w:val="20"/>
                <w:color w:val="421BFF"/>
                <w:w w:val="99"/>
              </w:rPr>
              <w:t>II-</w:t>
            </w:r>
            <w:hyperlink w:anchor="page81">
              <w:r>
                <w:rPr>
                  <w:rFonts w:ascii="Arial" w:cs="Arial" w:eastAsia="Arial" w:hAnsi="Arial"/>
                  <w:sz w:val="20"/>
                  <w:szCs w:val="20"/>
                  <w:color w:val="421BFF"/>
                  <w:w w:val="99"/>
                </w:rPr>
                <w:t>48</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w:t>
            </w:r>
          </w:p>
        </w:tc>
        <w:tc>
          <w:tcPr>
            <w:tcW w:w="7220" w:type="dxa"/>
            <w:vAlign w:val="bottom"/>
            <w:tcBorders>
              <w:bottom w:val="single" w:sz="8" w:color="0000EE"/>
            </w:tcBorders>
            <w:gridSpan w:val="16"/>
          </w:tcPr>
          <w:p>
            <w:pPr>
              <w:spacing w:after="0"/>
              <w:rPr>
                <w:rFonts w:ascii="Arial" w:cs="Arial" w:eastAsia="Arial" w:hAnsi="Arial"/>
                <w:sz w:val="20"/>
                <w:szCs w:val="20"/>
                <w:color w:val="0000EE"/>
                <w:w w:val="89"/>
              </w:rPr>
            </w:pPr>
            <w:hyperlink w:anchor="page146">
              <w:r>
                <w:rPr>
                  <w:rFonts w:ascii="Arial" w:cs="Arial" w:eastAsia="Arial" w:hAnsi="Arial"/>
                  <w:sz w:val="20"/>
                  <w:szCs w:val="20"/>
                  <w:color w:val="0000EE"/>
                  <w:w w:val="89"/>
                </w:rPr>
                <w:t>Changes in and Disagreements With Accountants on Accounting and Financial Disclosure.</w:t>
              </w:r>
            </w:hyperlink>
          </w:p>
        </w:tc>
        <w:tc>
          <w:tcPr>
            <w:tcW w:w="154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421BFF"/>
            </w:tcBorders>
            <w:gridSpan w:val="11"/>
          </w:tcPr>
          <w:p>
            <w:pPr>
              <w:jc w:val="center"/>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46">
              <w:r>
                <w:rPr>
                  <w:rFonts w:ascii="Arial" w:cs="Arial" w:eastAsia="Arial" w:hAnsi="Arial"/>
                  <w:sz w:val="20"/>
                  <w:szCs w:val="20"/>
                  <w:color w:val="421BFF"/>
                  <w:w w:val="93"/>
                </w:rPr>
                <w:t>111</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9A.</w:t>
            </w:r>
          </w:p>
        </w:tc>
        <w:tc>
          <w:tcPr>
            <w:tcW w:w="1940" w:type="dxa"/>
            <w:vAlign w:val="bottom"/>
            <w:tcBorders>
              <w:bottom w:val="single" w:sz="8" w:color="0000EE"/>
            </w:tcBorders>
            <w:gridSpan w:val="6"/>
          </w:tcPr>
          <w:p>
            <w:pPr>
              <w:spacing w:after="0"/>
              <w:rPr>
                <w:rFonts w:ascii="Arial" w:cs="Arial" w:eastAsia="Arial" w:hAnsi="Arial"/>
                <w:sz w:val="20"/>
                <w:szCs w:val="20"/>
                <w:color w:val="0000EE"/>
                <w:w w:val="83"/>
              </w:rPr>
            </w:pPr>
            <w:hyperlink w:anchor="page146">
              <w:r>
                <w:rPr>
                  <w:rFonts w:ascii="Arial" w:cs="Arial" w:eastAsia="Arial" w:hAnsi="Arial"/>
                  <w:sz w:val="20"/>
                  <w:szCs w:val="20"/>
                  <w:color w:val="0000EE"/>
                  <w:w w:val="83"/>
                </w:rPr>
                <w:t>Controls and Procedures.</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421BFF"/>
            </w:tcBorders>
            <w:gridSpan w:val="11"/>
          </w:tcPr>
          <w:p>
            <w:pPr>
              <w:jc w:val="center"/>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46">
              <w:r>
                <w:rPr>
                  <w:rFonts w:ascii="Arial" w:cs="Arial" w:eastAsia="Arial" w:hAnsi="Arial"/>
                  <w:sz w:val="20"/>
                  <w:szCs w:val="20"/>
                  <w:color w:val="421BFF"/>
                  <w:w w:val="93"/>
                </w:rPr>
                <w:t>111</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9B.</w:t>
            </w:r>
          </w:p>
        </w:tc>
        <w:tc>
          <w:tcPr>
            <w:tcW w:w="8760" w:type="dxa"/>
            <w:vAlign w:val="bottom"/>
            <w:gridSpan w:val="19"/>
          </w:tcPr>
          <w:p>
            <w:pPr>
              <w:spacing w:after="0"/>
              <w:rPr>
                <w:rFonts w:ascii="Arial" w:cs="Arial" w:eastAsia="Arial" w:hAnsi="Arial"/>
                <w:sz w:val="20"/>
                <w:szCs w:val="20"/>
                <w:color w:val="0000EE"/>
              </w:rPr>
            </w:pPr>
            <w:hyperlink w:anchor="page146">
              <w:r>
                <w:rPr>
                  <w:rFonts w:ascii="Arial" w:cs="Arial" w:eastAsia="Arial" w:hAnsi="Arial"/>
                  <w:sz w:val="20"/>
                  <w:szCs w:val="20"/>
                  <w:color w:val="0000EE"/>
                </w:rPr>
                <w:t>Other Information.</w:t>
              </w:r>
            </w:hyperlink>
          </w:p>
        </w:tc>
        <w:tc>
          <w:tcPr>
            <w:tcW w:w="260" w:type="dxa"/>
            <w:vAlign w:val="bottom"/>
          </w:tcPr>
          <w:p>
            <w:pPr>
              <w:spacing w:after="0"/>
              <w:rPr>
                <w:sz w:val="24"/>
                <w:szCs w:val="24"/>
                <w:color w:val="auto"/>
              </w:rPr>
            </w:pPr>
          </w:p>
        </w:tc>
        <w:tc>
          <w:tcPr>
            <w:tcW w:w="760" w:type="dxa"/>
            <w:vAlign w:val="bottom"/>
            <w:gridSpan w:val="12"/>
          </w:tcPr>
          <w:p>
            <w:pPr>
              <w:jc w:val="center"/>
              <w:ind w:right="280"/>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46">
              <w:r>
                <w:rPr>
                  <w:rFonts w:ascii="Arial" w:cs="Arial" w:eastAsia="Arial" w:hAnsi="Arial"/>
                  <w:sz w:val="20"/>
                  <w:szCs w:val="20"/>
                  <w:color w:val="421BFF"/>
                  <w:w w:val="93"/>
                </w:rPr>
                <w:t>111</w:t>
              </w:r>
            </w:hyperlink>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5"/>
              </w:rPr>
              <w:t>PART III</w:t>
            </w:r>
          </w:p>
        </w:tc>
        <w:tc>
          <w:tcPr>
            <w:tcW w:w="26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10.</w:t>
            </w:r>
          </w:p>
        </w:tc>
        <w:tc>
          <w:tcPr>
            <w:tcW w:w="4560" w:type="dxa"/>
            <w:vAlign w:val="bottom"/>
            <w:tcBorders>
              <w:bottom w:val="single" w:sz="8" w:color="0000EE"/>
            </w:tcBorders>
            <w:gridSpan w:val="13"/>
          </w:tcPr>
          <w:p>
            <w:pPr>
              <w:spacing w:after="0"/>
              <w:rPr>
                <w:rFonts w:ascii="Arial" w:cs="Arial" w:eastAsia="Arial" w:hAnsi="Arial"/>
                <w:sz w:val="20"/>
                <w:szCs w:val="20"/>
                <w:color w:val="0000EE"/>
                <w:w w:val="89"/>
              </w:rPr>
            </w:pPr>
            <w:hyperlink w:anchor="page147">
              <w:r>
                <w:rPr>
                  <w:rFonts w:ascii="Arial" w:cs="Arial" w:eastAsia="Arial" w:hAnsi="Arial"/>
                  <w:sz w:val="20"/>
                  <w:szCs w:val="20"/>
                  <w:color w:val="0000EE"/>
                  <w:w w:val="89"/>
                </w:rPr>
                <w:t>Directors, Executive Officers and Corporate Governance.</w:t>
              </w:r>
            </w:hyperlink>
          </w:p>
        </w:tc>
        <w:tc>
          <w:tcPr>
            <w:tcW w:w="420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47">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11.</w:t>
            </w:r>
          </w:p>
        </w:tc>
        <w:tc>
          <w:tcPr>
            <w:tcW w:w="2040" w:type="dxa"/>
            <w:vAlign w:val="bottom"/>
            <w:tcBorders>
              <w:bottom w:val="single" w:sz="8" w:color="0000EE"/>
            </w:tcBorders>
            <w:gridSpan w:val="7"/>
          </w:tcPr>
          <w:p>
            <w:pPr>
              <w:spacing w:after="0"/>
              <w:rPr>
                <w:rFonts w:ascii="Arial" w:cs="Arial" w:eastAsia="Arial" w:hAnsi="Arial"/>
                <w:sz w:val="20"/>
                <w:szCs w:val="20"/>
                <w:color w:val="0000EE"/>
                <w:w w:val="89"/>
              </w:rPr>
            </w:pPr>
            <w:hyperlink w:anchor="page147">
              <w:r>
                <w:rPr>
                  <w:rFonts w:ascii="Arial" w:cs="Arial" w:eastAsia="Arial" w:hAnsi="Arial"/>
                  <w:sz w:val="20"/>
                  <w:szCs w:val="20"/>
                  <w:color w:val="0000EE"/>
                  <w:w w:val="89"/>
                </w:rPr>
                <w:t>Executive Compensation.</w:t>
              </w:r>
            </w:hyperlink>
          </w:p>
        </w:tc>
        <w:tc>
          <w:tcPr>
            <w:tcW w:w="672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47">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12.</w:t>
            </w:r>
          </w:p>
        </w:tc>
        <w:tc>
          <w:tcPr>
            <w:tcW w:w="8080" w:type="dxa"/>
            <w:vAlign w:val="bottom"/>
            <w:tcBorders>
              <w:bottom w:val="single" w:sz="8" w:color="0000EE"/>
            </w:tcBorders>
            <w:gridSpan w:val="17"/>
          </w:tcPr>
          <w:p>
            <w:pPr>
              <w:spacing w:after="0"/>
              <w:rPr>
                <w:rFonts w:ascii="Arial" w:cs="Arial" w:eastAsia="Arial" w:hAnsi="Arial"/>
                <w:sz w:val="20"/>
                <w:szCs w:val="20"/>
                <w:color w:val="0000EE"/>
                <w:w w:val="89"/>
              </w:rPr>
            </w:pPr>
            <w:hyperlink w:anchor="page147">
              <w:r>
                <w:rPr>
                  <w:rFonts w:ascii="Arial" w:cs="Arial" w:eastAsia="Arial" w:hAnsi="Arial"/>
                  <w:sz w:val="20"/>
                  <w:szCs w:val="20"/>
                  <w:color w:val="0000EE"/>
                  <w:w w:val="89"/>
                </w:rPr>
                <w:t>Security Ownership of Certain Beneficial Owners and Management and Related Stockholder Matters.</w:t>
              </w:r>
            </w:hyperlink>
          </w:p>
        </w:tc>
        <w:tc>
          <w:tcPr>
            <w:tcW w:w="6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47">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13.</w:t>
            </w:r>
          </w:p>
        </w:tc>
        <w:tc>
          <w:tcPr>
            <w:tcW w:w="8760" w:type="dxa"/>
            <w:vAlign w:val="bottom"/>
            <w:gridSpan w:val="19"/>
          </w:tcPr>
          <w:p>
            <w:pPr>
              <w:spacing w:after="0"/>
              <w:rPr>
                <w:rFonts w:ascii="Arial" w:cs="Arial" w:eastAsia="Arial" w:hAnsi="Arial"/>
                <w:sz w:val="20"/>
                <w:szCs w:val="20"/>
                <w:color w:val="0000EE"/>
              </w:rPr>
            </w:pPr>
            <w:hyperlink w:anchor="page147">
              <w:r>
                <w:rPr>
                  <w:rFonts w:ascii="Arial" w:cs="Arial" w:eastAsia="Arial" w:hAnsi="Arial"/>
                  <w:sz w:val="20"/>
                  <w:szCs w:val="20"/>
                  <w:color w:val="0000EE"/>
                </w:rPr>
                <w:t>Certain Relationships and Related Transactions, and Director Independence.</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rPr>
            </w:pPr>
            <w:r>
              <w:rPr>
                <w:rFonts w:ascii="Arial" w:cs="Arial" w:eastAsia="Arial" w:hAnsi="Arial"/>
                <w:sz w:val="20"/>
                <w:szCs w:val="20"/>
                <w:color w:val="421BFF"/>
              </w:rPr>
              <w:t>III-</w:t>
            </w:r>
            <w:hyperlink w:anchor="page147">
              <w:r>
                <w:rPr>
                  <w:rFonts w:ascii="Arial" w:cs="Arial" w:eastAsia="Arial" w:hAnsi="Arial"/>
                  <w:sz w:val="20"/>
                  <w:szCs w:val="20"/>
                  <w:color w:val="421BFF"/>
                </w:rPr>
                <w:t>1</w:t>
              </w:r>
            </w:hyperlink>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14.</w:t>
            </w:r>
          </w:p>
        </w:tc>
        <w:tc>
          <w:tcPr>
            <w:tcW w:w="6040" w:type="dxa"/>
            <w:vAlign w:val="bottom"/>
            <w:tcBorders>
              <w:top w:val="single" w:sz="8" w:color="0000EE"/>
            </w:tcBorders>
            <w:gridSpan w:val="14"/>
          </w:tcPr>
          <w:p>
            <w:pPr>
              <w:spacing w:after="0"/>
              <w:rPr>
                <w:rFonts w:ascii="Arial" w:cs="Arial" w:eastAsia="Arial" w:hAnsi="Arial"/>
                <w:sz w:val="20"/>
                <w:szCs w:val="20"/>
                <w:color w:val="0000EE"/>
              </w:rPr>
            </w:pPr>
            <w:hyperlink w:anchor="page147">
              <w:r>
                <w:rPr>
                  <w:rFonts w:ascii="Arial" w:cs="Arial" w:eastAsia="Arial" w:hAnsi="Arial"/>
                  <w:sz w:val="20"/>
                  <w:szCs w:val="20"/>
                  <w:color w:val="0000EE"/>
                </w:rPr>
                <w:t>Principal Accounting Fees and Services.</w:t>
              </w:r>
            </w:hyperlink>
          </w:p>
        </w:tc>
        <w:tc>
          <w:tcPr>
            <w:tcW w:w="2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47">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2"/>
              </w:rPr>
              <w:t>PART IV</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15.</w:t>
            </w:r>
          </w:p>
        </w:tc>
        <w:tc>
          <w:tcPr>
            <w:tcW w:w="324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148">
              <w:r>
                <w:rPr>
                  <w:rFonts w:ascii="Arial" w:cs="Arial" w:eastAsia="Arial" w:hAnsi="Arial"/>
                  <w:sz w:val="20"/>
                  <w:szCs w:val="20"/>
                  <w:color w:val="0000EE"/>
                  <w:w w:val="88"/>
                </w:rPr>
                <w:t>Exhibits, Financial Statement Schedules.</w:t>
              </w:r>
            </w:hyperlink>
          </w:p>
        </w:tc>
        <w:tc>
          <w:tcPr>
            <w:tcW w:w="552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421BFF"/>
            </w:tcBorders>
            <w:gridSpan w:val="6"/>
          </w:tcPr>
          <w:p>
            <w:pPr>
              <w:jc w:val="center"/>
              <w:spacing w:after="0"/>
              <w:rPr>
                <w:rFonts w:ascii="Arial" w:cs="Arial" w:eastAsia="Arial" w:hAnsi="Arial"/>
                <w:sz w:val="20"/>
                <w:szCs w:val="20"/>
                <w:color w:val="421BFF"/>
                <w:w w:val="98"/>
              </w:rPr>
            </w:pPr>
            <w:r>
              <w:rPr>
                <w:rFonts w:ascii="Arial" w:cs="Arial" w:eastAsia="Arial" w:hAnsi="Arial"/>
                <w:sz w:val="20"/>
                <w:szCs w:val="20"/>
                <w:color w:val="421BFF"/>
                <w:w w:val="98"/>
              </w:rPr>
              <w:t>IV-</w:t>
            </w:r>
            <w:hyperlink w:anchor="page148">
              <w:r>
                <w:rPr>
                  <w:rFonts w:ascii="Arial" w:cs="Arial" w:eastAsia="Arial" w:hAnsi="Arial"/>
                  <w:sz w:val="20"/>
                  <w:szCs w:val="20"/>
                  <w:color w:val="421BFF"/>
                  <w:w w:val="98"/>
                </w:rPr>
                <w:t>1</w:t>
              </w:r>
            </w:hyperlink>
          </w:p>
        </w:tc>
        <w:tc>
          <w:tcPr>
            <w:tcW w:w="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16.</w:t>
            </w:r>
          </w:p>
        </w:tc>
        <w:tc>
          <w:tcPr>
            <w:tcW w:w="8760" w:type="dxa"/>
            <w:vAlign w:val="bottom"/>
            <w:gridSpan w:val="19"/>
          </w:tcPr>
          <w:p>
            <w:pPr>
              <w:spacing w:after="0"/>
              <w:rPr>
                <w:rFonts w:ascii="Arial" w:cs="Arial" w:eastAsia="Arial" w:hAnsi="Arial"/>
                <w:sz w:val="20"/>
                <w:szCs w:val="20"/>
                <w:color w:val="0000EE"/>
              </w:rPr>
            </w:pPr>
            <w:hyperlink w:anchor="page148">
              <w:r>
                <w:rPr>
                  <w:rFonts w:ascii="Arial" w:cs="Arial" w:eastAsia="Arial" w:hAnsi="Arial"/>
                  <w:sz w:val="20"/>
                  <w:szCs w:val="20"/>
                  <w:color w:val="0000EE"/>
                </w:rPr>
                <w:t>Form 10-K Summary.</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8"/>
              </w:rPr>
            </w:pPr>
            <w:r>
              <w:rPr>
                <w:rFonts w:ascii="Arial" w:cs="Arial" w:eastAsia="Arial" w:hAnsi="Arial"/>
                <w:sz w:val="20"/>
                <w:szCs w:val="20"/>
                <w:color w:val="421BFF"/>
                <w:w w:val="98"/>
              </w:rPr>
              <w:t>IV-</w:t>
            </w:r>
            <w:hyperlink w:anchor="page148">
              <w:r>
                <w:rPr>
                  <w:rFonts w:ascii="Arial" w:cs="Arial" w:eastAsia="Arial" w:hAnsi="Arial"/>
                  <w:sz w:val="20"/>
                  <w:szCs w:val="20"/>
                  <w:color w:val="421BFF"/>
                  <w:w w:val="98"/>
                </w:rPr>
                <w:t>1</w:t>
              </w:r>
            </w:hyperlink>
          </w:p>
        </w:tc>
        <w:tc>
          <w:tcPr>
            <w:tcW w:w="0" w:type="dxa"/>
            <w:vAlign w:val="bottom"/>
          </w:tcPr>
          <w:p>
            <w:pPr>
              <w:spacing w:after="0"/>
              <w:rPr>
                <w:sz w:val="1"/>
                <w:szCs w:val="1"/>
                <w:color w:val="auto"/>
              </w:rPr>
            </w:pPr>
          </w:p>
        </w:tc>
      </w:tr>
      <w:tr>
        <w:trPr>
          <w:trHeight w:val="385"/>
        </w:trPr>
        <w:tc>
          <w:tcPr>
            <w:tcW w:w="1480" w:type="dxa"/>
            <w:vAlign w:val="bottom"/>
          </w:tcPr>
          <w:p>
            <w:pPr>
              <w:spacing w:after="0"/>
              <w:rPr>
                <w:sz w:val="24"/>
                <w:szCs w:val="24"/>
                <w:color w:val="auto"/>
              </w:rPr>
            </w:pPr>
          </w:p>
        </w:tc>
        <w:tc>
          <w:tcPr>
            <w:tcW w:w="1740" w:type="dxa"/>
            <w:vAlign w:val="bottom"/>
            <w:tcBorders>
              <w:top w:val="single" w:sz="8" w:color="0000EE"/>
            </w:tcBorders>
            <w:gridSpan w:val="5"/>
          </w:tcPr>
          <w:p>
            <w:pPr>
              <w:spacing w:after="0"/>
              <w:rPr>
                <w:rFonts w:ascii="Arial" w:cs="Arial" w:eastAsia="Arial" w:hAnsi="Arial"/>
                <w:sz w:val="20"/>
                <w:szCs w:val="20"/>
                <w:color w:val="0000EE"/>
              </w:rPr>
            </w:pPr>
            <w:hyperlink w:anchor="page155">
              <w:r>
                <w:rPr>
                  <w:rFonts w:ascii="Arial" w:cs="Arial" w:eastAsia="Arial" w:hAnsi="Arial"/>
                  <w:sz w:val="20"/>
                  <w:szCs w:val="20"/>
                  <w:color w:val="0000EE"/>
                </w:rPr>
                <w:t>Signatures.</w:t>
              </w:r>
            </w:hyperlink>
          </w:p>
        </w:tc>
        <w:tc>
          <w:tcPr>
            <w:tcW w:w="7020" w:type="dxa"/>
            <w:vAlign w:val="bottom"/>
            <w:gridSpan w:val="14"/>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40" w:top="333"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w:t>
      </w:r>
    </w:p>
    <w:p>
      <w:pPr>
        <w:spacing w:after="0" w:line="32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00" w:lineRule="exact"/>
        <w:rPr>
          <w:sz w:val="20"/>
          <w:szCs w:val="20"/>
          <w:color w:val="auto"/>
        </w:rPr>
      </w:pPr>
    </w:p>
    <w:p>
      <w:pPr>
        <w:spacing w:after="0" w:line="265"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CBS Corporation (together with its consolidated subsidiaries unless the context otherwise requires, the “Company” or “CBS Corp.”) is a mass media company with operations in the following segments:</w:t>
      </w:r>
    </w:p>
    <w:p>
      <w:pPr>
        <w:spacing w:after="0" w:line="190" w:lineRule="exact"/>
        <w:rPr>
          <w:sz w:val="20"/>
          <w:szCs w:val="20"/>
          <w:color w:val="auto"/>
        </w:rPr>
      </w:pPr>
    </w:p>
    <w:p>
      <w:pPr>
        <w:jc w:val="both"/>
        <w:ind w:left="820" w:hanging="245"/>
        <w:spacing w:after="0" w:line="195" w:lineRule="auto"/>
        <w:tabs>
          <w:tab w:leader="none" w:pos="8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ENTERTAINMENT: The Entertainment segment is composed of the </w:t>
      </w:r>
      <w:r>
        <w:rPr>
          <w:rFonts w:ascii="Arial" w:cs="Arial" w:eastAsia="Arial" w:hAnsi="Arial"/>
          <w:sz w:val="20"/>
          <w:szCs w:val="20"/>
          <w:i w:val="1"/>
          <w:iCs w:val="1"/>
          <w:color w:val="auto"/>
        </w:rPr>
        <w:t>CBS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Television Network; CBS Television Studios</w:t>
      </w:r>
      <w:r>
        <w:rPr>
          <w:rFonts w:ascii="Arial" w:cs="Arial" w:eastAsia="Arial" w:hAnsi="Arial"/>
          <w:sz w:val="25"/>
          <w:szCs w:val="25"/>
          <w:color w:val="auto"/>
          <w:vertAlign w:val="superscript"/>
        </w:rPr>
        <w:t>®</w:t>
      </w:r>
      <w:r>
        <w:rPr>
          <w:rFonts w:ascii="Arial" w:cs="Arial" w:eastAsia="Arial" w:hAnsi="Arial"/>
          <w:sz w:val="20"/>
          <w:szCs w:val="20"/>
          <w:color w:val="auto"/>
        </w:rPr>
        <w:t>; CBS Global Distribution Group™ (composed of CBS Studios International™ and CBS Television Distribution™); Network 10™; CBS Interactive</w:t>
      </w:r>
      <w:r>
        <w:rPr>
          <w:rFonts w:ascii="Arial" w:cs="Arial" w:eastAsia="Arial" w:hAnsi="Arial"/>
          <w:sz w:val="25"/>
          <w:szCs w:val="25"/>
          <w:b w:val="1"/>
          <w:bCs w:val="1"/>
          <w:i w:val="1"/>
          <w:iCs w:val="1"/>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CBS Sports Network</w:t>
      </w:r>
      <w:r>
        <w:rPr>
          <w:rFonts w:ascii="Arial" w:cs="Arial" w:eastAsia="Arial" w:hAnsi="Arial"/>
          <w:sz w:val="25"/>
          <w:szCs w:val="25"/>
          <w:color w:val="auto"/>
          <w:vertAlign w:val="superscript"/>
        </w:rPr>
        <w:t>®</w:t>
      </w:r>
      <w:r>
        <w:rPr>
          <w:rFonts w:ascii="Arial" w:cs="Arial" w:eastAsia="Arial" w:hAnsi="Arial"/>
          <w:sz w:val="20"/>
          <w:szCs w:val="20"/>
          <w:color w:val="auto"/>
        </w:rPr>
        <w:t>, the Company’s cable network focused on college athletics and other sports; CBS Films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the Company’s direct-to-consumer digital streaming services </w:t>
      </w:r>
      <w:r>
        <w:rPr>
          <w:rFonts w:ascii="Arial" w:cs="Arial" w:eastAsia="Arial" w:hAnsi="Arial"/>
          <w:sz w:val="20"/>
          <w:szCs w:val="20"/>
          <w:i w:val="1"/>
          <w:iCs w:val="1"/>
          <w:color w:val="auto"/>
        </w:rPr>
        <w:t>CBS All Access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CBSN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CBS Sports HQ</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ET Live</w:t>
      </w:r>
      <w:r>
        <w:rPr>
          <w:rFonts w:ascii="Arial" w:cs="Arial" w:eastAsia="Arial" w:hAnsi="Arial"/>
          <w:sz w:val="20"/>
          <w:szCs w:val="20"/>
          <w:color w:val="auto"/>
        </w:rPr>
        <w:t xml:space="preserve">™ and </w:t>
      </w:r>
      <w:r>
        <w:rPr>
          <w:rFonts w:ascii="Arial" w:cs="Arial" w:eastAsia="Arial" w:hAnsi="Arial"/>
          <w:sz w:val="20"/>
          <w:szCs w:val="20"/>
          <w:i w:val="1"/>
          <w:iCs w:val="1"/>
          <w:color w:val="auto"/>
        </w:rPr>
        <w:t>10 All</w:t>
      </w:r>
      <w:r>
        <w:rPr>
          <w:rFonts w:ascii="Arial" w:cs="Arial" w:eastAsia="Arial" w:hAnsi="Arial"/>
          <w:sz w:val="20"/>
          <w:szCs w:val="20"/>
          <w:color w:val="auto"/>
        </w:rPr>
        <w:t xml:space="preserve"> </w:t>
      </w:r>
      <w:r>
        <w:rPr>
          <w:rFonts w:ascii="Arial" w:cs="Arial" w:eastAsia="Arial" w:hAnsi="Arial"/>
          <w:sz w:val="20"/>
          <w:szCs w:val="20"/>
          <w:i w:val="1"/>
          <w:iCs w:val="1"/>
          <w:color w:val="auto"/>
        </w:rPr>
        <w:t>Access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left="820" w:hanging="245"/>
        <w:spacing w:after="0" w:line="232" w:lineRule="auto"/>
        <w:tabs>
          <w:tab w:leader="none" w:pos="8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CABLE NETWORKS: The Cable Networks segment is composed of Showtime Networks, which operates the Company’s premium subscription program services </w:t>
      </w:r>
      <w:r>
        <w:rPr>
          <w:rFonts w:ascii="Arial" w:cs="Arial" w:eastAsia="Arial" w:hAnsi="Arial"/>
          <w:sz w:val="20"/>
          <w:szCs w:val="20"/>
          <w:i w:val="1"/>
          <w:iCs w:val="1"/>
          <w:color w:val="auto"/>
        </w:rPr>
        <w:t>Showtime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The Movie Channel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w:t>
      </w:r>
      <w:r>
        <w:rPr>
          <w:rFonts w:ascii="Arial" w:cs="Arial" w:eastAsia="Arial" w:hAnsi="Arial"/>
          <w:sz w:val="20"/>
          <w:szCs w:val="20"/>
          <w:i w:val="1"/>
          <w:iCs w:val="1"/>
          <w:color w:val="auto"/>
        </w:rPr>
        <w:t>Flix</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a direct-to-consumer digital streaming subscription offering; and Smithsonian Networks™, a venture between Showtime Networks and Smithsonian Institution, which operates </w:t>
      </w:r>
      <w:r>
        <w:rPr>
          <w:rFonts w:ascii="Arial" w:cs="Arial" w:eastAsia="Arial" w:hAnsi="Arial"/>
          <w:sz w:val="20"/>
          <w:szCs w:val="20"/>
          <w:i w:val="1"/>
          <w:iCs w:val="1"/>
          <w:color w:val="auto"/>
        </w:rPr>
        <w:t>Smithsonian Channel</w:t>
      </w:r>
      <w:r>
        <w:rPr>
          <w:rFonts w:ascii="Arial" w:cs="Arial" w:eastAsia="Arial" w:hAnsi="Arial"/>
          <w:sz w:val="20"/>
          <w:szCs w:val="20"/>
          <w:color w:val="auto"/>
        </w:rPr>
        <w:t>™, a basic cable program service, and</w:t>
      </w:r>
      <w:r>
        <w:rPr>
          <w:rFonts w:ascii="Arial" w:cs="Arial" w:eastAsia="Arial" w:hAnsi="Arial"/>
          <w:sz w:val="20"/>
          <w:szCs w:val="20"/>
          <w:i w:val="1"/>
          <w:iCs w:val="1"/>
          <w:color w:val="auto"/>
        </w:rPr>
        <w:t xml:space="preserve"> Smithsonian Channel Plus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direct-to-consumer digital streaming</w:t>
      </w:r>
      <w:r>
        <w:rPr>
          <w:rFonts w:ascii="Arial" w:cs="Arial" w:eastAsia="Arial" w:hAnsi="Arial"/>
          <w:sz w:val="20"/>
          <w:szCs w:val="20"/>
          <w:i w:val="1"/>
          <w:iCs w:val="1"/>
          <w:color w:val="auto"/>
        </w:rPr>
        <w:t xml:space="preserve"> </w:t>
      </w:r>
      <w:r>
        <w:rPr>
          <w:rFonts w:ascii="Arial" w:cs="Arial" w:eastAsia="Arial" w:hAnsi="Arial"/>
          <w:sz w:val="20"/>
          <w:szCs w:val="20"/>
          <w:color w:val="auto"/>
        </w:rPr>
        <w:t>subscription service.</w:t>
      </w:r>
    </w:p>
    <w:p>
      <w:pPr>
        <w:spacing w:after="0" w:line="210" w:lineRule="exact"/>
        <w:rPr>
          <w:rFonts w:ascii="Arial" w:cs="Arial" w:eastAsia="Arial" w:hAnsi="Arial"/>
          <w:sz w:val="20"/>
          <w:szCs w:val="20"/>
          <w:color w:val="auto"/>
        </w:rPr>
      </w:pPr>
    </w:p>
    <w:p>
      <w:pPr>
        <w:ind w:left="820" w:hanging="245"/>
        <w:spacing w:after="0" w:line="276" w:lineRule="auto"/>
        <w:tabs>
          <w:tab w:leader="none" w:pos="8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PUBLISHING: The Publishing segment is composed of Simon &amp; Schuster, which publishes and distributes consumer books under imprints such as </w:t>
      </w:r>
      <w:r>
        <w:rPr>
          <w:rFonts w:ascii="Arial" w:cs="Arial" w:eastAsia="Arial" w:hAnsi="Arial"/>
          <w:sz w:val="20"/>
          <w:szCs w:val="20"/>
          <w:i w:val="1"/>
          <w:iCs w:val="1"/>
          <w:color w:val="auto"/>
        </w:rPr>
        <w:t>Simon &amp; Schuster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Pocket Books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Scribner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Gallery Books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w:t>
      </w:r>
      <w:r>
        <w:rPr>
          <w:rFonts w:ascii="Arial" w:cs="Arial" w:eastAsia="Arial" w:hAnsi="Arial"/>
          <w:sz w:val="20"/>
          <w:szCs w:val="20"/>
          <w:i w:val="1"/>
          <w:iCs w:val="1"/>
          <w:color w:val="auto"/>
        </w:rPr>
        <w:t>Atria Books</w:t>
      </w:r>
      <w:r>
        <w:rPr>
          <w:rFonts w:ascii="Arial" w:cs="Arial" w:eastAsia="Arial" w:hAnsi="Arial"/>
          <w:sz w:val="25"/>
          <w:szCs w:val="25"/>
          <w:color w:val="auto"/>
          <w:vertAlign w:val="superscript"/>
        </w:rPr>
        <w:t>®</w:t>
      </w:r>
      <w:r>
        <w:rPr>
          <w:rFonts w:ascii="Arial" w:cs="Arial" w:eastAsia="Arial" w:hAnsi="Arial"/>
          <w:sz w:val="20"/>
          <w:szCs w:val="20"/>
          <w:i w:val="1"/>
          <w:iCs w:val="1"/>
          <w:color w:val="auto"/>
        </w:rPr>
        <w:t>.</w:t>
      </w:r>
    </w:p>
    <w:p>
      <w:pPr>
        <w:spacing w:after="0" w:line="93" w:lineRule="exact"/>
        <w:rPr>
          <w:rFonts w:ascii="Arial" w:cs="Arial" w:eastAsia="Arial" w:hAnsi="Arial"/>
          <w:sz w:val="20"/>
          <w:szCs w:val="20"/>
          <w:color w:val="auto"/>
        </w:rPr>
      </w:pPr>
    </w:p>
    <w:p>
      <w:pPr>
        <w:ind w:left="820" w:right="20" w:hanging="245"/>
        <w:spacing w:after="0" w:line="316"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MEDIA: The Local Media segment is composed of CBS Television Stations, the Company’s 29 owned broadcast television stations; and CBS Local Digital Media™, which operates local Websites including content from the Company’s television stations.</w:t>
      </w:r>
    </w:p>
    <w:p>
      <w:pPr>
        <w:spacing w:after="0" w:line="14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color w:val="auto"/>
        </w:rPr>
        <w:t>For the year ended December 31, 2018, contributions to the Company’s consolidated revenues from its segments were as follows: Entertainment 70%, Cable Networks 15%, Publishing 6% and Local Media 13%. The Company generated approximately 17% of its total revenues from international regions in 2018. For the year ended December 31, 2018, approximately 44% and 11% of total international revenues of approximately $2.54 billion were generated in Europe and Canada, respectively.</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The Company operates businesses which span the media and entertainment industries, including the CBS Television Network, cable networks, content production and distribution, television stations, direct-to-consumer digital streaming services and other internet-based businesses, and consumer publishing. The Company’s principal strategy is to create and acquire premium content that is widely accepted by audiences and generate affiliate and subscription fee, licensing and advertising revenues from the distribution of this content on multiple media platforms and to various geographic locations. The Company plans to increase its investment in premium content to enhance its opportunities for revenue growth, which include exhibiting the Company’s content on its direct-to-consumer digital streaming services; expanding the distribution of its content internationally; and securing compensation from multichannel video programming distributors (“MVPDs”), including cable, direct broadcast satellite (“DBS”), telephone company, and other distributors, as well as third-party live television digital streaming offerings (“virtual MVPDs”), for authorizing the MVPDs’ and virtual MVPDs’ carriage of the Company’s owned television stations (also known as “retransmission fees”) and cable networks, and securing compensation from television stations affiliated with the CBS Television Network (“station affiliation fees,” also known as “reverse compensation”). The Company also seeks to grow its advertising revenues by monetizing all content viewership as industry measurements evolve to reflect viewers’ changing habits.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360" w:right="239" w:bottom="1440" w:gutter="0" w:footer="0" w:header="0"/>
        </w:sectPr>
      </w:pPr>
    </w:p>
    <w:bookmarkStart w:id="3" w:name="page4"/>
    <w:bookmarkEnd w:id="3"/>
    <w:p>
      <w:pPr>
        <w:jc w:val="both"/>
        <w:ind w:firstLine="324"/>
        <w:spacing w:after="0" w:line="246" w:lineRule="auto"/>
        <w:rPr>
          <w:sz w:val="20"/>
          <w:szCs w:val="20"/>
          <w:color w:val="auto"/>
        </w:rPr>
      </w:pPr>
      <w:r>
        <w:rPr>
          <w:rFonts w:ascii="Arial" w:cs="Arial" w:eastAsia="Arial" w:hAnsi="Arial"/>
          <w:sz w:val="20"/>
          <w:szCs w:val="20"/>
          <w:color w:val="auto"/>
        </w:rPr>
        <w:t>The Company competes with many different entities and media in various markets worldwide. In addition to competition in each of its businesses, the Company competes for opportunities in the entertainment business with other diversified entertainment companies such as The Walt Disney Company, NBCUniversal Media, LLC, Twenty-First Century Fox, Inc. and the WarnerMedia segment of AT&amp;T Inc., formerly Time Warner Inc.</w:t>
      </w:r>
    </w:p>
    <w:p>
      <w:pPr>
        <w:spacing w:after="0" w:line="20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 Also during the fourth quarter of 2018, in connection with recent management changes, the Company implemented changes to its programming strategy, primarily at CBS Films, which will shift its focus from theatrical films to developing content for the Company’s direct-to-consumer digital streaming services.</w:t>
      </w:r>
    </w:p>
    <w:p>
      <w:pPr>
        <w:spacing w:after="0" w:line="21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As of February 13, 2019, National Amusements, Inc. (“NAI”), a closely held corporation that owns and operates approximately 950 movie screens in the U.S., the United Kingdom (“U.K.”) and South America and manages 4 movie screens in South America, directly or indirectly owned approximately 79.8% of the Company’s voting Class A Common Stock, and approximately 10.5% of the Company’s Class A Common Stock and Class B Common Stock on a combined basis. Owners of the Class A Common Stock are entitled to one vote per share. The Class B Common Stock does not have voting rights. NAI is not subject to the reporting requirements of the Securities Exchange Act of 1934, as amended.</w:t>
      </w:r>
    </w:p>
    <w:p>
      <w:pPr>
        <w:spacing w:after="0" w:line="21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 was organized in Delaware in 1986. The Company’s principal offices are located at 51 W. 52nd Street, New York, New York 10019. Its telephone number is (212) 975-4321 and its Website address is www.cbscorporation.com.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CBS CORP. BUSINESS SEGMENTS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9"/>
          <w:szCs w:val="19"/>
          <w:b w:val="1"/>
          <w:bCs w:val="1"/>
          <w:color w:val="auto"/>
        </w:rPr>
        <w:t xml:space="preserve">Entertainment </w:t>
      </w:r>
      <w:r>
        <w:rPr>
          <w:rFonts w:ascii="Arial" w:cs="Arial" w:eastAsia="Arial" w:hAnsi="Arial"/>
          <w:sz w:val="19"/>
          <w:szCs w:val="19"/>
          <w:color w:val="auto"/>
        </w:rPr>
        <w:t>(70% of the Company’s consolidated revenues in 2018, and 68% of the Company’s consolidated revenues in each of 2017</w:t>
      </w:r>
      <w:r>
        <w:rPr>
          <w:rFonts w:ascii="Arial" w:cs="Arial" w:eastAsia="Arial" w:hAnsi="Arial"/>
          <w:sz w:val="19"/>
          <w:szCs w:val="19"/>
          <w:b w:val="1"/>
          <w:bCs w:val="1"/>
          <w:color w:val="auto"/>
        </w:rPr>
        <w:t xml:space="preserve"> </w:t>
      </w:r>
      <w:r>
        <w:rPr>
          <w:rFonts w:ascii="Arial" w:cs="Arial" w:eastAsia="Arial" w:hAnsi="Arial"/>
          <w:sz w:val="19"/>
          <w:szCs w:val="19"/>
          <w:color w:val="auto"/>
        </w:rPr>
        <w:t>and 2016, and 55%, 54% and 53% of the Company’s total segment operating income in 2018, 2017 and 2016, respectively)</w:t>
      </w:r>
    </w:p>
    <w:p>
      <w:pPr>
        <w:spacing w:after="0" w:line="14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 xml:space="preserve">The Entertainment segment consists of the CBS Television Network; CBS Television Studios and CBS Global Distribution Group (composed of CBS Studios International and CBS Television Distribution), the Company’s television production and syndication operations; Network 10, the Company’s commercial broadcast network in Australia; CBS Interactive, the Company’s online content networks for information and entertainment; </w:t>
      </w:r>
      <w:r>
        <w:rPr>
          <w:rFonts w:ascii="Arial" w:cs="Arial" w:eastAsia="Arial" w:hAnsi="Arial"/>
          <w:sz w:val="18"/>
          <w:szCs w:val="18"/>
          <w:i w:val="1"/>
          <w:iCs w:val="1"/>
          <w:color w:val="auto"/>
        </w:rPr>
        <w:t>CBS Sports Network</w:t>
      </w:r>
      <w:r>
        <w:rPr>
          <w:rFonts w:ascii="Arial" w:cs="Arial" w:eastAsia="Arial" w:hAnsi="Arial"/>
          <w:sz w:val="18"/>
          <w:szCs w:val="18"/>
          <w:color w:val="auto"/>
        </w:rPr>
        <w:t xml:space="preserve">, the Company’s cable network focused on college athletics and other sports; CBS Films; and the Company’s direct-to-consumer digital streaming services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w:t>
      </w:r>
      <w:r>
        <w:rPr>
          <w:rFonts w:ascii="Arial" w:cs="Arial" w:eastAsia="Arial" w:hAnsi="Arial"/>
          <w:sz w:val="18"/>
          <w:szCs w:val="18"/>
          <w:i w:val="1"/>
          <w:iCs w:val="1"/>
          <w:color w:val="auto"/>
        </w:rPr>
        <w:t>CBSN</w:t>
      </w:r>
      <w:r>
        <w:rPr>
          <w:rFonts w:ascii="Arial" w:cs="Arial" w:eastAsia="Arial" w:hAnsi="Arial"/>
          <w:sz w:val="18"/>
          <w:szCs w:val="18"/>
          <w:color w:val="auto"/>
        </w:rPr>
        <w:t xml:space="preserve">, </w:t>
      </w:r>
      <w:r>
        <w:rPr>
          <w:rFonts w:ascii="Arial" w:cs="Arial" w:eastAsia="Arial" w:hAnsi="Arial"/>
          <w:sz w:val="18"/>
          <w:szCs w:val="18"/>
          <w:i w:val="1"/>
          <w:iCs w:val="1"/>
          <w:color w:val="auto"/>
        </w:rPr>
        <w:t>CBS Sports HQ</w:t>
      </w:r>
      <w:r>
        <w:rPr>
          <w:rFonts w:ascii="Arial" w:cs="Arial" w:eastAsia="Arial" w:hAnsi="Arial"/>
          <w:sz w:val="18"/>
          <w:szCs w:val="18"/>
          <w:color w:val="auto"/>
        </w:rPr>
        <w:t xml:space="preserve">, </w:t>
      </w:r>
      <w:r>
        <w:rPr>
          <w:rFonts w:ascii="Arial" w:cs="Arial" w:eastAsia="Arial" w:hAnsi="Arial"/>
          <w:sz w:val="18"/>
          <w:szCs w:val="18"/>
          <w:i w:val="1"/>
          <w:iCs w:val="1"/>
          <w:color w:val="auto"/>
        </w:rPr>
        <w:t>ET Live</w:t>
      </w:r>
      <w:r>
        <w:rPr>
          <w:rFonts w:ascii="Arial" w:cs="Arial" w:eastAsia="Arial" w:hAnsi="Arial"/>
          <w:sz w:val="18"/>
          <w:szCs w:val="18"/>
          <w:color w:val="auto"/>
        </w:rPr>
        <w:t xml:space="preserve"> and </w:t>
      </w:r>
      <w:r>
        <w:rPr>
          <w:rFonts w:ascii="Arial" w:cs="Arial" w:eastAsia="Arial" w:hAnsi="Arial"/>
          <w:sz w:val="18"/>
          <w:szCs w:val="18"/>
          <w:i w:val="1"/>
          <w:iCs w:val="1"/>
          <w:color w:val="auto"/>
        </w:rPr>
        <w:t>10 All Access</w:t>
      </w:r>
      <w:r>
        <w:rPr>
          <w:rFonts w:ascii="Arial" w:cs="Arial" w:eastAsia="Arial" w:hAnsi="Arial"/>
          <w:sz w:val="18"/>
          <w:szCs w:val="18"/>
          <w:color w:val="auto"/>
        </w:rPr>
        <w:t>.</w:t>
      </w:r>
    </w:p>
    <w:p>
      <w:pPr>
        <w:spacing w:after="0" w:line="165"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20"/>
          <w:szCs w:val="20"/>
          <w:b w:val="1"/>
          <w:bCs w:val="1"/>
          <w:i w:val="1"/>
          <w:iCs w:val="1"/>
          <w:color w:val="auto"/>
        </w:rPr>
        <w:t xml:space="preserve">Television Network. </w:t>
      </w:r>
      <w:r>
        <w:rPr>
          <w:rFonts w:ascii="Arial" w:cs="Arial" w:eastAsia="Arial" w:hAnsi="Arial"/>
          <w:sz w:val="20"/>
          <w:szCs w:val="20"/>
          <w:color w:val="auto"/>
        </w:rPr>
        <w:t>The CBS Television Network through CBS Entertainment™, CBS News</w:t>
      </w:r>
      <w:r>
        <w:rPr>
          <w:rFonts w:ascii="Arial" w:cs="Arial" w:eastAsia="Arial" w:hAnsi="Arial"/>
          <w:sz w:val="25"/>
          <w:szCs w:val="25"/>
          <w:color w:val="auto"/>
          <w:vertAlign w:val="superscript"/>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CBS Sports</w:t>
      </w:r>
      <w:r>
        <w:rPr>
          <w:rFonts w:ascii="Arial" w:cs="Arial" w:eastAsia="Arial" w:hAnsi="Arial"/>
          <w:sz w:val="25"/>
          <w:szCs w:val="25"/>
          <w:color w:val="auto"/>
          <w:vertAlign w:val="superscript"/>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distributes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comprehensive schedule of news and public affairs broadcasts, sports and entertainment programming to more than 200 domestic affiliates reaching throughout the U.S., including 15 of the Company’s owned and operated television stations, and to affiliated stations in certain U.S. territories.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CBS Television Network primarily derives revenues from the sale of advertising time for its network broadcasts. A significant portion of the sale of advertising spots for the network’s non-sports programming occurs annually generally during May through July in the industry’s upfront advertising market for the upcoming television broadcast season, which runs for one year generally commencing in mid-September. Overall advertising revenue for the network is also impacted by audience ratings for its programming and market conditions, including demand in the scatter advertising market, in which advertisers purchase the remaining advertising spots closer to the broadcast of the related programming. The Company offers dynamic advertising insertions for the CBS Television Network’s on-demand programming, which allows the Company to change advertisements at any time within such programming and offer advertisers greater audience reach. The Company is focused on developing advanced advertising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36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that enable advertisers to target specific audience segments. In addition, the CBS Television Network’s revenues include station affiliation fees.</w:t>
      </w:r>
    </w:p>
    <w:p>
      <w:pPr>
        <w:spacing w:after="0" w:line="333" w:lineRule="exact"/>
        <w:rPr>
          <w:sz w:val="20"/>
          <w:szCs w:val="20"/>
          <w:color w:val="auto"/>
        </w:rPr>
      </w:pPr>
    </w:p>
    <w:p>
      <w:pPr>
        <w:jc w:val="both"/>
        <w:ind w:firstLine="324"/>
        <w:spacing w:after="0" w:line="231" w:lineRule="exact"/>
        <w:rPr>
          <w:sz w:val="20"/>
          <w:szCs w:val="20"/>
          <w:color w:val="auto"/>
        </w:rPr>
      </w:pPr>
      <w:r>
        <w:rPr>
          <w:rFonts w:ascii="Arial" w:cs="Arial" w:eastAsia="Arial" w:hAnsi="Arial"/>
          <w:sz w:val="19"/>
          <w:szCs w:val="19"/>
          <w:color w:val="auto"/>
        </w:rPr>
        <w:t>CBS Entertainment is responsible for acquiring or developing and scheduling the entertainment programming presented on the CBS Television Network, which includes primetime comedy and drama series, reality</w:t>
      </w:r>
      <w:r>
        <w:rPr>
          <w:rFonts w:ascii="MS PGothic" w:cs="MS PGothic" w:eastAsia="MS PGothic" w:hAnsi="MS PGothic"/>
          <w:sz w:val="19"/>
          <w:szCs w:val="19"/>
          <w:color w:val="auto"/>
        </w:rPr>
        <w:t>‑</w:t>
      </w:r>
      <w:r>
        <w:rPr>
          <w:rFonts w:ascii="Arial" w:cs="Arial" w:eastAsia="Arial" w:hAnsi="Arial"/>
          <w:sz w:val="19"/>
          <w:szCs w:val="19"/>
          <w:color w:val="auto"/>
        </w:rPr>
        <w:t xml:space="preserve">based programming, specials, children’s programs, daytime dramas, game shows and late-night programs such as </w:t>
      </w:r>
      <w:r>
        <w:rPr>
          <w:rFonts w:ascii="Arial" w:cs="Arial" w:eastAsia="Arial" w:hAnsi="Arial"/>
          <w:sz w:val="19"/>
          <w:szCs w:val="19"/>
          <w:i w:val="1"/>
          <w:iCs w:val="1"/>
          <w:color w:val="auto"/>
        </w:rPr>
        <w:t>The Late Show with Stephen Colbert</w:t>
      </w:r>
      <w:r>
        <w:rPr>
          <w:rFonts w:ascii="Arial" w:cs="Arial" w:eastAsia="Arial" w:hAnsi="Arial"/>
          <w:sz w:val="19"/>
          <w:szCs w:val="19"/>
          <w:color w:val="auto"/>
        </w:rPr>
        <w:t>. During 2018, the CBS Television Network broadcast the Tony Awards</w:t>
      </w:r>
      <w:r>
        <w:rPr>
          <w:rFonts w:ascii="Arial" w:cs="Arial" w:eastAsia="Arial" w:hAnsi="Arial"/>
          <w:sz w:val="24"/>
          <w:szCs w:val="24"/>
          <w:color w:val="auto"/>
          <w:vertAlign w:val="superscript"/>
        </w:rPr>
        <w:t>®</w:t>
      </w:r>
      <w:r>
        <w:rPr>
          <w:rFonts w:ascii="Arial" w:cs="Arial" w:eastAsia="Arial" w:hAnsi="Arial"/>
          <w:sz w:val="19"/>
          <w:szCs w:val="19"/>
          <w:color w:val="auto"/>
        </w:rPr>
        <w:t>, the Kennedy Center Honors and the Grammy Awards</w:t>
      </w:r>
      <w:r>
        <w:rPr>
          <w:rFonts w:ascii="Arial" w:cs="Arial" w:eastAsia="Arial" w:hAnsi="Arial"/>
          <w:sz w:val="24"/>
          <w:szCs w:val="24"/>
          <w:color w:val="auto"/>
          <w:vertAlign w:val="superscript"/>
        </w:rPr>
        <w:t>®</w:t>
      </w:r>
      <w:r>
        <w:rPr>
          <w:rFonts w:ascii="Arial" w:cs="Arial" w:eastAsia="Arial" w:hAnsi="Arial"/>
          <w:sz w:val="19"/>
          <w:szCs w:val="19"/>
          <w:color w:val="auto"/>
        </w:rPr>
        <w:t>. The Company won 20 awards at the 45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Annual Daytime Emmy</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Awards in April 2018. CBS News operates a worldwide news organization, providing the CBS Television Network and CBS News Radio™ with regularly scheduled news and public affairs broadcasts, including </w:t>
      </w:r>
      <w:r>
        <w:rPr>
          <w:rFonts w:ascii="Arial" w:cs="Arial" w:eastAsia="Arial" w:hAnsi="Arial"/>
          <w:sz w:val="19"/>
          <w:szCs w:val="19"/>
          <w:i w:val="1"/>
          <w:iCs w:val="1"/>
          <w:color w:val="auto"/>
        </w:rPr>
        <w:t>60 Minutes</w:t>
      </w:r>
      <w:r>
        <w:rPr>
          <w:rFonts w:ascii="Arial" w:cs="Arial" w:eastAsia="Arial" w:hAnsi="Arial"/>
          <w:sz w:val="19"/>
          <w:szCs w:val="19"/>
          <w:color w:val="auto"/>
        </w:rPr>
        <w:t xml:space="preserve">, </w:t>
      </w:r>
      <w:r>
        <w:rPr>
          <w:rFonts w:ascii="Arial" w:cs="Arial" w:eastAsia="Arial" w:hAnsi="Arial"/>
          <w:sz w:val="19"/>
          <w:szCs w:val="19"/>
          <w:i w:val="1"/>
          <w:iCs w:val="1"/>
          <w:color w:val="auto"/>
        </w:rPr>
        <w:t>48 Hours</w:t>
      </w:r>
      <w:r>
        <w:rPr>
          <w:rFonts w:ascii="Arial" w:cs="Arial" w:eastAsia="Arial" w:hAnsi="Arial"/>
          <w:sz w:val="19"/>
          <w:szCs w:val="19"/>
          <w:color w:val="auto"/>
        </w:rPr>
        <w:t xml:space="preserve">, </w:t>
      </w:r>
      <w:r>
        <w:rPr>
          <w:rFonts w:ascii="Arial" w:cs="Arial" w:eastAsia="Arial" w:hAnsi="Arial"/>
          <w:sz w:val="19"/>
          <w:szCs w:val="19"/>
          <w:i w:val="1"/>
          <w:iCs w:val="1"/>
          <w:color w:val="auto"/>
        </w:rPr>
        <w:t>CBS Evening News</w:t>
      </w:r>
      <w:r>
        <w:rPr>
          <w:rFonts w:ascii="Arial" w:cs="Arial" w:eastAsia="Arial" w:hAnsi="Arial"/>
          <w:sz w:val="19"/>
          <w:szCs w:val="19"/>
          <w:color w:val="auto"/>
        </w:rPr>
        <w:t xml:space="preserve">, </w:t>
      </w:r>
      <w:r>
        <w:rPr>
          <w:rFonts w:ascii="Arial" w:cs="Arial" w:eastAsia="Arial" w:hAnsi="Arial"/>
          <w:sz w:val="19"/>
          <w:szCs w:val="19"/>
          <w:i w:val="1"/>
          <w:iCs w:val="1"/>
          <w:color w:val="auto"/>
        </w:rPr>
        <w:t>CBS This Morning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CBS Sunday Morning </w:t>
      </w:r>
      <w:r>
        <w:rPr>
          <w:rFonts w:ascii="Arial" w:cs="Arial" w:eastAsia="Arial" w:hAnsi="Arial"/>
          <w:sz w:val="19"/>
          <w:szCs w:val="19"/>
          <w:color w:val="auto"/>
        </w:rPr>
        <w:t>and</w:t>
      </w:r>
      <w:r>
        <w:rPr>
          <w:rFonts w:ascii="Arial" w:cs="Arial" w:eastAsia="Arial" w:hAnsi="Arial"/>
          <w:sz w:val="19"/>
          <w:szCs w:val="19"/>
          <w:i w:val="1"/>
          <w:iCs w:val="1"/>
          <w:color w:val="auto"/>
        </w:rPr>
        <w:t xml:space="preserve"> Face the Nation </w:t>
      </w:r>
      <w:r>
        <w:rPr>
          <w:rFonts w:ascii="Arial" w:cs="Arial" w:eastAsia="Arial" w:hAnsi="Arial"/>
          <w:sz w:val="19"/>
          <w:szCs w:val="19"/>
          <w:color w:val="auto"/>
        </w:rPr>
        <w:t>as well as special reports. CBS News also provides CBS Newspath</w:t>
      </w:r>
      <w:r>
        <w:rPr>
          <w:rFonts w:ascii="Arial" w:cs="Arial" w:eastAsia="Arial" w:hAnsi="Arial"/>
          <w:sz w:val="24"/>
          <w:szCs w:val="24"/>
          <w:color w:val="auto"/>
          <w:vertAlign w:val="superscript"/>
        </w:rPr>
        <w:t>®</w:t>
      </w:r>
      <w:r>
        <w:rPr>
          <w:rFonts w:ascii="Arial" w:cs="Arial" w:eastAsia="Arial" w:hAnsi="Arial"/>
          <w:sz w:val="19"/>
          <w:szCs w:val="19"/>
          <w:color w:val="auto"/>
        </w:rPr>
        <w:t>, a television news syndication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service that offers daily news coverage, sports highlights and news features to the CBS Television Network affiliates and other subscribers worldwide. CBS Sports broadcasts on the television network include </w:t>
      </w:r>
      <w:r>
        <w:rPr>
          <w:rFonts w:ascii="Arial" w:cs="Arial" w:eastAsia="Arial" w:hAnsi="Arial"/>
          <w:sz w:val="19"/>
          <w:szCs w:val="19"/>
          <w:i w:val="1"/>
          <w:iCs w:val="1"/>
          <w:color w:val="auto"/>
        </w:rPr>
        <w:t>The NFL Today</w:t>
      </w:r>
      <w:r>
        <w:rPr>
          <w:rFonts w:ascii="Arial" w:cs="Arial" w:eastAsia="Arial" w:hAnsi="Arial"/>
          <w:sz w:val="19"/>
          <w:szCs w:val="19"/>
          <w:color w:val="auto"/>
        </w:rPr>
        <w:t>; certain PGA Tour Golf Tournaments, the Masters and the PGA Championship, for which the Company extended its broadcast rights in October 2018 through 2030; certain games from the NCAA Division I Men’s Basketball Tournament through 2032; regular-season college basketball games; regular-season college football games, including games from the Southeastern Conference and the NFL’s American Football Conference (AFC) regular-season, post-season wild card playoff, divisional playoff and championship games. In 2018, CBS broadcast certain AFC games under its agreement with the NFL to broadcast the AFC package through the 2022 season, which also includes certain National Football Conference regular season games and the Super Bowl, which is broadcast on the CBS Television Network on a rotating basis with other networks. The Company’s most recent Super Bowl broadcast was in February 2019.</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CBS Television Network content also is exhibited via the internet, including through </w:t>
      </w:r>
      <w:r>
        <w:rPr>
          <w:rFonts w:ascii="Arial" w:cs="Arial" w:eastAsia="Arial" w:hAnsi="Arial"/>
          <w:sz w:val="18"/>
          <w:szCs w:val="18"/>
          <w:i w:val="1"/>
          <w:iCs w:val="1"/>
          <w:color w:val="auto"/>
        </w:rPr>
        <w:t>CBS.com</w:t>
      </w:r>
      <w:r>
        <w:rPr>
          <w:rFonts w:ascii="Arial" w:cs="Arial" w:eastAsia="Arial" w:hAnsi="Arial"/>
          <w:sz w:val="18"/>
          <w:szCs w:val="18"/>
          <w:color w:val="auto"/>
        </w:rPr>
        <w:t>™, CBSSports.com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related software applications (“apps”); the Company’s direct-to-consumer services, such as </w:t>
      </w:r>
      <w:r>
        <w:rPr>
          <w:rFonts w:ascii="Arial" w:cs="Arial" w:eastAsia="Arial" w:hAnsi="Arial"/>
          <w:sz w:val="18"/>
          <w:szCs w:val="18"/>
          <w:i w:val="1"/>
          <w:iCs w:val="1"/>
          <w:color w:val="auto"/>
        </w:rPr>
        <w:t>CBSN</w:t>
      </w:r>
      <w:r>
        <w:rPr>
          <w:rFonts w:ascii="Arial" w:cs="Arial" w:eastAsia="Arial" w:hAnsi="Arial"/>
          <w:sz w:val="18"/>
          <w:szCs w:val="18"/>
          <w:color w:val="auto"/>
        </w:rPr>
        <w:t xml:space="preserve">, the Company’s live digital streaming advertiser-supported news network available 24 hours a day, seven days a week, </w:t>
      </w:r>
      <w:r>
        <w:rPr>
          <w:rFonts w:ascii="Arial" w:cs="Arial" w:eastAsia="Arial" w:hAnsi="Arial"/>
          <w:sz w:val="18"/>
          <w:szCs w:val="18"/>
          <w:i w:val="1"/>
          <w:iCs w:val="1"/>
          <w:color w:val="auto"/>
        </w:rPr>
        <w:t>CBSN New York</w:t>
      </w:r>
      <w:r>
        <w:rPr>
          <w:rFonts w:ascii="Arial" w:cs="Arial" w:eastAsia="Arial" w:hAnsi="Arial"/>
          <w:sz w:val="18"/>
          <w:szCs w:val="18"/>
          <w:color w:val="auto"/>
        </w:rPr>
        <w:t xml:space="preserve"> and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the Company’s digital streaming subscription service which includes a commercial-free option for on-demand content; and virtual MVPDs, such as DIRECTV NOW, Hulu with Live TV and YouTube TV.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offers both current and library programming as well as original series, such as </w:t>
      </w:r>
      <w:r>
        <w:rPr>
          <w:rFonts w:ascii="Arial" w:cs="Arial" w:eastAsia="Arial" w:hAnsi="Arial"/>
          <w:sz w:val="18"/>
          <w:szCs w:val="18"/>
          <w:i w:val="1"/>
          <w:iCs w:val="1"/>
          <w:color w:val="auto"/>
        </w:rPr>
        <w:t>The Good Fight</w:t>
      </w:r>
      <w:r>
        <w:rPr>
          <w:rFonts w:ascii="Arial" w:cs="Arial" w:eastAsia="Arial" w:hAnsi="Arial"/>
          <w:sz w:val="18"/>
          <w:szCs w:val="18"/>
          <w:color w:val="auto"/>
        </w:rPr>
        <w:t xml:space="preserve">, </w:t>
      </w:r>
      <w:r>
        <w:rPr>
          <w:rFonts w:ascii="Arial" w:cs="Arial" w:eastAsia="Arial" w:hAnsi="Arial"/>
          <w:sz w:val="18"/>
          <w:szCs w:val="18"/>
          <w:i w:val="1"/>
          <w:iCs w:val="1"/>
          <w:color w:val="auto"/>
        </w:rPr>
        <w:t>Star Trek:</w:t>
      </w:r>
      <w:r>
        <w:rPr>
          <w:rFonts w:ascii="Arial" w:cs="Arial" w:eastAsia="Arial" w:hAnsi="Arial"/>
          <w:sz w:val="18"/>
          <w:szCs w:val="18"/>
          <w:color w:val="auto"/>
        </w:rPr>
        <w:t xml:space="preserve"> </w:t>
      </w:r>
      <w:r>
        <w:rPr>
          <w:rFonts w:ascii="Arial" w:cs="Arial" w:eastAsia="Arial" w:hAnsi="Arial"/>
          <w:sz w:val="18"/>
          <w:szCs w:val="18"/>
          <w:i w:val="1"/>
          <w:iCs w:val="1"/>
          <w:color w:val="auto"/>
        </w:rPr>
        <w:t>Discovery</w:t>
      </w:r>
      <w:r>
        <w:rPr>
          <w:rFonts w:ascii="Arial" w:cs="Arial" w:eastAsia="Arial" w:hAnsi="Arial"/>
          <w:sz w:val="18"/>
          <w:szCs w:val="18"/>
          <w:color w:val="auto"/>
        </w:rPr>
        <w:t>,</w:t>
      </w:r>
      <w:r>
        <w:rPr>
          <w:rFonts w:ascii="Arial" w:cs="Arial" w:eastAsia="Arial" w:hAnsi="Arial"/>
          <w:sz w:val="18"/>
          <w:szCs w:val="18"/>
          <w:i w:val="1"/>
          <w:iCs w:val="1"/>
          <w:color w:val="auto"/>
        </w:rPr>
        <w:t xml:space="preserve"> No Activity</w:t>
      </w:r>
      <w:r>
        <w:rPr>
          <w:rFonts w:ascii="Arial" w:cs="Arial" w:eastAsia="Arial" w:hAnsi="Arial"/>
          <w:sz w:val="18"/>
          <w:szCs w:val="18"/>
          <w:color w:val="auto"/>
        </w:rPr>
        <w:t>,</w:t>
      </w:r>
      <w:r>
        <w:rPr>
          <w:rFonts w:ascii="Arial" w:cs="Arial" w:eastAsia="Arial" w:hAnsi="Arial"/>
          <w:sz w:val="18"/>
          <w:szCs w:val="18"/>
          <w:i w:val="1"/>
          <w:iCs w:val="1"/>
          <w:color w:val="auto"/>
        </w:rPr>
        <w:t xml:space="preserve"> Strange Angel </w:t>
      </w:r>
      <w:r>
        <w:rPr>
          <w:rFonts w:ascii="Arial" w:cs="Arial" w:eastAsia="Arial" w:hAnsi="Arial"/>
          <w:sz w:val="18"/>
          <w:szCs w:val="18"/>
          <w:color w:val="auto"/>
        </w:rPr>
        <w:t>and</w:t>
      </w:r>
      <w:r>
        <w:rPr>
          <w:rFonts w:ascii="Arial" w:cs="Arial" w:eastAsia="Arial" w:hAnsi="Arial"/>
          <w:sz w:val="18"/>
          <w:szCs w:val="18"/>
          <w:i w:val="1"/>
          <w:iCs w:val="1"/>
          <w:color w:val="auto"/>
        </w:rPr>
        <w:t xml:space="preserve"> Tell Me a Story </w:t>
      </w:r>
      <w:r>
        <w:rPr>
          <w:rFonts w:ascii="Arial" w:cs="Arial" w:eastAsia="Arial" w:hAnsi="Arial"/>
          <w:sz w:val="18"/>
          <w:szCs w:val="18"/>
          <w:color w:val="auto"/>
        </w:rPr>
        <w:t>and the new upcoming</w:t>
      </w:r>
      <w:r>
        <w:rPr>
          <w:rFonts w:ascii="Arial" w:cs="Arial" w:eastAsia="Arial" w:hAnsi="Arial"/>
          <w:sz w:val="18"/>
          <w:szCs w:val="18"/>
          <w:i w:val="1"/>
          <w:iCs w:val="1"/>
          <w:color w:val="auto"/>
        </w:rPr>
        <w:t xml:space="preserve"> The Twilight Zone </w:t>
      </w:r>
      <w:r>
        <w:rPr>
          <w:rFonts w:ascii="Arial" w:cs="Arial" w:eastAsia="Arial" w:hAnsi="Arial"/>
          <w:sz w:val="18"/>
          <w:szCs w:val="18"/>
          <w:color w:val="auto"/>
        </w:rPr>
        <w:t>series and</w:t>
      </w:r>
      <w:r>
        <w:rPr>
          <w:rFonts w:ascii="Arial" w:cs="Arial" w:eastAsia="Arial" w:hAnsi="Arial"/>
          <w:sz w:val="18"/>
          <w:szCs w:val="18"/>
          <w:i w:val="1"/>
          <w:iCs w:val="1"/>
          <w:color w:val="auto"/>
        </w:rPr>
        <w:t xml:space="preserve"> CBSN</w:t>
      </w:r>
      <w:r>
        <w:rPr>
          <w:rFonts w:ascii="Arial" w:cs="Arial" w:eastAsia="Arial" w:hAnsi="Arial"/>
          <w:sz w:val="18"/>
          <w:szCs w:val="18"/>
          <w:color w:val="auto"/>
        </w:rPr>
        <w:t>’s live and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w:t>
      </w:r>
      <w:r>
        <w:rPr>
          <w:rFonts w:ascii="Arial" w:cs="Arial" w:eastAsia="Arial" w:hAnsi="Arial"/>
          <w:sz w:val="18"/>
          <w:szCs w:val="18"/>
          <w:i w:val="1"/>
          <w:iCs w:val="1"/>
          <w:color w:val="auto"/>
        </w:rPr>
        <w:t>.</w:t>
      </w:r>
      <w:r>
        <w:rPr>
          <w:rFonts w:ascii="Arial" w:cs="Arial" w:eastAsia="Arial" w:hAnsi="Arial"/>
          <w:sz w:val="18"/>
          <w:szCs w:val="18"/>
          <w:color w:val="auto"/>
        </w:rPr>
        <w:t xml:space="preserve"> All NFL games broadcast by the CBS Television Network are streamed on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platforms under the Company’s multi-year deal with the NFL. Digital streaming services that provide video content, including from broadcast and/or cable channels, streamed via the internet to users who are not required to have a subscription to an MVPD (such as virtual MVPDs and direct-to-consumer services) are known as over-the-top or “OTT” services. Digital streaming services that do not require payment to a third party are known as “direct-to-consumer” services, such as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and </w:t>
      </w:r>
      <w:r>
        <w:rPr>
          <w:rFonts w:ascii="Arial" w:cs="Arial" w:eastAsia="Arial" w:hAnsi="Arial"/>
          <w:sz w:val="18"/>
          <w:szCs w:val="18"/>
          <w:i w:val="1"/>
          <w:iCs w:val="1"/>
          <w:color w:val="auto"/>
        </w:rPr>
        <w:t>CBSN</w:t>
      </w:r>
      <w:r>
        <w:rPr>
          <w:rFonts w:ascii="Arial" w:cs="Arial" w:eastAsia="Arial" w:hAnsi="Arial"/>
          <w:sz w:val="18"/>
          <w:szCs w:val="18"/>
          <w:color w:val="auto"/>
        </w:rPr>
        <w:t xml:space="preserve"> are available at </w:t>
      </w:r>
      <w:r>
        <w:rPr>
          <w:rFonts w:ascii="Arial" w:cs="Arial" w:eastAsia="Arial" w:hAnsi="Arial"/>
          <w:sz w:val="18"/>
          <w:szCs w:val="18"/>
          <w:i w:val="1"/>
          <w:iCs w:val="1"/>
          <w:color w:val="auto"/>
        </w:rPr>
        <w:t>CBS.com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CBSNews.com</w:t>
      </w:r>
      <w:r>
        <w:rPr>
          <w:rFonts w:ascii="Arial" w:cs="Arial" w:eastAsia="Arial" w:hAnsi="Arial"/>
          <w:sz w:val="18"/>
          <w:szCs w:val="18"/>
          <w:color w:val="auto"/>
        </w:rPr>
        <w:t>™, respectively, and/or through CBS apps on multiple digital platforms, including Android, iOS, Amazon Fire and Windows 10 mobile platforms, and Amazon Fire TV, Android TV, Apple TV, Amazon Channels, Chromecast, PlayStation, Roku, Samsung Smart TVs and Xbox connected device platforms, among others.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 xml:space="preserve">The CW, a broadcast network and the Company’s 50/50 joint venture with Warner Bros. Entertainment, airs programming, including </w:t>
      </w:r>
      <w:r>
        <w:rPr>
          <w:rFonts w:ascii="Arial" w:cs="Arial" w:eastAsia="Arial" w:hAnsi="Arial"/>
          <w:sz w:val="19"/>
          <w:szCs w:val="19"/>
          <w:i w:val="1"/>
          <w:iCs w:val="1"/>
          <w:color w:val="auto"/>
        </w:rPr>
        <w:t>Charmed</w:t>
      </w:r>
      <w:r>
        <w:rPr>
          <w:rFonts w:ascii="Arial" w:cs="Arial" w:eastAsia="Arial" w:hAnsi="Arial"/>
          <w:sz w:val="19"/>
          <w:szCs w:val="19"/>
          <w:color w:val="auto"/>
        </w:rPr>
        <w:t>,</w:t>
      </w:r>
      <w:r>
        <w:rPr>
          <w:rFonts w:ascii="Arial" w:cs="Arial" w:eastAsia="Arial" w:hAnsi="Arial"/>
          <w:sz w:val="19"/>
          <w:szCs w:val="19"/>
          <w:i w:val="1"/>
          <w:iCs w:val="1"/>
          <w:color w:val="auto"/>
        </w:rPr>
        <w:t xml:space="preserve"> Dynasty</w:t>
      </w:r>
      <w:r>
        <w:rPr>
          <w:rFonts w:ascii="Arial" w:cs="Arial" w:eastAsia="Arial" w:hAnsi="Arial"/>
          <w:sz w:val="19"/>
          <w:szCs w:val="19"/>
          <w:color w:val="auto"/>
        </w:rPr>
        <w:t>,</w:t>
      </w:r>
      <w:r>
        <w:rPr>
          <w:rFonts w:ascii="Arial" w:cs="Arial" w:eastAsia="Arial" w:hAnsi="Arial"/>
          <w:sz w:val="19"/>
          <w:szCs w:val="19"/>
          <w:i w:val="1"/>
          <w:iCs w:val="1"/>
          <w:color w:val="auto"/>
        </w:rPr>
        <w:t xml:space="preserve"> Supergirl </w:t>
      </w:r>
      <w:r>
        <w:rPr>
          <w:rFonts w:ascii="Arial" w:cs="Arial" w:eastAsia="Arial" w:hAnsi="Arial"/>
          <w:sz w:val="19"/>
          <w:szCs w:val="19"/>
          <w:color w:val="auto"/>
        </w:rPr>
        <w:t>and</w:t>
      </w:r>
      <w:r>
        <w:rPr>
          <w:rFonts w:ascii="Arial" w:cs="Arial" w:eastAsia="Arial" w:hAnsi="Arial"/>
          <w:sz w:val="19"/>
          <w:szCs w:val="19"/>
          <w:i w:val="1"/>
          <w:iCs w:val="1"/>
          <w:color w:val="auto"/>
        </w:rPr>
        <w:t xml:space="preserve"> The Flash</w:t>
      </w:r>
      <w:r>
        <w:rPr>
          <w:rFonts w:ascii="Arial" w:cs="Arial" w:eastAsia="Arial" w:hAnsi="Arial"/>
          <w:sz w:val="19"/>
          <w:szCs w:val="19"/>
          <w:color w:val="auto"/>
        </w:rPr>
        <w:t>. Eight of the Company’s owned television stations are affiliates of The CW. Certain of The CW’s</w:t>
      </w:r>
      <w:r>
        <w:rPr>
          <w:rFonts w:ascii="Arial" w:cs="Arial" w:eastAsia="Arial" w:hAnsi="Arial"/>
          <w:sz w:val="19"/>
          <w:szCs w:val="19"/>
          <w:i w:val="1"/>
          <w:iCs w:val="1"/>
          <w:color w:val="auto"/>
        </w:rPr>
        <w:t xml:space="preserve"> </w:t>
      </w:r>
      <w:r>
        <w:rPr>
          <w:rFonts w:ascii="Arial" w:cs="Arial" w:eastAsia="Arial" w:hAnsi="Arial"/>
          <w:sz w:val="19"/>
          <w:szCs w:val="19"/>
          <w:color w:val="auto"/>
        </w:rPr>
        <w:t>series are streamed on Netflix, a subscription video-on-demand service. The CW programming is also available via The CW app on multiple digital platforms, including Amazon Fire TV, Apple TV, Chromecast, Roku, Xbox and mobile devices.</w:t>
      </w:r>
    </w:p>
    <w:p>
      <w:pPr>
        <w:spacing w:after="0" w:line="17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CBS Television Studios and CBS Global Distribution Group produce, acquire and/or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worldwide, including series, specials, news and public affairs, and generate revenue principally from the licensing and distribution of such programming. The programming is produced primarily for broadcast on network television, exhibition on basic cable and premium subscription services, streaming services or distribution via first-run syndication. First-run syndication is programming exhibited on television stations without prior exhibition on a network or cable service. The Company subsequently distributes programming after its initial exhibition on a network, basic cable network or premium subscription service for domestic exhibition on television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366" w:right="239" w:bottom="1440" w:gutter="0" w:footer="0" w:header="0"/>
        </w:sectPr>
      </w:pPr>
    </w:p>
    <w:bookmarkStart w:id="5" w:name="page6"/>
    <w:bookmarkEnd w:id="5"/>
    <w:p>
      <w:pPr>
        <w:jc w:val="both"/>
        <w:spacing w:after="0" w:line="234" w:lineRule="exact"/>
        <w:rPr>
          <w:sz w:val="20"/>
          <w:szCs w:val="20"/>
          <w:color w:val="auto"/>
        </w:rPr>
      </w:pPr>
      <w:r>
        <w:rPr>
          <w:rFonts w:ascii="Arial" w:cs="Arial" w:eastAsia="Arial" w:hAnsi="Arial"/>
          <w:sz w:val="19"/>
          <w:szCs w:val="19"/>
          <w:color w:val="auto"/>
        </w:rPr>
        <w:t>stations, cable networks or streaming services (known as “off-network syndicated programming”). Off-network syndicated programming and first</w:t>
      </w:r>
      <w:r>
        <w:rPr>
          <w:rFonts w:ascii="MS PGothic" w:cs="MS PGothic" w:eastAsia="MS PGothic" w:hAnsi="MS PGothic"/>
          <w:sz w:val="19"/>
          <w:szCs w:val="19"/>
          <w:color w:val="auto"/>
        </w:rPr>
        <w:t>‑</w:t>
      </w:r>
      <w:r>
        <w:rPr>
          <w:rFonts w:ascii="Arial" w:cs="Arial" w:eastAsia="Arial" w:hAnsi="Arial"/>
          <w:sz w:val="19"/>
          <w:szCs w:val="19"/>
          <w:color w:val="auto"/>
        </w:rPr>
        <w:t>run syndicated programming distributed domestically, as well as programming distributed internationally, can sometimes be sold in successive cycles of sales known as “first cycle” sales, “second cycle” sales, and so on, which may occur on exclusive or non-exclusive bases. Generally, license fees may decrease with successive sales cycles due to increased program exhibitions.</w:t>
      </w:r>
    </w:p>
    <w:p>
      <w:pPr>
        <w:spacing w:after="0" w:line="199" w:lineRule="exact"/>
        <w:rPr>
          <w:sz w:val="20"/>
          <w:szCs w:val="20"/>
          <w:color w:val="auto"/>
        </w:rPr>
      </w:pPr>
    </w:p>
    <w:p>
      <w:pPr>
        <w:jc w:val="both"/>
        <w:ind w:firstLine="324"/>
        <w:spacing w:after="0" w:line="231" w:lineRule="exact"/>
        <w:rPr>
          <w:sz w:val="20"/>
          <w:szCs w:val="20"/>
          <w:color w:val="auto"/>
        </w:rPr>
      </w:pPr>
      <w:r>
        <w:rPr>
          <w:rFonts w:ascii="Arial" w:cs="Arial" w:eastAsia="Arial" w:hAnsi="Arial"/>
          <w:sz w:val="18"/>
          <w:szCs w:val="18"/>
          <w:color w:val="auto"/>
        </w:rPr>
        <w:t xml:space="preserve">Programming that was produced or co-produced by the Company’s production group and is broadcast on network television includes, among others, </w:t>
      </w:r>
      <w:r>
        <w:rPr>
          <w:rFonts w:ascii="Arial" w:cs="Arial" w:eastAsia="Arial" w:hAnsi="Arial"/>
          <w:sz w:val="18"/>
          <w:szCs w:val="18"/>
          <w:i w:val="1"/>
          <w:iCs w:val="1"/>
          <w:color w:val="auto"/>
        </w:rPr>
        <w:t>FBI</w:t>
      </w:r>
      <w:r>
        <w:rPr>
          <w:rFonts w:ascii="Arial" w:cs="Arial" w:eastAsia="Arial" w:hAnsi="Arial"/>
          <w:sz w:val="18"/>
          <w:szCs w:val="18"/>
          <w:color w:val="auto"/>
        </w:rPr>
        <w:t xml:space="preserve"> (CBS), </w:t>
      </w:r>
      <w:r>
        <w:rPr>
          <w:rFonts w:ascii="Arial" w:cs="Arial" w:eastAsia="Arial" w:hAnsi="Arial"/>
          <w:sz w:val="18"/>
          <w:szCs w:val="18"/>
          <w:i w:val="1"/>
          <w:iCs w:val="1"/>
          <w:color w:val="auto"/>
        </w:rPr>
        <w:t>Seal Team</w:t>
      </w:r>
      <w:r>
        <w:rPr>
          <w:rFonts w:ascii="Arial" w:cs="Arial" w:eastAsia="Arial" w:hAnsi="Arial"/>
          <w:sz w:val="18"/>
          <w:szCs w:val="18"/>
          <w:color w:val="auto"/>
        </w:rPr>
        <w:t xml:space="preserve"> (CBS), </w:t>
      </w:r>
      <w:r>
        <w:rPr>
          <w:rFonts w:ascii="Arial" w:cs="Arial" w:eastAsia="Arial" w:hAnsi="Arial"/>
          <w:sz w:val="18"/>
          <w:szCs w:val="18"/>
          <w:i w:val="1"/>
          <w:iCs w:val="1"/>
          <w:color w:val="auto"/>
        </w:rPr>
        <w:t>NCIS</w:t>
      </w:r>
      <w:r>
        <w:rPr>
          <w:rFonts w:ascii="Arial" w:cs="Arial" w:eastAsia="Arial" w:hAnsi="Arial"/>
          <w:sz w:val="18"/>
          <w:szCs w:val="18"/>
          <w:color w:val="auto"/>
        </w:rPr>
        <w:t xml:space="preserve"> (CBS), </w:t>
      </w:r>
      <w:r>
        <w:rPr>
          <w:rFonts w:ascii="Arial" w:cs="Arial" w:eastAsia="Arial" w:hAnsi="Arial"/>
          <w:sz w:val="18"/>
          <w:szCs w:val="18"/>
          <w:i w:val="1"/>
          <w:iCs w:val="1"/>
          <w:color w:val="auto"/>
        </w:rPr>
        <w:t>Bull</w:t>
      </w:r>
      <w:r>
        <w:rPr>
          <w:rFonts w:ascii="Arial" w:cs="Arial" w:eastAsia="Arial" w:hAnsi="Arial"/>
          <w:sz w:val="18"/>
          <w:szCs w:val="18"/>
          <w:color w:val="auto"/>
        </w:rPr>
        <w:t xml:space="preserve"> (CBS), </w:t>
      </w:r>
      <w:r>
        <w:rPr>
          <w:rFonts w:ascii="Arial" w:cs="Arial" w:eastAsia="Arial" w:hAnsi="Arial"/>
          <w:sz w:val="18"/>
          <w:szCs w:val="18"/>
          <w:i w:val="1"/>
          <w:iCs w:val="1"/>
          <w:color w:val="auto"/>
        </w:rPr>
        <w:t>Magnum P.I.</w:t>
      </w:r>
      <w:r>
        <w:rPr>
          <w:rFonts w:ascii="Arial" w:cs="Arial" w:eastAsia="Arial" w:hAnsi="Arial"/>
          <w:sz w:val="18"/>
          <w:szCs w:val="18"/>
          <w:color w:val="auto"/>
        </w:rPr>
        <w:t xml:space="preserve"> (CBS), </w:t>
      </w:r>
      <w:r>
        <w:rPr>
          <w:rFonts w:ascii="Arial" w:cs="Arial" w:eastAsia="Arial" w:hAnsi="Arial"/>
          <w:sz w:val="18"/>
          <w:szCs w:val="18"/>
          <w:i w:val="1"/>
          <w:iCs w:val="1"/>
          <w:color w:val="auto"/>
        </w:rPr>
        <w:t>Madam Secretary</w:t>
      </w:r>
      <w:r>
        <w:rPr>
          <w:rFonts w:ascii="Arial" w:cs="Arial" w:eastAsia="Arial" w:hAnsi="Arial"/>
          <w:sz w:val="18"/>
          <w:szCs w:val="18"/>
          <w:color w:val="auto"/>
        </w:rPr>
        <w:t xml:space="preserve"> (CBS), </w:t>
      </w:r>
      <w:r>
        <w:rPr>
          <w:rFonts w:ascii="Arial" w:cs="Arial" w:eastAsia="Arial" w:hAnsi="Arial"/>
          <w:sz w:val="18"/>
          <w:szCs w:val="18"/>
          <w:i w:val="1"/>
          <w:iCs w:val="1"/>
          <w:color w:val="auto"/>
        </w:rPr>
        <w:t>Criminal Minds</w:t>
      </w:r>
      <w:r>
        <w:rPr>
          <w:rFonts w:ascii="Arial" w:cs="Arial" w:eastAsia="Arial" w:hAnsi="Arial"/>
          <w:sz w:val="18"/>
          <w:szCs w:val="18"/>
          <w:color w:val="auto"/>
        </w:rPr>
        <w:t xml:space="preserve"> (CBS), </w:t>
      </w:r>
      <w:r>
        <w:rPr>
          <w:rFonts w:ascii="Arial" w:cs="Arial" w:eastAsia="Arial" w:hAnsi="Arial"/>
          <w:sz w:val="18"/>
          <w:szCs w:val="18"/>
          <w:i w:val="1"/>
          <w:iCs w:val="1"/>
          <w:color w:val="auto"/>
        </w:rPr>
        <w:t xml:space="preserve">Charmed </w:t>
      </w:r>
      <w:r>
        <w:rPr>
          <w:rFonts w:ascii="Arial" w:cs="Arial" w:eastAsia="Arial" w:hAnsi="Arial"/>
          <w:sz w:val="18"/>
          <w:szCs w:val="18"/>
          <w:color w:val="auto"/>
        </w:rPr>
        <w:t>(The CW) and</w:t>
      </w:r>
      <w:r>
        <w:rPr>
          <w:rFonts w:ascii="Arial" w:cs="Arial" w:eastAsia="Arial" w:hAnsi="Arial"/>
          <w:sz w:val="18"/>
          <w:szCs w:val="18"/>
          <w:i w:val="1"/>
          <w:iCs w:val="1"/>
          <w:color w:val="auto"/>
        </w:rPr>
        <w:t xml:space="preserve"> Jane the Virgin </w:t>
      </w:r>
      <w:r>
        <w:rPr>
          <w:rFonts w:ascii="Arial" w:cs="Arial" w:eastAsia="Arial" w:hAnsi="Arial"/>
          <w:sz w:val="18"/>
          <w:szCs w:val="18"/>
          <w:color w:val="auto"/>
        </w:rPr>
        <w:t>(The CW). Generally, a network will license a specified number of episodes for broadcast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 the U.S. during a license period. Remaining distribution rights, including international and/or off</w:t>
      </w:r>
      <w:r>
        <w:rPr>
          <w:rFonts w:ascii="MS PGothic" w:cs="MS PGothic" w:eastAsia="MS PGothic" w:hAnsi="MS PGothic"/>
          <w:sz w:val="18"/>
          <w:szCs w:val="18"/>
          <w:color w:val="auto"/>
        </w:rPr>
        <w:t>‑</w:t>
      </w:r>
      <w:r>
        <w:rPr>
          <w:rFonts w:ascii="Arial" w:cs="Arial" w:eastAsia="Arial" w:hAnsi="Arial"/>
          <w:sz w:val="18"/>
          <w:szCs w:val="18"/>
          <w:color w:val="auto"/>
        </w:rPr>
        <w:t xml:space="preserve">network syndication rights, are typically retained by the Company or, in the case of co-productions, distribution rights are shared with the co-producer for U.S. or international markets. The network license fee for a series episode is normally lower than the costs of producing the episode; however, the Company’s objective is to recoup its costs and earn a profit through various forms of distribution, including international licensing, domestic syndication and digital streaming of episodes. Generally, international sales of network series are made within one year of the U.S. network run and series must have a network run of at least three or four years to be successfully sold in domestic off-network syndication; however, increasingly, these time frames are being shortened, particularly for sales to digital streaming services. In off-network syndication, the Company distributes series, such as </w:t>
      </w:r>
      <w:r>
        <w:rPr>
          <w:rFonts w:ascii="Arial" w:cs="Arial" w:eastAsia="Arial" w:hAnsi="Arial"/>
          <w:sz w:val="18"/>
          <w:szCs w:val="18"/>
          <w:i w:val="1"/>
          <w:iCs w:val="1"/>
          <w:color w:val="auto"/>
        </w:rPr>
        <w:t>Hawaii Five-O</w:t>
      </w:r>
      <w:r>
        <w:rPr>
          <w:rFonts w:ascii="Arial" w:cs="Arial" w:eastAsia="Arial" w:hAnsi="Arial"/>
          <w:sz w:val="18"/>
          <w:szCs w:val="18"/>
          <w:color w:val="auto"/>
        </w:rPr>
        <w:t xml:space="preserve">, </w:t>
      </w:r>
      <w:r>
        <w:rPr>
          <w:rFonts w:ascii="Arial" w:cs="Arial" w:eastAsia="Arial" w:hAnsi="Arial"/>
          <w:sz w:val="18"/>
          <w:szCs w:val="18"/>
          <w:i w:val="1"/>
          <w:iCs w:val="1"/>
          <w:color w:val="auto"/>
        </w:rPr>
        <w:t>Criminal Minds</w:t>
      </w:r>
      <w:r>
        <w:rPr>
          <w:rFonts w:ascii="Arial" w:cs="Arial" w:eastAsia="Arial" w:hAnsi="Arial"/>
          <w:sz w:val="18"/>
          <w:szCs w:val="18"/>
          <w:color w:val="auto"/>
        </w:rPr>
        <w:t xml:space="preserve">, </w:t>
      </w:r>
      <w:r>
        <w:rPr>
          <w:rFonts w:ascii="Arial" w:cs="Arial" w:eastAsia="Arial" w:hAnsi="Arial"/>
          <w:sz w:val="18"/>
          <w:szCs w:val="18"/>
          <w:i w:val="1"/>
          <w:iCs w:val="1"/>
          <w:color w:val="auto"/>
        </w:rPr>
        <w:t>Blue Bloods</w:t>
      </w:r>
      <w:r>
        <w:rPr>
          <w:rFonts w:ascii="Arial" w:cs="Arial" w:eastAsia="Arial" w:hAnsi="Arial"/>
          <w:sz w:val="18"/>
          <w:szCs w:val="18"/>
          <w:color w:val="auto"/>
        </w:rPr>
        <w:t xml:space="preserve">, </w:t>
      </w:r>
      <w:r>
        <w:rPr>
          <w:rFonts w:ascii="Arial" w:cs="Arial" w:eastAsia="Arial" w:hAnsi="Arial"/>
          <w:sz w:val="18"/>
          <w:szCs w:val="18"/>
          <w:i w:val="1"/>
          <w:iCs w:val="1"/>
          <w:color w:val="auto"/>
        </w:rPr>
        <w:t>Elementary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NCIS</w:t>
      </w:r>
      <w:r>
        <w:rPr>
          <w:rFonts w:ascii="Arial" w:cs="Arial" w:eastAsia="Arial" w:hAnsi="Arial"/>
          <w:sz w:val="18"/>
          <w:szCs w:val="18"/>
          <w:color w:val="auto"/>
        </w:rPr>
        <w:t xml:space="preserve">, </w:t>
      </w:r>
      <w:r>
        <w:rPr>
          <w:rFonts w:ascii="Arial" w:cs="Arial" w:eastAsia="Arial" w:hAnsi="Arial"/>
          <w:sz w:val="18"/>
          <w:szCs w:val="18"/>
          <w:i w:val="1"/>
          <w:iCs w:val="1"/>
          <w:color w:val="auto"/>
        </w:rPr>
        <w:t>NCIS: Los Angeles</w:t>
      </w:r>
      <w:r>
        <w:rPr>
          <w:rFonts w:ascii="Arial" w:cs="Arial" w:eastAsia="Arial" w:hAnsi="Arial"/>
          <w:sz w:val="18"/>
          <w:szCs w:val="18"/>
          <w:color w:val="auto"/>
        </w:rPr>
        <w:t xml:space="preserve"> and </w:t>
      </w:r>
      <w:r>
        <w:rPr>
          <w:rFonts w:ascii="Arial" w:cs="Arial" w:eastAsia="Arial" w:hAnsi="Arial"/>
          <w:sz w:val="18"/>
          <w:szCs w:val="18"/>
          <w:i w:val="1"/>
          <w:iCs w:val="1"/>
          <w:color w:val="auto"/>
        </w:rPr>
        <w:t>NCIS: New Orleans</w:t>
      </w:r>
      <w:r>
        <w:rPr>
          <w:rFonts w:ascii="Arial" w:cs="Arial" w:eastAsia="Arial" w:hAnsi="Arial"/>
          <w:sz w:val="18"/>
          <w:szCs w:val="18"/>
          <w:color w:val="auto"/>
        </w:rPr>
        <w:t xml:space="preserve"> as well as a library of older television programs. The Company also produces and/or distributes first-run syndicated series such as </w:t>
      </w:r>
      <w:r>
        <w:rPr>
          <w:rFonts w:ascii="Arial" w:cs="Arial" w:eastAsia="Arial" w:hAnsi="Arial"/>
          <w:sz w:val="18"/>
          <w:szCs w:val="18"/>
          <w:i w:val="1"/>
          <w:iCs w:val="1"/>
          <w:color w:val="auto"/>
        </w:rPr>
        <w:t>Wheel of Fortune</w:t>
      </w:r>
      <w:r>
        <w:rPr>
          <w:rFonts w:ascii="Arial" w:cs="Arial" w:eastAsia="Arial" w:hAnsi="Arial"/>
          <w:sz w:val="18"/>
          <w:szCs w:val="18"/>
          <w:color w:val="auto"/>
        </w:rPr>
        <w:t xml:space="preserve">, </w:t>
      </w:r>
      <w:r>
        <w:rPr>
          <w:rFonts w:ascii="Arial" w:cs="Arial" w:eastAsia="Arial" w:hAnsi="Arial"/>
          <w:sz w:val="18"/>
          <w:szCs w:val="18"/>
          <w:i w:val="1"/>
          <w:iCs w:val="1"/>
          <w:color w:val="auto"/>
        </w:rPr>
        <w:t>Jeopardy!</w:t>
      </w:r>
      <w:r>
        <w:rPr>
          <w:rFonts w:ascii="Arial" w:cs="Arial" w:eastAsia="Arial" w:hAnsi="Arial"/>
          <w:sz w:val="18"/>
          <w:szCs w:val="18"/>
          <w:color w:val="auto"/>
        </w:rPr>
        <w:t xml:space="preserve">, </w:t>
      </w:r>
      <w:r>
        <w:rPr>
          <w:rFonts w:ascii="Arial" w:cs="Arial" w:eastAsia="Arial" w:hAnsi="Arial"/>
          <w:sz w:val="18"/>
          <w:szCs w:val="18"/>
          <w:i w:val="1"/>
          <w:iCs w:val="1"/>
          <w:color w:val="auto"/>
        </w:rPr>
        <w:t>Entertainment Tonight</w:t>
      </w:r>
      <w:r>
        <w:rPr>
          <w:rFonts w:ascii="Arial" w:cs="Arial" w:eastAsia="Arial" w:hAnsi="Arial"/>
          <w:sz w:val="18"/>
          <w:szCs w:val="18"/>
          <w:color w:val="auto"/>
        </w:rPr>
        <w:t>,</w:t>
      </w:r>
      <w:r>
        <w:rPr>
          <w:rFonts w:ascii="Arial" w:cs="Arial" w:eastAsia="Arial" w:hAnsi="Arial"/>
          <w:sz w:val="18"/>
          <w:szCs w:val="18"/>
          <w:i w:val="1"/>
          <w:iCs w:val="1"/>
          <w:color w:val="auto"/>
        </w:rPr>
        <w:t xml:space="preserve"> Inside Edition</w:t>
      </w:r>
      <w:r>
        <w:rPr>
          <w:rFonts w:ascii="Arial" w:cs="Arial" w:eastAsia="Arial" w:hAnsi="Arial"/>
          <w:sz w:val="18"/>
          <w:szCs w:val="18"/>
          <w:color w:val="auto"/>
        </w:rPr>
        <w:t>,</w:t>
      </w:r>
      <w:r>
        <w:rPr>
          <w:rFonts w:ascii="Arial" w:cs="Arial" w:eastAsia="Arial" w:hAnsi="Arial"/>
          <w:sz w:val="18"/>
          <w:szCs w:val="18"/>
          <w:i w:val="1"/>
          <w:iCs w:val="1"/>
          <w:color w:val="auto"/>
        </w:rPr>
        <w:t xml:space="preserve"> Dr. Phil</w:t>
      </w:r>
      <w:r>
        <w:rPr>
          <w:rFonts w:ascii="Arial" w:cs="Arial" w:eastAsia="Arial" w:hAnsi="Arial"/>
          <w:sz w:val="18"/>
          <w:szCs w:val="18"/>
          <w:color w:val="auto"/>
        </w:rPr>
        <w:t>,</w:t>
      </w:r>
      <w:r>
        <w:rPr>
          <w:rFonts w:ascii="Arial" w:cs="Arial" w:eastAsia="Arial" w:hAnsi="Arial"/>
          <w:sz w:val="18"/>
          <w:szCs w:val="18"/>
          <w:i w:val="1"/>
          <w:iCs w:val="1"/>
          <w:color w:val="auto"/>
        </w:rPr>
        <w:t xml:space="preserve"> The Doctors</w:t>
      </w:r>
      <w:r>
        <w:rPr>
          <w:rFonts w:ascii="Arial" w:cs="Arial" w:eastAsia="Arial" w:hAnsi="Arial"/>
          <w:sz w:val="18"/>
          <w:szCs w:val="18"/>
          <w:color w:val="auto"/>
        </w:rPr>
        <w:t>,</w:t>
      </w:r>
      <w:r>
        <w:rPr>
          <w:rFonts w:ascii="Arial" w:cs="Arial" w:eastAsia="Arial" w:hAnsi="Arial"/>
          <w:sz w:val="18"/>
          <w:szCs w:val="18"/>
          <w:i w:val="1"/>
          <w:iCs w:val="1"/>
          <w:color w:val="auto"/>
        </w:rPr>
        <w:t xml:space="preserve"> Rachael Ray</w:t>
      </w:r>
      <w:r>
        <w:rPr>
          <w:rFonts w:ascii="Arial" w:cs="Arial" w:eastAsia="Arial" w:hAnsi="Arial"/>
          <w:sz w:val="18"/>
          <w:szCs w:val="18"/>
          <w:color w:val="auto"/>
        </w:rPr>
        <w:t>,</w:t>
      </w:r>
      <w:r>
        <w:rPr>
          <w:rFonts w:ascii="Arial" w:cs="Arial" w:eastAsia="Arial" w:hAnsi="Arial"/>
          <w:sz w:val="18"/>
          <w:szCs w:val="18"/>
          <w:i w:val="1"/>
          <w:iCs w:val="1"/>
          <w:color w:val="auto"/>
        </w:rPr>
        <w:t xml:space="preserve"> Hot Bench </w:t>
      </w:r>
      <w:r>
        <w:rPr>
          <w:rFonts w:ascii="Arial" w:cs="Arial" w:eastAsia="Arial" w:hAnsi="Arial"/>
          <w:sz w:val="18"/>
          <w:szCs w:val="18"/>
          <w:color w:val="auto"/>
        </w:rPr>
        <w:t>and</w:t>
      </w:r>
      <w:r>
        <w:rPr>
          <w:rFonts w:ascii="Arial" w:cs="Arial" w:eastAsia="Arial" w:hAnsi="Arial"/>
          <w:sz w:val="18"/>
          <w:szCs w:val="18"/>
          <w:i w:val="1"/>
          <w:iCs w:val="1"/>
          <w:color w:val="auto"/>
        </w:rPr>
        <w:t xml:space="preserve"> Judge Judy </w:t>
      </w:r>
      <w:r>
        <w:rPr>
          <w:rFonts w:ascii="Arial" w:cs="Arial" w:eastAsia="Arial" w:hAnsi="Arial"/>
          <w:sz w:val="18"/>
          <w:szCs w:val="18"/>
          <w:color w:val="auto"/>
        </w:rPr>
        <w:t>and produces</w:t>
      </w:r>
      <w:r>
        <w:rPr>
          <w:rFonts w:ascii="Arial" w:cs="Arial" w:eastAsia="Arial" w:hAnsi="Arial"/>
          <w:sz w:val="18"/>
          <w:szCs w:val="18"/>
          <w:i w:val="1"/>
          <w:iCs w:val="1"/>
          <w:color w:val="auto"/>
        </w:rPr>
        <w:t xml:space="preserve"> The Good Fight</w:t>
      </w:r>
      <w:r>
        <w:rPr>
          <w:rFonts w:ascii="Arial" w:cs="Arial" w:eastAsia="Arial" w:hAnsi="Arial"/>
          <w:sz w:val="18"/>
          <w:szCs w:val="18"/>
          <w:color w:val="auto"/>
        </w:rPr>
        <w:t>,</w:t>
      </w:r>
      <w:r>
        <w:rPr>
          <w:rFonts w:ascii="Arial" w:cs="Arial" w:eastAsia="Arial" w:hAnsi="Arial"/>
          <w:sz w:val="18"/>
          <w:szCs w:val="18"/>
          <w:i w:val="1"/>
          <w:iCs w:val="1"/>
          <w:color w:val="auto"/>
        </w:rPr>
        <w:t xml:space="preserve"> Star Trek: Discovery</w:t>
      </w:r>
      <w:r>
        <w:rPr>
          <w:rFonts w:ascii="Arial" w:cs="Arial" w:eastAsia="Arial" w:hAnsi="Arial"/>
          <w:sz w:val="18"/>
          <w:szCs w:val="18"/>
          <w:color w:val="auto"/>
        </w:rPr>
        <w:t>,</w:t>
      </w:r>
      <w:r>
        <w:rPr>
          <w:rFonts w:ascii="Arial" w:cs="Arial" w:eastAsia="Arial" w:hAnsi="Arial"/>
          <w:sz w:val="18"/>
          <w:szCs w:val="18"/>
          <w:i w:val="1"/>
          <w:iCs w:val="1"/>
          <w:color w:val="auto"/>
        </w:rPr>
        <w:t xml:space="preserve"> No Activity</w:t>
      </w:r>
      <w:r>
        <w:rPr>
          <w:rFonts w:ascii="Arial" w:cs="Arial" w:eastAsia="Arial" w:hAnsi="Arial"/>
          <w:sz w:val="18"/>
          <w:szCs w:val="18"/>
          <w:color w:val="auto"/>
        </w:rPr>
        <w:t>,</w:t>
      </w:r>
      <w:r>
        <w:rPr>
          <w:rFonts w:ascii="Arial" w:cs="Arial" w:eastAsia="Arial" w:hAnsi="Arial"/>
          <w:sz w:val="18"/>
          <w:szCs w:val="18"/>
          <w:i w:val="1"/>
          <w:iCs w:val="1"/>
          <w:color w:val="auto"/>
        </w:rPr>
        <w:t xml:space="preserve"> Strange Angel </w:t>
      </w:r>
      <w:r>
        <w:rPr>
          <w:rFonts w:ascii="Arial" w:cs="Arial" w:eastAsia="Arial" w:hAnsi="Arial"/>
          <w:sz w:val="18"/>
          <w:szCs w:val="18"/>
          <w:color w:val="auto"/>
        </w:rPr>
        <w:t>and</w:t>
      </w:r>
      <w:r>
        <w:rPr>
          <w:rFonts w:ascii="Arial" w:cs="Arial" w:eastAsia="Arial" w:hAnsi="Arial"/>
          <w:sz w:val="18"/>
          <w:szCs w:val="18"/>
          <w:i w:val="1"/>
          <w:iCs w:val="1"/>
          <w:color w:val="auto"/>
        </w:rPr>
        <w:t xml:space="preserve"> Tell Me a Story </w:t>
      </w:r>
      <w:r>
        <w:rPr>
          <w:rFonts w:ascii="Arial" w:cs="Arial" w:eastAsia="Arial" w:hAnsi="Arial"/>
          <w:sz w:val="18"/>
          <w:szCs w:val="18"/>
          <w:color w:val="auto"/>
        </w:rPr>
        <w:t>for streaming on</w:t>
      </w:r>
      <w:r>
        <w:rPr>
          <w:rFonts w:ascii="Arial" w:cs="Arial" w:eastAsia="Arial" w:hAnsi="Arial"/>
          <w:sz w:val="18"/>
          <w:szCs w:val="18"/>
          <w:i w:val="1"/>
          <w:iCs w:val="1"/>
          <w:color w:val="auto"/>
        </w:rPr>
        <w:t xml:space="preserve"> CBS All Access</w:t>
      </w:r>
      <w:r>
        <w:rPr>
          <w:rFonts w:ascii="Arial" w:cs="Arial" w:eastAsia="Arial" w:hAnsi="Arial"/>
          <w:sz w:val="18"/>
          <w:szCs w:val="18"/>
          <w:color w:val="auto"/>
        </w:rPr>
        <w:t>. The Company also distributes syndicated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programming internationally.</w:t>
      </w:r>
    </w:p>
    <w:p>
      <w:pPr>
        <w:spacing w:after="0" w:line="20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 continues to monetize its content through digital media. It enters into and renews numerous multi-year licensing agreements for distribution of certain of its programming to various services reaching countries throughout the world, particularly the U.S., Canada and in Europe. These services include digital streaming on subscription or advertiser-supported video-on-demand services, including services by Amazon, Bell Media, Hotstar, Netflix, Stan Entertainment and Telefonica; virtual MVPDs, including DIRECTV NOW, Hulu with Live TV and YouTube TV; and digital downloading on various electronic sell-through services owned by Amazon, Apple, Google and Microsoft, among others.</w:t>
      </w:r>
    </w:p>
    <w:p>
      <w:pPr>
        <w:spacing w:after="0" w:line="19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Fees for television programming licensed for syndication and digital streaming are recorded as revenues at the beginning of the license period in which the programs are made available for exhibition, which, among other reasons, may cause substantial fluctuations in the Entertainment segment’s operating results. Unrecognized revenues attributable to such license agreements were $1.08 billion and $670 million at December 31, 2018 and December 31, 2017, respectively.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 xml:space="preserve">In November 2017, the Company acquired Ten Network Holdings Limited, one of three major commercial broadcast networks in Australia. Network 10 includes the channels </w:t>
      </w:r>
      <w:r>
        <w:rPr>
          <w:rFonts w:ascii="Arial" w:cs="Arial" w:eastAsia="Arial" w:hAnsi="Arial"/>
          <w:sz w:val="19"/>
          <w:szCs w:val="19"/>
          <w:i w:val="1"/>
          <w:iCs w:val="1"/>
          <w:color w:val="auto"/>
        </w:rPr>
        <w:t>10</w:t>
      </w:r>
      <w:r>
        <w:rPr>
          <w:rFonts w:ascii="Arial" w:cs="Arial" w:eastAsia="Arial" w:hAnsi="Arial"/>
          <w:sz w:val="19"/>
          <w:szCs w:val="19"/>
          <w:color w:val="auto"/>
        </w:rPr>
        <w:t xml:space="preserve">™, </w:t>
      </w:r>
      <w:r>
        <w:rPr>
          <w:rFonts w:ascii="Arial" w:cs="Arial" w:eastAsia="Arial" w:hAnsi="Arial"/>
          <w:sz w:val="19"/>
          <w:szCs w:val="19"/>
          <w:i w:val="1"/>
          <w:iCs w:val="1"/>
          <w:color w:val="auto"/>
        </w:rPr>
        <w:t>10 Bold</w:t>
      </w:r>
      <w:r>
        <w:rPr>
          <w:rFonts w:ascii="Arial" w:cs="Arial" w:eastAsia="Arial" w:hAnsi="Arial"/>
          <w:sz w:val="19"/>
          <w:szCs w:val="19"/>
          <w:color w:val="auto"/>
        </w:rPr>
        <w:t xml:space="preserve">™ and </w:t>
      </w:r>
      <w:r>
        <w:rPr>
          <w:rFonts w:ascii="Arial" w:cs="Arial" w:eastAsia="Arial" w:hAnsi="Arial"/>
          <w:sz w:val="19"/>
          <w:szCs w:val="19"/>
          <w:i w:val="1"/>
          <w:iCs w:val="1"/>
          <w:color w:val="auto"/>
        </w:rPr>
        <w:t>10 Peach</w:t>
      </w:r>
      <w:r>
        <w:rPr>
          <w:rFonts w:ascii="Arial" w:cs="Arial" w:eastAsia="Arial" w:hAnsi="Arial"/>
          <w:sz w:val="19"/>
          <w:szCs w:val="19"/>
          <w:color w:val="auto"/>
        </w:rPr>
        <w:t xml:space="preserve">™ which broadcast a mix of entertainment, drama, news and sports programming, such as </w:t>
      </w:r>
      <w:r>
        <w:rPr>
          <w:rFonts w:ascii="Arial" w:cs="Arial" w:eastAsia="Arial" w:hAnsi="Arial"/>
          <w:sz w:val="19"/>
          <w:szCs w:val="19"/>
          <w:i w:val="1"/>
          <w:iCs w:val="1"/>
          <w:color w:val="auto"/>
        </w:rPr>
        <w:t>Australian Survivor</w:t>
      </w:r>
      <w:r>
        <w:rPr>
          <w:rFonts w:ascii="Arial" w:cs="Arial" w:eastAsia="Arial" w:hAnsi="Arial"/>
          <w:sz w:val="19"/>
          <w:szCs w:val="19"/>
          <w:color w:val="auto"/>
        </w:rPr>
        <w:t xml:space="preserve">, </w:t>
      </w:r>
      <w:r>
        <w:rPr>
          <w:rFonts w:ascii="Arial" w:cs="Arial" w:eastAsia="Arial" w:hAnsi="Arial"/>
          <w:sz w:val="19"/>
          <w:szCs w:val="19"/>
          <w:i w:val="1"/>
          <w:iCs w:val="1"/>
          <w:color w:val="auto"/>
        </w:rPr>
        <w:t>Have You Been Paying Attention?</w:t>
      </w:r>
      <w:r>
        <w:rPr>
          <w:rFonts w:ascii="Arial" w:cs="Arial" w:eastAsia="Arial" w:hAnsi="Arial"/>
          <w:sz w:val="19"/>
          <w:szCs w:val="19"/>
          <w:color w:val="auto"/>
        </w:rPr>
        <w:t xml:space="preserve"> and </w:t>
      </w:r>
      <w:r>
        <w:rPr>
          <w:rFonts w:ascii="Arial" w:cs="Arial" w:eastAsia="Arial" w:hAnsi="Arial"/>
          <w:sz w:val="19"/>
          <w:szCs w:val="19"/>
          <w:i w:val="1"/>
          <w:iCs w:val="1"/>
          <w:color w:val="auto"/>
        </w:rPr>
        <w:t>The Australian Formula 1 Grand Prix</w:t>
      </w:r>
      <w:r>
        <w:rPr>
          <w:rFonts w:ascii="Arial" w:cs="Arial" w:eastAsia="Arial" w:hAnsi="Arial"/>
          <w:sz w:val="19"/>
          <w:szCs w:val="19"/>
          <w:color w:val="auto"/>
        </w:rPr>
        <w:t xml:space="preserve">. Network 10 also includes the digital platforms </w:t>
      </w:r>
      <w:r>
        <w:rPr>
          <w:rFonts w:ascii="Arial" w:cs="Arial" w:eastAsia="Arial" w:hAnsi="Arial"/>
          <w:sz w:val="19"/>
          <w:szCs w:val="19"/>
          <w:i w:val="1"/>
          <w:iCs w:val="1"/>
          <w:color w:val="auto"/>
        </w:rPr>
        <w:t>10 Play</w:t>
      </w:r>
      <w:r>
        <w:rPr>
          <w:rFonts w:ascii="Arial" w:cs="Arial" w:eastAsia="Arial" w:hAnsi="Arial"/>
          <w:sz w:val="19"/>
          <w:szCs w:val="19"/>
          <w:color w:val="auto"/>
        </w:rPr>
        <w:t xml:space="preserve">™, </w:t>
      </w:r>
      <w:r>
        <w:rPr>
          <w:rFonts w:ascii="Arial" w:cs="Arial" w:eastAsia="Arial" w:hAnsi="Arial"/>
          <w:sz w:val="19"/>
          <w:szCs w:val="19"/>
          <w:i w:val="1"/>
          <w:iCs w:val="1"/>
          <w:color w:val="auto"/>
        </w:rPr>
        <w:t>10 Daily</w:t>
      </w:r>
      <w:r>
        <w:rPr>
          <w:rFonts w:ascii="Arial" w:cs="Arial" w:eastAsia="Arial" w:hAnsi="Arial"/>
          <w:sz w:val="19"/>
          <w:szCs w:val="19"/>
          <w:color w:val="auto"/>
        </w:rPr>
        <w:t xml:space="preserve">™ as well as </w:t>
      </w:r>
      <w:r>
        <w:rPr>
          <w:rFonts w:ascii="Arial" w:cs="Arial" w:eastAsia="Arial" w:hAnsi="Arial"/>
          <w:sz w:val="19"/>
          <w:szCs w:val="19"/>
          <w:i w:val="1"/>
          <w:iCs w:val="1"/>
          <w:color w:val="auto"/>
        </w:rPr>
        <w:t>10 All Access</w:t>
      </w:r>
      <w:r>
        <w:rPr>
          <w:rFonts w:ascii="Arial" w:cs="Arial" w:eastAsia="Arial" w:hAnsi="Arial"/>
          <w:sz w:val="19"/>
          <w:szCs w:val="19"/>
          <w:color w:val="auto"/>
        </w:rPr>
        <w:t>, a direct-to-consumer digital streaming subscription service in Australia, which the Company launched in December 2018, featuring programming from the Company and Network 10. Network 10 principally derives revenue from the sale of advertising for its network broadcasts and related digital services.</w:t>
      </w:r>
    </w:p>
    <w:p>
      <w:pPr>
        <w:spacing w:after="0" w:line="192"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0"/>
          <w:szCs w:val="20"/>
          <w:color w:val="auto"/>
        </w:rPr>
        <w:t>The Company also has interests in domestic and international joint ventures. The Company owns a 50% interest in a joint venture with Lionsgate, which owns and operates the entertainment cable network Pop</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The Company owns a 49% interest in a joint venture with a subsidiary of AMC Networks Inc., which owns and operates channels in the U.K. and Ireland, including </w:t>
      </w:r>
      <w:r>
        <w:rPr>
          <w:rFonts w:ascii="Arial" w:cs="Arial" w:eastAsia="Arial" w:hAnsi="Arial"/>
          <w:sz w:val="20"/>
          <w:szCs w:val="20"/>
          <w:i w:val="1"/>
          <w:iCs w:val="1"/>
          <w:color w:val="auto"/>
        </w:rPr>
        <w:t>CBS Justice</w:t>
      </w:r>
      <w:r>
        <w:rPr>
          <w:rFonts w:ascii="Arial" w:cs="Arial" w:eastAsia="Arial" w:hAnsi="Arial"/>
          <w:sz w:val="20"/>
          <w:szCs w:val="20"/>
          <w:color w:val="auto"/>
        </w:rPr>
        <w:t xml:space="preserve">™, </w:t>
      </w:r>
      <w:r>
        <w:rPr>
          <w:rFonts w:ascii="Arial" w:cs="Arial" w:eastAsia="Arial" w:hAnsi="Arial"/>
          <w:sz w:val="20"/>
          <w:szCs w:val="20"/>
          <w:i w:val="1"/>
          <w:iCs w:val="1"/>
          <w:color w:val="auto"/>
        </w:rPr>
        <w:t>CBS Drama</w:t>
      </w:r>
      <w:r>
        <w:rPr>
          <w:rFonts w:ascii="Arial" w:cs="Arial" w:eastAsia="Arial" w:hAnsi="Arial"/>
          <w:sz w:val="20"/>
          <w:szCs w:val="20"/>
          <w:color w:val="auto"/>
        </w:rPr>
        <w:t xml:space="preserve">™, </w:t>
      </w:r>
      <w:r>
        <w:rPr>
          <w:rFonts w:ascii="Arial" w:cs="Arial" w:eastAsia="Arial" w:hAnsi="Arial"/>
          <w:sz w:val="20"/>
          <w:szCs w:val="20"/>
          <w:i w:val="1"/>
          <w:iCs w:val="1"/>
          <w:color w:val="auto"/>
        </w:rPr>
        <w:t>CBS</w:t>
      </w:r>
      <w:r>
        <w:rPr>
          <w:rFonts w:ascii="Arial" w:cs="Arial" w:eastAsia="Arial" w:hAnsi="Arial"/>
          <w:sz w:val="20"/>
          <w:szCs w:val="20"/>
          <w:color w:val="auto"/>
        </w:rPr>
        <w:t xml:space="preserve"> </w:t>
      </w:r>
      <w:r>
        <w:rPr>
          <w:rFonts w:ascii="Arial" w:cs="Arial" w:eastAsia="Arial" w:hAnsi="Arial"/>
          <w:sz w:val="20"/>
          <w:szCs w:val="20"/>
          <w:i w:val="1"/>
          <w:iCs w:val="1"/>
          <w:color w:val="auto"/>
        </w:rPr>
        <w:t>Reality</w:t>
      </w:r>
      <w:r>
        <w:rPr>
          <w:rFonts w:ascii="Arial" w:cs="Arial" w:eastAsia="Arial" w:hAnsi="Arial"/>
          <w:sz w:val="20"/>
          <w:szCs w:val="20"/>
          <w:color w:val="auto"/>
        </w:rPr>
        <w:t>™ and</w:t>
      </w:r>
      <w:r>
        <w:rPr>
          <w:rFonts w:ascii="Arial" w:cs="Arial" w:eastAsia="Arial" w:hAnsi="Arial"/>
          <w:sz w:val="20"/>
          <w:szCs w:val="20"/>
          <w:i w:val="1"/>
          <w:iCs w:val="1"/>
          <w:color w:val="auto"/>
        </w:rPr>
        <w:t xml:space="preserve"> Horror Channel</w:t>
      </w:r>
      <w:r>
        <w:rPr>
          <w:rFonts w:ascii="Arial" w:cs="Arial" w:eastAsia="Arial" w:hAnsi="Arial"/>
          <w:sz w:val="20"/>
          <w:szCs w:val="20"/>
          <w:color w:val="auto"/>
        </w:rPr>
        <w:t>™. The Company also owns a 30% interest in a joint venture with another subsidiary of AMC Networks, which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owns and operates cable and satellite channels in Europe, the Middle East and Africa broadcasting CBS programming and branded as </w:t>
      </w:r>
      <w:r>
        <w:rPr>
          <w:rFonts w:ascii="Arial" w:cs="Arial" w:eastAsia="Arial" w:hAnsi="Arial"/>
          <w:sz w:val="20"/>
          <w:szCs w:val="20"/>
          <w:i w:val="1"/>
          <w:iCs w:val="1"/>
          <w:color w:val="auto"/>
        </w:rPr>
        <w:t>CBS</w:t>
      </w:r>
      <w:r>
        <w:rPr>
          <w:rFonts w:ascii="Arial" w:cs="Arial" w:eastAsia="Arial" w:hAnsi="Arial"/>
          <w:sz w:val="20"/>
          <w:szCs w:val="20"/>
          <w:color w:val="auto"/>
        </w:rPr>
        <w:t xml:space="preserve"> </w:t>
      </w:r>
      <w:r>
        <w:rPr>
          <w:rFonts w:ascii="Arial" w:cs="Arial" w:eastAsia="Arial" w:hAnsi="Arial"/>
          <w:sz w:val="20"/>
          <w:szCs w:val="20"/>
          <w:i w:val="1"/>
          <w:iCs w:val="1"/>
          <w:color w:val="auto"/>
        </w:rPr>
        <w:t>Justice</w:t>
      </w:r>
      <w:r>
        <w:rPr>
          <w:rFonts w:ascii="Arial" w:cs="Arial" w:eastAsia="Arial" w:hAnsi="Arial"/>
          <w:sz w:val="20"/>
          <w:szCs w:val="20"/>
          <w:color w:val="auto"/>
        </w:rPr>
        <w:t>,</w:t>
      </w:r>
      <w:r>
        <w:rPr>
          <w:rFonts w:ascii="Arial" w:cs="Arial" w:eastAsia="Arial" w:hAnsi="Arial"/>
          <w:sz w:val="20"/>
          <w:szCs w:val="20"/>
          <w:i w:val="1"/>
          <w:iCs w:val="1"/>
          <w:color w:val="auto"/>
        </w:rPr>
        <w:t xml:space="preserve"> CBS Reality </w:t>
      </w:r>
      <w:r>
        <w:rPr>
          <w:rFonts w:ascii="Arial" w:cs="Arial" w:eastAsia="Arial" w:hAnsi="Arial"/>
          <w:sz w:val="20"/>
          <w:szCs w:val="20"/>
          <w:color w:val="auto"/>
        </w:rPr>
        <w:t>and</w:t>
      </w:r>
      <w:r>
        <w:rPr>
          <w:rFonts w:ascii="Arial" w:cs="Arial" w:eastAsia="Arial" w:hAnsi="Arial"/>
          <w:sz w:val="20"/>
          <w:szCs w:val="20"/>
          <w:i w:val="1"/>
          <w:iCs w:val="1"/>
          <w:color w:val="auto"/>
        </w:rPr>
        <w:t xml:space="preserve"> CBS Europa</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366" w:right="239" w:bottom="1440" w:gutter="0" w:footer="0" w:header="0"/>
        </w:sectPr>
      </w:pPr>
    </w:p>
    <w:bookmarkStart w:id="6" w:name="page7"/>
    <w:bookmarkEnd w:id="6"/>
    <w:p>
      <w:pPr>
        <w:jc w:val="both"/>
        <w:ind w:firstLine="324"/>
        <w:spacing w:after="0" w:line="239" w:lineRule="auto"/>
        <w:rPr>
          <w:sz w:val="20"/>
          <w:szCs w:val="20"/>
          <w:color w:val="auto"/>
        </w:rPr>
      </w:pPr>
      <w:r>
        <w:rPr>
          <w:rFonts w:ascii="Arial" w:cs="Arial" w:eastAsia="Arial" w:hAnsi="Arial"/>
          <w:sz w:val="19"/>
          <w:szCs w:val="19"/>
          <w:b w:val="1"/>
          <w:bCs w:val="1"/>
          <w:i w:val="1"/>
          <w:iCs w:val="1"/>
          <w:color w:val="auto"/>
        </w:rPr>
        <w:t xml:space="preserve">CBS Interactive. </w:t>
      </w:r>
      <w:r>
        <w:rPr>
          <w:rFonts w:ascii="Arial" w:cs="Arial" w:eastAsia="Arial" w:hAnsi="Arial"/>
          <w:sz w:val="19"/>
          <w:szCs w:val="19"/>
          <w:color w:val="auto"/>
        </w:rPr>
        <w:t>CBS Interactive is one of the leading global publishers of premium content on the internet, delivering this content via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Web properties, mobile properties and CBS apps on mobile, as well as internet-connected television and other device platform apps. CBS Interactive is ranked among the top internet properties in the world according to comScore Media Metrix. CBS Interactive’s leading brands, including </w:t>
      </w:r>
      <w:r>
        <w:rPr>
          <w:rFonts w:ascii="Arial" w:cs="Arial" w:eastAsia="Arial" w:hAnsi="Arial"/>
          <w:sz w:val="19"/>
          <w:szCs w:val="19"/>
          <w:i w:val="1"/>
          <w:iCs w:val="1"/>
          <w:color w:val="auto"/>
        </w:rPr>
        <w:t>CNET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CBS.com</w:t>
      </w:r>
      <w:r>
        <w:rPr>
          <w:rFonts w:ascii="Arial" w:cs="Arial" w:eastAsia="Arial" w:hAnsi="Arial"/>
          <w:sz w:val="19"/>
          <w:szCs w:val="19"/>
          <w:color w:val="auto"/>
        </w:rPr>
        <w:t xml:space="preserve">™,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w:t>
      </w:r>
      <w:r>
        <w:rPr>
          <w:rFonts w:ascii="Arial" w:cs="Arial" w:eastAsia="Arial" w:hAnsi="Arial"/>
          <w:sz w:val="19"/>
          <w:szCs w:val="19"/>
          <w:i w:val="1"/>
          <w:iCs w:val="1"/>
          <w:color w:val="auto"/>
        </w:rPr>
        <w:t>CBSSports.com</w:t>
      </w:r>
      <w:r>
        <w:rPr>
          <w:rFonts w:ascii="Arial" w:cs="Arial" w:eastAsia="Arial" w:hAnsi="Arial"/>
          <w:sz w:val="19"/>
          <w:szCs w:val="19"/>
          <w:color w:val="auto"/>
        </w:rPr>
        <w:t xml:space="preserve">, </w:t>
      </w:r>
      <w:r>
        <w:rPr>
          <w:rFonts w:ascii="Arial" w:cs="Arial" w:eastAsia="Arial" w:hAnsi="Arial"/>
          <w:sz w:val="19"/>
          <w:szCs w:val="19"/>
          <w:i w:val="1"/>
          <w:iCs w:val="1"/>
          <w:color w:val="auto"/>
        </w:rPr>
        <w:t>CBS Sports HQ</w:t>
      </w:r>
      <w:r>
        <w:rPr>
          <w:rFonts w:ascii="Arial" w:cs="Arial" w:eastAsia="Arial" w:hAnsi="Arial"/>
          <w:sz w:val="19"/>
          <w:szCs w:val="19"/>
          <w:color w:val="auto"/>
        </w:rPr>
        <w:t xml:space="preserve">, </w:t>
      </w:r>
      <w:r>
        <w:rPr>
          <w:rFonts w:ascii="Arial" w:cs="Arial" w:eastAsia="Arial" w:hAnsi="Arial"/>
          <w:sz w:val="19"/>
          <w:szCs w:val="19"/>
          <w:i w:val="1"/>
          <w:iCs w:val="1"/>
          <w:color w:val="auto"/>
        </w:rPr>
        <w:t>247Sports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GameSpot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MaxPreps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ET Live</w:t>
      </w:r>
      <w:r>
        <w:rPr>
          <w:rFonts w:ascii="Arial" w:cs="Arial" w:eastAsia="Arial" w:hAnsi="Arial"/>
          <w:sz w:val="19"/>
          <w:szCs w:val="19"/>
          <w:color w:val="auto"/>
        </w:rPr>
        <w:t xml:space="preserve">, </w:t>
      </w:r>
      <w:r>
        <w:rPr>
          <w:rFonts w:ascii="Arial" w:cs="Arial" w:eastAsia="Arial" w:hAnsi="Arial"/>
          <w:sz w:val="19"/>
          <w:szCs w:val="19"/>
          <w:i w:val="1"/>
          <w:iCs w:val="1"/>
          <w:color w:val="auto"/>
        </w:rPr>
        <w:t>TVGuide.com</w:t>
      </w:r>
      <w:r>
        <w:rPr>
          <w:rFonts w:ascii="Arial" w:cs="Arial" w:eastAsia="Arial" w:hAnsi="Arial"/>
          <w:sz w:val="19"/>
          <w:szCs w:val="19"/>
          <w:color w:val="auto"/>
        </w:rPr>
        <w:t>™,</w:t>
      </w:r>
      <w:r>
        <w:rPr>
          <w:rFonts w:ascii="Arial" w:cs="Arial" w:eastAsia="Arial" w:hAnsi="Arial"/>
          <w:sz w:val="19"/>
          <w:szCs w:val="19"/>
          <w:i w:val="1"/>
          <w:iCs w:val="1"/>
          <w:color w:val="auto"/>
        </w:rPr>
        <w:t xml:space="preserve"> CBSNews.com</w:t>
      </w:r>
      <w:r>
        <w:rPr>
          <w:rFonts w:ascii="Arial" w:cs="Arial" w:eastAsia="Arial" w:hAnsi="Arial"/>
          <w:sz w:val="19"/>
          <w:szCs w:val="19"/>
          <w:color w:val="auto"/>
        </w:rPr>
        <w:t>™,</w:t>
      </w:r>
      <w:r>
        <w:rPr>
          <w:rFonts w:ascii="Arial" w:cs="Arial" w:eastAsia="Arial" w:hAnsi="Arial"/>
          <w:sz w:val="19"/>
          <w:szCs w:val="19"/>
          <w:i w:val="1"/>
          <w:iCs w:val="1"/>
          <w:color w:val="auto"/>
        </w:rPr>
        <w:t xml:space="preserve"> CBSN</w:t>
      </w:r>
      <w:r>
        <w:rPr>
          <w:rFonts w:ascii="Arial" w:cs="Arial" w:eastAsia="Arial" w:hAnsi="Arial"/>
          <w:sz w:val="19"/>
          <w:szCs w:val="19"/>
          <w:color w:val="auto"/>
        </w:rPr>
        <w:t>,</w:t>
      </w:r>
      <w:r>
        <w:rPr>
          <w:rFonts w:ascii="Arial" w:cs="Arial" w:eastAsia="Arial" w:hAnsi="Arial"/>
          <w:sz w:val="19"/>
          <w:szCs w:val="19"/>
          <w:i w:val="1"/>
          <w:iCs w:val="1"/>
          <w:color w:val="auto"/>
        </w:rPr>
        <w:t xml:space="preserve"> ZDNet</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Last.fm</w:t>
      </w:r>
      <w:r>
        <w:rPr>
          <w:rFonts w:ascii="Arial" w:cs="Arial" w:eastAsia="Arial" w:hAnsi="Arial"/>
          <w:sz w:val="24"/>
          <w:szCs w:val="24"/>
          <w:color w:val="auto"/>
          <w:vertAlign w:val="superscript"/>
        </w:rPr>
        <w:t>®</w:t>
      </w:r>
      <w:r>
        <w:rPr>
          <w:rFonts w:ascii="Arial" w:cs="Arial" w:eastAsia="Arial" w:hAnsi="Arial"/>
          <w:sz w:val="19"/>
          <w:szCs w:val="19"/>
          <w:color w:val="auto"/>
        </w:rPr>
        <w:t>, and</w:t>
      </w:r>
      <w:r>
        <w:rPr>
          <w:rFonts w:ascii="Arial" w:cs="Arial" w:eastAsia="Arial" w:hAnsi="Arial"/>
          <w:sz w:val="19"/>
          <w:szCs w:val="19"/>
          <w:i w:val="1"/>
          <w:iCs w:val="1"/>
          <w:color w:val="auto"/>
        </w:rPr>
        <w:t xml:space="preserve"> MetroLyrics.com</w:t>
      </w:r>
      <w:r>
        <w:rPr>
          <w:rFonts w:ascii="Arial" w:cs="Arial" w:eastAsia="Arial" w:hAnsi="Arial"/>
          <w:sz w:val="24"/>
          <w:szCs w:val="24"/>
          <w:color w:val="auto"/>
          <w:vertAlign w:val="superscript"/>
        </w:rPr>
        <w:t>®</w:t>
      </w:r>
      <w:r>
        <w:rPr>
          <w:rFonts w:ascii="Arial" w:cs="Arial" w:eastAsia="Arial" w:hAnsi="Arial"/>
          <w:sz w:val="19"/>
          <w:szCs w:val="19"/>
          <w:color w:val="auto"/>
        </w:rPr>
        <w:t>, among others, serve targeted audiences with text, video,</w:t>
      </w:r>
      <w:r>
        <w:rPr>
          <w:rFonts w:ascii="Arial" w:cs="Arial" w:eastAsia="Arial" w:hAnsi="Arial"/>
          <w:sz w:val="19"/>
          <w:szCs w:val="19"/>
          <w:i w:val="1"/>
          <w:iCs w:val="1"/>
          <w:color w:val="auto"/>
        </w:rPr>
        <w:t xml:space="preserve"> </w:t>
      </w:r>
      <w:r>
        <w:rPr>
          <w:rFonts w:ascii="Arial" w:cs="Arial" w:eastAsia="Arial" w:hAnsi="Arial"/>
          <w:sz w:val="19"/>
          <w:szCs w:val="19"/>
          <w:color w:val="auto"/>
        </w:rPr>
        <w:t>audio, and mobile content spanning technology, entertainment, sports, news, business, gaming and music categories. In addition to its U.S.-based business, which reached approximately 165 million U.S. unique monthly visitors during December 2018 according to comScore Media Metrix, January 2019, CBS Interactive operates in Asia, Australia and Europe.</w:t>
      </w:r>
    </w:p>
    <w:p>
      <w:pPr>
        <w:spacing w:after="0" w:line="19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CBS Interactive generates revenue principally from the sale of advertising and sponsorships, in addition to fees derived from subscriptions, license fees, search and commerce partners, e-commerce activities, and other paid services. Advertising spending on the internet, as in traditional media, fluctuates significantly with economic conditions. In addition, online marketing spending follows seasonal consumer behavior throughout the calendar year to reflect trends during the calendar year.</w:t>
      </w:r>
    </w:p>
    <w:p>
      <w:pPr>
        <w:spacing w:after="0" w:line="19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0"/>
          <w:szCs w:val="20"/>
          <w:color w:val="auto"/>
        </w:rPr>
        <w:t xml:space="preserve">CBS Interactive owns and operates digital properties, including: </w:t>
      </w:r>
      <w:r>
        <w:rPr>
          <w:rFonts w:ascii="Arial" w:cs="Arial" w:eastAsia="Arial" w:hAnsi="Arial"/>
          <w:sz w:val="20"/>
          <w:szCs w:val="20"/>
          <w:i w:val="1"/>
          <w:iCs w:val="1"/>
          <w:color w:val="auto"/>
        </w:rPr>
        <w:t>CNET</w:t>
      </w:r>
      <w:r>
        <w:rPr>
          <w:rFonts w:ascii="Arial" w:cs="Arial" w:eastAsia="Arial" w:hAnsi="Arial"/>
          <w:sz w:val="20"/>
          <w:szCs w:val="20"/>
          <w:color w:val="auto"/>
        </w:rPr>
        <w:t xml:space="preserve">, one of the preeminent digital properties for technology and consumer electronics information and featuring news, reviews, downloads and instructional and entertaining video and audio shows about technology; </w:t>
      </w:r>
      <w:r>
        <w:rPr>
          <w:rFonts w:ascii="Arial" w:cs="Arial" w:eastAsia="Arial" w:hAnsi="Arial"/>
          <w:sz w:val="20"/>
          <w:szCs w:val="20"/>
          <w:i w:val="1"/>
          <w:iCs w:val="1"/>
          <w:color w:val="auto"/>
        </w:rPr>
        <w:t>CNET en Espanol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which delivers </w:t>
      </w:r>
      <w:r>
        <w:rPr>
          <w:rFonts w:ascii="Arial" w:cs="Arial" w:eastAsia="Arial" w:hAnsi="Arial"/>
          <w:sz w:val="20"/>
          <w:szCs w:val="20"/>
          <w:i w:val="1"/>
          <w:iCs w:val="1"/>
          <w:color w:val="auto"/>
        </w:rPr>
        <w:t>CNET.com</w:t>
      </w:r>
      <w:r>
        <w:rPr>
          <w:rFonts w:ascii="Arial" w:cs="Arial" w:eastAsia="Arial" w:hAnsi="Arial"/>
          <w:sz w:val="20"/>
          <w:szCs w:val="20"/>
          <w:color w:val="auto"/>
        </w:rPr>
        <w:t xml:space="preserve">’s information in the U.S. to Spanish speakers; </w:t>
      </w:r>
      <w:r>
        <w:rPr>
          <w:rFonts w:ascii="Arial" w:cs="Arial" w:eastAsia="Arial" w:hAnsi="Arial"/>
          <w:sz w:val="20"/>
          <w:szCs w:val="20"/>
          <w:i w:val="1"/>
          <w:iCs w:val="1"/>
          <w:color w:val="auto"/>
        </w:rPr>
        <w:t>TVGuide Digital</w:t>
      </w:r>
      <w:r>
        <w:rPr>
          <w:rFonts w:ascii="Arial" w:cs="Arial" w:eastAsia="Arial" w:hAnsi="Arial"/>
          <w:sz w:val="20"/>
          <w:szCs w:val="20"/>
          <w:color w:val="auto"/>
        </w:rPr>
        <w:t xml:space="preserve">™, which provides comprehensive information about television programming; </w:t>
      </w:r>
      <w:r>
        <w:rPr>
          <w:rFonts w:ascii="Arial" w:cs="Arial" w:eastAsia="Arial" w:hAnsi="Arial"/>
          <w:sz w:val="20"/>
          <w:szCs w:val="20"/>
          <w:i w:val="1"/>
          <w:iCs w:val="1"/>
          <w:color w:val="auto"/>
        </w:rPr>
        <w:t>GameSpot</w:t>
      </w:r>
      <w:r>
        <w:rPr>
          <w:rFonts w:ascii="Arial" w:cs="Arial" w:eastAsia="Arial" w:hAnsi="Arial"/>
          <w:sz w:val="20"/>
          <w:szCs w:val="20"/>
          <w:color w:val="auto"/>
        </w:rPr>
        <w:t xml:space="preserve">, a leading gaming information digital property providing video game reviews and previews, news, eSports, Webcasts, videos, and game downloads; </w:t>
      </w:r>
      <w:r>
        <w:rPr>
          <w:rFonts w:ascii="Arial" w:cs="Arial" w:eastAsia="Arial" w:hAnsi="Arial"/>
          <w:sz w:val="20"/>
          <w:szCs w:val="20"/>
          <w:i w:val="1"/>
          <w:iCs w:val="1"/>
          <w:color w:val="auto"/>
        </w:rPr>
        <w:t>Last.fm</w:t>
      </w:r>
      <w:r>
        <w:rPr>
          <w:rFonts w:ascii="Arial" w:cs="Arial" w:eastAsia="Arial" w:hAnsi="Arial"/>
          <w:sz w:val="20"/>
          <w:szCs w:val="20"/>
          <w:color w:val="auto"/>
        </w:rPr>
        <w:t xml:space="preserve">, which is a music recommendation, discovery and social networking property; </w:t>
      </w:r>
      <w:r>
        <w:rPr>
          <w:rFonts w:ascii="Arial" w:cs="Arial" w:eastAsia="Arial" w:hAnsi="Arial"/>
          <w:sz w:val="20"/>
          <w:szCs w:val="20"/>
          <w:i w:val="1"/>
          <w:iCs w:val="1"/>
          <w:color w:val="auto"/>
        </w:rPr>
        <w:t>MetroLyrics.com</w:t>
      </w:r>
      <w:r>
        <w:rPr>
          <w:rFonts w:ascii="Arial" w:cs="Arial" w:eastAsia="Arial" w:hAnsi="Arial"/>
          <w:sz w:val="20"/>
          <w:szCs w:val="20"/>
          <w:color w:val="auto"/>
        </w:rPr>
        <w:t xml:space="preserve">, which is one of the most popular databases for song lyrics online; and </w:t>
      </w:r>
      <w:r>
        <w:rPr>
          <w:rFonts w:ascii="Arial" w:cs="Arial" w:eastAsia="Arial" w:hAnsi="Arial"/>
          <w:sz w:val="20"/>
          <w:szCs w:val="20"/>
          <w:i w:val="1"/>
          <w:iCs w:val="1"/>
          <w:color w:val="auto"/>
        </w:rPr>
        <w:t>TV.com</w:t>
      </w:r>
      <w:r>
        <w:rPr>
          <w:rFonts w:ascii="Arial" w:cs="Arial" w:eastAsia="Arial" w:hAnsi="Arial"/>
          <w:sz w:val="20"/>
          <w:szCs w:val="20"/>
          <w:color w:val="auto"/>
        </w:rPr>
        <w:t>, which is a destination for entertainment and community around television where visitors can watch videos and discuss and obtain information about television shows across all networks.</w:t>
      </w:r>
    </w:p>
    <w:p>
      <w:pPr>
        <w:spacing w:after="0" w:line="21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9"/>
          <w:szCs w:val="19"/>
          <w:color w:val="auto"/>
        </w:rPr>
        <w:t xml:space="preserve">CBS Interactive also operates </w:t>
      </w:r>
      <w:r>
        <w:rPr>
          <w:rFonts w:ascii="Arial" w:cs="Arial" w:eastAsia="Arial" w:hAnsi="Arial"/>
          <w:sz w:val="19"/>
          <w:szCs w:val="19"/>
          <w:i w:val="1"/>
          <w:iCs w:val="1"/>
          <w:color w:val="auto"/>
        </w:rPr>
        <w:t>CBS.com</w:t>
      </w:r>
      <w:r>
        <w:rPr>
          <w:rFonts w:ascii="Arial" w:cs="Arial" w:eastAsia="Arial" w:hAnsi="Arial"/>
          <w:sz w:val="19"/>
          <w:szCs w:val="19"/>
          <w:color w:val="auto"/>
        </w:rPr>
        <w:t xml:space="preserve">, the online destination for CBS Television Network programming. Further extending the </w:t>
      </w:r>
      <w:r>
        <w:rPr>
          <w:rFonts w:ascii="Arial" w:cs="Arial" w:eastAsia="Arial" w:hAnsi="Arial"/>
          <w:sz w:val="19"/>
          <w:szCs w:val="19"/>
          <w:i w:val="1"/>
          <w:iCs w:val="1"/>
          <w:color w:val="auto"/>
        </w:rPr>
        <w:t>CBS.com</w:t>
      </w:r>
      <w:r>
        <w:rPr>
          <w:rFonts w:ascii="Arial" w:cs="Arial" w:eastAsia="Arial" w:hAnsi="Arial"/>
          <w:sz w:val="19"/>
          <w:szCs w:val="19"/>
          <w:color w:val="auto"/>
        </w:rPr>
        <w:t xml:space="preserve"> experience, the Company offers a CBS app for on-demand streaming of various programs from the Company’s current network and library programming to users on multiple digital platforms, including Android, iOS, Amazon Fire and Windows 10 mobile platforms, and Amazon Fire TV, Android TV, Apple TV, Amazon Channels, Chromecast, PlayStation, Roku, Samsung Smart TVs and Xbox connected device platforms, among others. CBS Interactive operates </w:t>
      </w:r>
      <w:r>
        <w:rPr>
          <w:rFonts w:ascii="Arial" w:cs="Arial" w:eastAsia="Arial" w:hAnsi="Arial"/>
          <w:sz w:val="19"/>
          <w:szCs w:val="19"/>
          <w:i w:val="1"/>
          <w:iCs w:val="1"/>
          <w:color w:val="auto"/>
        </w:rPr>
        <w:t>CBSNews.com</w:t>
      </w:r>
      <w:r>
        <w:rPr>
          <w:rFonts w:ascii="Arial" w:cs="Arial" w:eastAsia="Arial" w:hAnsi="Arial"/>
          <w:sz w:val="19"/>
          <w:szCs w:val="19"/>
          <w:color w:val="auto"/>
        </w:rPr>
        <w:t xml:space="preserve">, the online destination for CBS News content, and offers an app for on-demand screening of current and library news programming and the content published on the website. CBS Interactive also operates </w:t>
      </w:r>
      <w:r>
        <w:rPr>
          <w:rFonts w:ascii="Arial" w:cs="Arial" w:eastAsia="Arial" w:hAnsi="Arial"/>
          <w:sz w:val="19"/>
          <w:szCs w:val="19"/>
          <w:i w:val="1"/>
          <w:iCs w:val="1"/>
          <w:color w:val="auto"/>
        </w:rPr>
        <w:t>CBSSportsDigital</w:t>
      </w:r>
      <w:r>
        <w:rPr>
          <w:rFonts w:ascii="Arial" w:cs="Arial" w:eastAsia="Arial" w:hAnsi="Arial"/>
          <w:sz w:val="19"/>
          <w:szCs w:val="19"/>
          <w:color w:val="auto"/>
        </w:rPr>
        <w:t>™, the online destination for CBS Sports content, including</w:t>
      </w:r>
      <w:r>
        <w:rPr>
          <w:rFonts w:ascii="Arial" w:cs="Arial" w:eastAsia="Arial" w:hAnsi="Arial"/>
          <w:sz w:val="19"/>
          <w:szCs w:val="19"/>
          <w:i w:val="1"/>
          <w:iCs w:val="1"/>
          <w:color w:val="auto"/>
        </w:rPr>
        <w:t xml:space="preserve"> CBSSports.com</w:t>
      </w:r>
      <w:r>
        <w:rPr>
          <w:rFonts w:ascii="Arial" w:cs="Arial" w:eastAsia="Arial" w:hAnsi="Arial"/>
          <w:sz w:val="19"/>
          <w:szCs w:val="19"/>
          <w:color w:val="auto"/>
        </w:rPr>
        <w:t>, which provides sports content, fantasy sports,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community and e-commerce features; </w:t>
      </w:r>
      <w:r>
        <w:rPr>
          <w:rFonts w:ascii="Arial" w:cs="Arial" w:eastAsia="Arial" w:hAnsi="Arial"/>
          <w:sz w:val="19"/>
          <w:szCs w:val="19"/>
          <w:i w:val="1"/>
          <w:iCs w:val="1"/>
          <w:color w:val="auto"/>
        </w:rPr>
        <w:t>Max Preps</w:t>
      </w:r>
      <w:r>
        <w:rPr>
          <w:rFonts w:ascii="Arial" w:cs="Arial" w:eastAsia="Arial" w:hAnsi="Arial"/>
          <w:sz w:val="19"/>
          <w:szCs w:val="19"/>
          <w:color w:val="auto"/>
        </w:rPr>
        <w:t xml:space="preserve">; </w:t>
      </w:r>
      <w:r>
        <w:rPr>
          <w:rFonts w:ascii="Arial" w:cs="Arial" w:eastAsia="Arial" w:hAnsi="Arial"/>
          <w:sz w:val="19"/>
          <w:szCs w:val="19"/>
          <w:i w:val="1"/>
          <w:iCs w:val="1"/>
          <w:color w:val="auto"/>
        </w:rPr>
        <w:t>247Sports</w:t>
      </w:r>
      <w:r>
        <w:rPr>
          <w:rFonts w:ascii="Arial" w:cs="Arial" w:eastAsia="Arial" w:hAnsi="Arial"/>
          <w:sz w:val="19"/>
          <w:szCs w:val="19"/>
          <w:color w:val="auto"/>
        </w:rPr>
        <w:t xml:space="preserve">; </w:t>
      </w:r>
      <w:r>
        <w:rPr>
          <w:rFonts w:ascii="Arial" w:cs="Arial" w:eastAsia="Arial" w:hAnsi="Arial"/>
          <w:sz w:val="19"/>
          <w:szCs w:val="19"/>
          <w:i w:val="1"/>
          <w:iCs w:val="1"/>
          <w:color w:val="auto"/>
        </w:rPr>
        <w:t>Scout</w:t>
      </w:r>
      <w:r>
        <w:rPr>
          <w:rFonts w:ascii="Arial" w:cs="Arial" w:eastAsia="Arial" w:hAnsi="Arial"/>
          <w:sz w:val="19"/>
          <w:szCs w:val="19"/>
          <w:color w:val="auto"/>
        </w:rPr>
        <w:t xml:space="preserve">; and </w:t>
      </w:r>
      <w:r>
        <w:rPr>
          <w:rFonts w:ascii="Arial" w:cs="Arial" w:eastAsia="Arial" w:hAnsi="Arial"/>
          <w:sz w:val="19"/>
          <w:szCs w:val="19"/>
          <w:i w:val="1"/>
          <w:iCs w:val="1"/>
          <w:color w:val="auto"/>
        </w:rPr>
        <w:t>BoxingScene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Further extending the </w:t>
      </w:r>
      <w:r>
        <w:rPr>
          <w:rFonts w:ascii="Arial" w:cs="Arial" w:eastAsia="Arial" w:hAnsi="Arial"/>
          <w:sz w:val="19"/>
          <w:szCs w:val="19"/>
          <w:i w:val="1"/>
          <w:iCs w:val="1"/>
          <w:color w:val="auto"/>
        </w:rPr>
        <w:t>CBSSports.com</w:t>
      </w:r>
      <w:r>
        <w:rPr>
          <w:rFonts w:ascii="Arial" w:cs="Arial" w:eastAsia="Arial" w:hAnsi="Arial"/>
          <w:sz w:val="19"/>
          <w:szCs w:val="19"/>
          <w:color w:val="auto"/>
        </w:rPr>
        <w:t xml:space="preserve"> experience, the Company offers an app for on-demand viewing of certain sports events broadcast on CBS as well as scores, news, standings and other sports information.</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 xml:space="preserve">CBS Interactive operates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the Company’s direct-to-consumer digital streaming subscription service, which includes a commercial-free option for on-demand content.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offers an on-demand selection of both current and library programming and original series, such as </w:t>
      </w:r>
      <w:r>
        <w:rPr>
          <w:rFonts w:ascii="Arial" w:cs="Arial" w:eastAsia="Arial" w:hAnsi="Arial"/>
          <w:sz w:val="19"/>
          <w:szCs w:val="19"/>
          <w:i w:val="1"/>
          <w:iCs w:val="1"/>
          <w:color w:val="auto"/>
        </w:rPr>
        <w:t>The Good Fight</w:t>
      </w:r>
      <w:r>
        <w:rPr>
          <w:rFonts w:ascii="Arial" w:cs="Arial" w:eastAsia="Arial" w:hAnsi="Arial"/>
          <w:sz w:val="19"/>
          <w:szCs w:val="19"/>
          <w:color w:val="auto"/>
        </w:rPr>
        <w:t xml:space="preserve">, </w:t>
      </w:r>
      <w:r>
        <w:rPr>
          <w:rFonts w:ascii="Arial" w:cs="Arial" w:eastAsia="Arial" w:hAnsi="Arial"/>
          <w:sz w:val="19"/>
          <w:szCs w:val="19"/>
          <w:i w:val="1"/>
          <w:iCs w:val="1"/>
          <w:color w:val="auto"/>
        </w:rPr>
        <w:t>Star Trek: Discovery</w:t>
      </w:r>
      <w:r>
        <w:rPr>
          <w:rFonts w:ascii="Arial" w:cs="Arial" w:eastAsia="Arial" w:hAnsi="Arial"/>
          <w:sz w:val="19"/>
          <w:szCs w:val="19"/>
          <w:color w:val="auto"/>
        </w:rPr>
        <w:t xml:space="preserve">, </w:t>
      </w:r>
      <w:r>
        <w:rPr>
          <w:rFonts w:ascii="Arial" w:cs="Arial" w:eastAsia="Arial" w:hAnsi="Arial"/>
          <w:sz w:val="19"/>
          <w:szCs w:val="19"/>
          <w:i w:val="1"/>
          <w:iCs w:val="1"/>
          <w:color w:val="auto"/>
        </w:rPr>
        <w:t>No Activity</w:t>
      </w:r>
      <w:r>
        <w:rPr>
          <w:rFonts w:ascii="Arial" w:cs="Arial" w:eastAsia="Arial" w:hAnsi="Arial"/>
          <w:sz w:val="19"/>
          <w:szCs w:val="19"/>
          <w:color w:val="auto"/>
        </w:rPr>
        <w:t xml:space="preserve">, </w:t>
      </w:r>
      <w:r>
        <w:rPr>
          <w:rFonts w:ascii="Arial" w:cs="Arial" w:eastAsia="Arial" w:hAnsi="Arial"/>
          <w:sz w:val="19"/>
          <w:szCs w:val="19"/>
          <w:i w:val="1"/>
          <w:iCs w:val="1"/>
          <w:color w:val="auto"/>
        </w:rPr>
        <w:t>Strange Angel</w:t>
      </w:r>
      <w:r>
        <w:rPr>
          <w:rFonts w:ascii="Arial" w:cs="Arial" w:eastAsia="Arial" w:hAnsi="Arial"/>
          <w:sz w:val="19"/>
          <w:szCs w:val="19"/>
          <w:color w:val="auto"/>
        </w:rPr>
        <w:t xml:space="preserve"> and </w:t>
      </w:r>
      <w:r>
        <w:rPr>
          <w:rFonts w:ascii="Arial" w:cs="Arial" w:eastAsia="Arial" w:hAnsi="Arial"/>
          <w:sz w:val="19"/>
          <w:szCs w:val="19"/>
          <w:i w:val="1"/>
          <w:iCs w:val="1"/>
          <w:color w:val="auto"/>
        </w:rPr>
        <w:t>Tell Me a Story</w:t>
      </w:r>
      <w:r>
        <w:rPr>
          <w:rFonts w:ascii="Arial" w:cs="Arial" w:eastAsia="Arial" w:hAnsi="Arial"/>
          <w:sz w:val="19"/>
          <w:szCs w:val="19"/>
          <w:color w:val="auto"/>
        </w:rPr>
        <w:t xml:space="preserve"> and the new upcoming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Twilight Zone </w:t>
      </w:r>
      <w:r>
        <w:rPr>
          <w:rFonts w:ascii="Arial" w:cs="Arial" w:eastAsia="Arial" w:hAnsi="Arial"/>
          <w:sz w:val="19"/>
          <w:szCs w:val="19"/>
          <w:color w:val="auto"/>
        </w:rPr>
        <w:t>series; and</w:t>
      </w:r>
      <w:r>
        <w:rPr>
          <w:rFonts w:ascii="Arial" w:cs="Arial" w:eastAsia="Arial" w:hAnsi="Arial"/>
          <w:sz w:val="19"/>
          <w:szCs w:val="19"/>
          <w:i w:val="1"/>
          <w:iCs w:val="1"/>
          <w:color w:val="auto"/>
        </w:rPr>
        <w:t xml:space="preserve"> CBSN</w:t>
      </w:r>
      <w:r>
        <w:rPr>
          <w:rFonts w:ascii="Arial" w:cs="Arial" w:eastAsia="Arial" w:hAnsi="Arial"/>
          <w:sz w:val="19"/>
          <w:szCs w:val="19"/>
          <w:color w:val="auto"/>
        </w:rPr>
        <w:t>’s live and original reporting as well as the ability to stream live programming from local CBS Television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Stations and certain CBS television station affiliates. All NFL games broadcast by the CBS Television Network are streamed on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platforms.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is available at </w:t>
      </w:r>
      <w:r>
        <w:rPr>
          <w:rFonts w:ascii="Arial" w:cs="Arial" w:eastAsia="Arial" w:hAnsi="Arial"/>
          <w:sz w:val="19"/>
          <w:szCs w:val="19"/>
          <w:i w:val="1"/>
          <w:iCs w:val="1"/>
          <w:color w:val="auto"/>
        </w:rPr>
        <w:t>CBS.com</w:t>
      </w:r>
      <w:r>
        <w:rPr>
          <w:rFonts w:ascii="Arial" w:cs="Arial" w:eastAsia="Arial" w:hAnsi="Arial"/>
          <w:sz w:val="19"/>
          <w:szCs w:val="19"/>
          <w:color w:val="auto"/>
        </w:rPr>
        <w:t xml:space="preserve"> and on the multiple digital platforms described above through the CBS app in the U.S. and Canada. In April 2018, the Company launched </w:t>
      </w:r>
      <w:r>
        <w:rPr>
          <w:rFonts w:ascii="Arial" w:cs="Arial" w:eastAsia="Arial" w:hAnsi="Arial"/>
          <w:sz w:val="19"/>
          <w:szCs w:val="19"/>
          <w:i w:val="1"/>
          <w:iCs w:val="1"/>
          <w:color w:val="auto"/>
        </w:rPr>
        <w:t>CBS All Access in Canada</w:t>
      </w:r>
      <w:r>
        <w:rPr>
          <w:rFonts w:ascii="Arial" w:cs="Arial" w:eastAsia="Arial" w:hAnsi="Arial"/>
          <w:sz w:val="19"/>
          <w:szCs w:val="19"/>
          <w:color w:val="auto"/>
        </w:rPr>
        <w:t xml:space="preserve">. CBS Interactive also operates </w:t>
      </w:r>
      <w:r>
        <w:rPr>
          <w:rFonts w:ascii="Arial" w:cs="Arial" w:eastAsia="Arial" w:hAnsi="Arial"/>
          <w:sz w:val="19"/>
          <w:szCs w:val="19"/>
          <w:i w:val="1"/>
          <w:iCs w:val="1"/>
          <w:color w:val="auto"/>
        </w:rPr>
        <w:t>CBSN,</w:t>
      </w:r>
      <w:r>
        <w:rPr>
          <w:rFonts w:ascii="Arial" w:cs="Arial" w:eastAsia="Arial" w:hAnsi="Arial"/>
          <w:sz w:val="19"/>
          <w:szCs w:val="19"/>
          <w:color w:val="auto"/>
        </w:rPr>
        <w:t xml:space="preserve"> a direct-to-consumer digital streaming live, advertiser-supported news network available 24 hours a day, seven days a week. In December 2018, the Company launched </w:t>
      </w:r>
      <w:r>
        <w:rPr>
          <w:rFonts w:ascii="Arial" w:cs="Arial" w:eastAsia="Arial" w:hAnsi="Arial"/>
          <w:sz w:val="19"/>
          <w:szCs w:val="19"/>
          <w:i w:val="1"/>
          <w:iCs w:val="1"/>
          <w:color w:val="auto"/>
        </w:rPr>
        <w:t>CBSN New York</w:t>
      </w:r>
      <w:r>
        <w:rPr>
          <w:rFonts w:ascii="Arial" w:cs="Arial" w:eastAsia="Arial" w:hAnsi="Arial"/>
          <w:sz w:val="19"/>
          <w:szCs w:val="19"/>
          <w:color w:val="auto"/>
        </w:rPr>
        <w:t>, a direct-to-consumer digital streaming live, advertiser-supported local news network available 24 hours a day, seven days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week that complements </w:t>
      </w:r>
      <w:r>
        <w:rPr>
          <w:rFonts w:ascii="Arial" w:cs="Arial" w:eastAsia="Arial" w:hAnsi="Arial"/>
          <w:sz w:val="19"/>
          <w:szCs w:val="19"/>
          <w:i w:val="1"/>
          <w:iCs w:val="1"/>
          <w:color w:val="auto"/>
        </w:rPr>
        <w:t>CBSN</w:t>
      </w:r>
      <w:r>
        <w:rPr>
          <w:rFonts w:ascii="Arial" w:cs="Arial" w:eastAsia="Arial" w:hAnsi="Arial"/>
          <w:sz w:val="19"/>
          <w:szCs w:val="19"/>
          <w:color w:val="auto"/>
        </w:rPr>
        <w:t xml:space="preserve"> and streams news events from the Company’s owned television stations in New York. </w:t>
      </w:r>
      <w:r>
        <w:rPr>
          <w:rFonts w:ascii="Arial" w:cs="Arial" w:eastAsia="Arial" w:hAnsi="Arial"/>
          <w:sz w:val="19"/>
          <w:szCs w:val="19"/>
          <w:i w:val="1"/>
          <w:iCs w:val="1"/>
          <w:color w:val="auto"/>
        </w:rPr>
        <w:t>CBSN</w:t>
      </w:r>
      <w:r>
        <w:rPr>
          <w:rFonts w:ascii="Arial" w:cs="Arial" w:eastAsia="Arial" w:hAnsi="Arial"/>
          <w:sz w:val="19"/>
          <w:szCs w:val="19"/>
          <w:color w:val="auto"/>
        </w:rPr>
        <w:t xml:space="preserve"> is available at </w:t>
      </w:r>
      <w:r>
        <w:rPr>
          <w:rFonts w:ascii="Arial" w:cs="Arial" w:eastAsia="Arial" w:hAnsi="Arial"/>
          <w:sz w:val="19"/>
          <w:szCs w:val="19"/>
          <w:i w:val="1"/>
          <w:iCs w:val="1"/>
          <w:color w:val="auto"/>
        </w:rPr>
        <w:t xml:space="preserve">CBSNews.com </w:t>
      </w:r>
      <w:r>
        <w:rPr>
          <w:rFonts w:ascii="Arial" w:cs="Arial" w:eastAsia="Arial" w:hAnsi="Arial"/>
          <w:sz w:val="19"/>
          <w:szCs w:val="19"/>
          <w:color w:val="auto"/>
        </w:rPr>
        <w:t>and on the multiple digital platforms described above through the CBS News app. and through CBS Television Stations’</w:t>
      </w:r>
      <w:r>
        <w:rPr>
          <w:rFonts w:ascii="Arial" w:cs="Arial" w:eastAsia="Arial" w:hAnsi="Arial"/>
          <w:sz w:val="19"/>
          <w:szCs w:val="19"/>
          <w:i w:val="1"/>
          <w:iCs w:val="1"/>
          <w:color w:val="auto"/>
        </w:rPr>
        <w:t xml:space="preserve"> </w:t>
      </w:r>
      <w:r>
        <w:rPr>
          <w:rFonts w:ascii="Arial" w:cs="Arial" w:eastAsia="Arial" w:hAnsi="Arial"/>
          <w:sz w:val="19"/>
          <w:szCs w:val="19"/>
          <w:color w:val="auto"/>
        </w:rPr>
        <w:t>websites and mobile apps.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366" w:right="239" w:bottom="1440" w:gutter="0" w:footer="0" w:header="0"/>
        </w:sectPr>
      </w:pPr>
    </w:p>
    <w:bookmarkStart w:id="7" w:name="page8"/>
    <w:bookmarkEnd w:id="7"/>
    <w:p>
      <w:pPr>
        <w:jc w:val="both"/>
        <w:ind w:firstLine="324"/>
        <w:spacing w:after="0" w:line="242" w:lineRule="auto"/>
        <w:rPr>
          <w:sz w:val="20"/>
          <w:szCs w:val="20"/>
          <w:color w:val="auto"/>
        </w:rPr>
      </w:pPr>
      <w:r>
        <w:rPr>
          <w:rFonts w:ascii="Arial" w:cs="Arial" w:eastAsia="Arial" w:hAnsi="Arial"/>
          <w:sz w:val="20"/>
          <w:szCs w:val="20"/>
          <w:color w:val="auto"/>
        </w:rPr>
        <w:t xml:space="preserve">CBS Interactive also operates </w:t>
      </w:r>
      <w:r>
        <w:rPr>
          <w:rFonts w:ascii="Arial" w:cs="Arial" w:eastAsia="Arial" w:hAnsi="Arial"/>
          <w:sz w:val="20"/>
          <w:szCs w:val="20"/>
          <w:i w:val="1"/>
          <w:iCs w:val="1"/>
          <w:color w:val="auto"/>
        </w:rPr>
        <w:t>CBS Sports HQ,</w:t>
      </w:r>
      <w:r>
        <w:rPr>
          <w:rFonts w:ascii="Arial" w:cs="Arial" w:eastAsia="Arial" w:hAnsi="Arial"/>
          <w:sz w:val="20"/>
          <w:szCs w:val="20"/>
          <w:color w:val="auto"/>
        </w:rPr>
        <w:t xml:space="preserve"> a direct-to-consumer digital streaming live, advertiser-supported sports news and highlights service available 24 hours a day, seven days a week, which launched in February 2018; </w:t>
      </w:r>
      <w:r>
        <w:rPr>
          <w:rFonts w:ascii="Arial" w:cs="Arial" w:eastAsia="Arial" w:hAnsi="Arial"/>
          <w:sz w:val="20"/>
          <w:szCs w:val="20"/>
          <w:i w:val="1"/>
          <w:iCs w:val="1"/>
          <w:color w:val="auto"/>
        </w:rPr>
        <w:t>ET Live</w:t>
      </w:r>
      <w:r>
        <w:rPr>
          <w:rFonts w:ascii="Arial" w:cs="Arial" w:eastAsia="Arial" w:hAnsi="Arial"/>
          <w:sz w:val="20"/>
          <w:szCs w:val="20"/>
          <w:color w:val="auto"/>
        </w:rPr>
        <w:t xml:space="preserve">, a direct-to-consumer digital streaming advertiser-supported service based on the </w:t>
      </w:r>
      <w:r>
        <w:rPr>
          <w:rFonts w:ascii="Arial" w:cs="Arial" w:eastAsia="Arial" w:hAnsi="Arial"/>
          <w:sz w:val="20"/>
          <w:szCs w:val="20"/>
          <w:i w:val="1"/>
          <w:iCs w:val="1"/>
          <w:color w:val="auto"/>
        </w:rPr>
        <w:t>Entertainment Tonight</w:t>
      </w:r>
      <w:r>
        <w:rPr>
          <w:rFonts w:ascii="Arial" w:cs="Arial" w:eastAsia="Arial" w:hAnsi="Arial"/>
          <w:sz w:val="20"/>
          <w:szCs w:val="20"/>
          <w:color w:val="auto"/>
        </w:rPr>
        <w:t xml:space="preserve"> brand covering entertainment stories and trends available 24 hours a day, seven days a week, which launched in October 2018; and </w:t>
      </w:r>
      <w:r>
        <w:rPr>
          <w:rFonts w:ascii="Arial" w:cs="Arial" w:eastAsia="Arial" w:hAnsi="Arial"/>
          <w:sz w:val="20"/>
          <w:szCs w:val="20"/>
          <w:i w:val="1"/>
          <w:iCs w:val="1"/>
          <w:color w:val="auto"/>
        </w:rPr>
        <w:t>10 All Access</w:t>
      </w:r>
      <w:r>
        <w:rPr>
          <w:rFonts w:ascii="Arial" w:cs="Arial" w:eastAsia="Arial" w:hAnsi="Arial"/>
          <w:sz w:val="20"/>
          <w:szCs w:val="20"/>
          <w:color w:val="auto"/>
        </w:rPr>
        <w:t xml:space="preserve">, a direct-to-consumer digital streaming subscription service in Australia, which launched in December 2018, featuring programming from the Company and Network 10. Through the </w:t>
      </w:r>
      <w:r>
        <w:rPr>
          <w:rFonts w:ascii="Arial" w:cs="Arial" w:eastAsia="Arial" w:hAnsi="Arial"/>
          <w:sz w:val="20"/>
          <w:szCs w:val="20"/>
          <w:i w:val="1"/>
          <w:iCs w:val="1"/>
          <w:color w:val="auto"/>
        </w:rPr>
        <w:t>CBS Audience</w:t>
      </w:r>
      <w:r>
        <w:rPr>
          <w:rFonts w:ascii="Arial" w:cs="Arial" w:eastAsia="Arial" w:hAnsi="Arial"/>
          <w:sz w:val="20"/>
          <w:szCs w:val="20"/>
          <w:color w:val="auto"/>
        </w:rPr>
        <w:t xml:space="preserve"> </w:t>
      </w:r>
      <w:r>
        <w:rPr>
          <w:rFonts w:ascii="Arial" w:cs="Arial" w:eastAsia="Arial" w:hAnsi="Arial"/>
          <w:sz w:val="20"/>
          <w:szCs w:val="20"/>
          <w:i w:val="1"/>
          <w:iCs w:val="1"/>
          <w:color w:val="auto"/>
        </w:rPr>
        <w:t>Network</w:t>
      </w:r>
      <w:r>
        <w:rPr>
          <w:rFonts w:ascii="Arial" w:cs="Arial" w:eastAsia="Arial" w:hAnsi="Arial"/>
          <w:sz w:val="20"/>
          <w:szCs w:val="20"/>
          <w:color w:val="auto"/>
        </w:rPr>
        <w:t>™, the Company delivers video content from its digital properties and television stations and affiliated television stations under an</w:t>
      </w:r>
      <w:r>
        <w:rPr>
          <w:rFonts w:ascii="Arial" w:cs="Arial" w:eastAsia="Arial" w:hAnsi="Arial"/>
          <w:sz w:val="20"/>
          <w:szCs w:val="20"/>
          <w:i w:val="1"/>
          <w:iCs w:val="1"/>
          <w:color w:val="auto"/>
        </w:rPr>
        <w:t xml:space="preserve"> </w:t>
      </w:r>
      <w:r>
        <w:rPr>
          <w:rFonts w:ascii="Arial" w:cs="Arial" w:eastAsia="Arial" w:hAnsi="Arial"/>
          <w:sz w:val="20"/>
          <w:szCs w:val="20"/>
          <w:color w:val="auto"/>
        </w:rPr>
        <w:t>advertiser-supported distribution model to third-party digital properties. The growing slate of the Company’s content available online includes full episodes, clips and highlights based on CBS, CBS Sports Network and Showtime Networks programming as well as original made-for-the-Web content.</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b w:val="1"/>
          <w:bCs w:val="1"/>
          <w:i w:val="1"/>
          <w:iCs w:val="1"/>
          <w:color w:val="auto"/>
        </w:rPr>
        <w:t xml:space="preserve">CBS Sports Network. </w:t>
      </w:r>
      <w:r>
        <w:rPr>
          <w:rFonts w:ascii="Arial" w:cs="Arial" w:eastAsia="Arial" w:hAnsi="Arial"/>
          <w:sz w:val="19"/>
          <w:szCs w:val="19"/>
          <w:color w:val="auto"/>
        </w:rPr>
        <w:t>CBS Sports Network is a 24 hours a day, seven days a week cable program service that provides sports and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content, with a strong focus on college sports. The network televises over 700 live professional, amateur and collegiate events annually, highlighted by Division I college football, basketball, hockey and lacrosse, as well as professional bull riding (PBR) and various styles of motor sports events (including asphalt, dirt, and off road racing). In addition, the network showcases a variety of original programming, including documentaries, features and studio shows, highlighted by </w:t>
      </w:r>
      <w:r>
        <w:rPr>
          <w:rFonts w:ascii="Arial" w:cs="Arial" w:eastAsia="Arial" w:hAnsi="Arial"/>
          <w:sz w:val="19"/>
          <w:szCs w:val="19"/>
          <w:i w:val="1"/>
          <w:iCs w:val="1"/>
          <w:color w:val="auto"/>
        </w:rPr>
        <w:t>NFL Monday QB</w:t>
      </w:r>
      <w:r>
        <w:rPr>
          <w:rFonts w:ascii="Arial" w:cs="Arial" w:eastAsia="Arial" w:hAnsi="Arial"/>
          <w:sz w:val="19"/>
          <w:szCs w:val="19"/>
          <w:color w:val="auto"/>
        </w:rPr>
        <w:t xml:space="preserve">, </w:t>
      </w:r>
      <w:r>
        <w:rPr>
          <w:rFonts w:ascii="Arial" w:cs="Arial" w:eastAsia="Arial" w:hAnsi="Arial"/>
          <w:sz w:val="19"/>
          <w:szCs w:val="19"/>
          <w:i w:val="1"/>
          <w:iCs w:val="1"/>
          <w:color w:val="auto"/>
        </w:rPr>
        <w:t>That Other Pre-Game Show (TOPS)</w:t>
      </w:r>
      <w:r>
        <w:rPr>
          <w:rFonts w:ascii="Arial" w:cs="Arial" w:eastAsia="Arial" w:hAnsi="Arial"/>
          <w:sz w:val="19"/>
          <w:szCs w:val="19"/>
          <w:color w:val="auto"/>
        </w:rPr>
        <w:t xml:space="preserve">, </w:t>
      </w:r>
      <w:r>
        <w:rPr>
          <w:rFonts w:ascii="Arial" w:cs="Arial" w:eastAsia="Arial" w:hAnsi="Arial"/>
          <w:sz w:val="19"/>
          <w:szCs w:val="19"/>
          <w:i w:val="1"/>
          <w:iCs w:val="1"/>
          <w:color w:val="auto"/>
        </w:rPr>
        <w:t>Inside College Basketball</w:t>
      </w:r>
      <w:r>
        <w:rPr>
          <w:rFonts w:ascii="Arial" w:cs="Arial" w:eastAsia="Arial" w:hAnsi="Arial"/>
          <w:sz w:val="19"/>
          <w:szCs w:val="19"/>
          <w:color w:val="auto"/>
        </w:rPr>
        <w:t xml:space="preserve">, </w:t>
      </w:r>
      <w:r>
        <w:rPr>
          <w:rFonts w:ascii="Arial" w:cs="Arial" w:eastAsia="Arial" w:hAnsi="Arial"/>
          <w:sz w:val="19"/>
          <w:szCs w:val="19"/>
          <w:i w:val="1"/>
          <w:iCs w:val="1"/>
          <w:color w:val="auto"/>
        </w:rPr>
        <w:t>Inside College Football</w:t>
      </w:r>
      <w:r>
        <w:rPr>
          <w:rFonts w:ascii="Arial" w:cs="Arial" w:eastAsia="Arial" w:hAnsi="Arial"/>
          <w:sz w:val="19"/>
          <w:szCs w:val="19"/>
          <w:color w:val="auto"/>
        </w:rPr>
        <w:t>,</w:t>
      </w:r>
      <w:r>
        <w:rPr>
          <w:rFonts w:ascii="Arial" w:cs="Arial" w:eastAsia="Arial" w:hAnsi="Arial"/>
          <w:sz w:val="19"/>
          <w:szCs w:val="19"/>
          <w:i w:val="1"/>
          <w:iCs w:val="1"/>
          <w:color w:val="auto"/>
        </w:rPr>
        <w:t xml:space="preserve"> Time to Schein </w:t>
      </w:r>
      <w:r>
        <w:rPr>
          <w:rFonts w:ascii="Arial" w:cs="Arial" w:eastAsia="Arial" w:hAnsi="Arial"/>
          <w:sz w:val="19"/>
          <w:szCs w:val="19"/>
          <w:color w:val="auto"/>
        </w:rPr>
        <w:t>and a first of its kind all-female panel talk show,</w:t>
      </w:r>
      <w:r>
        <w:rPr>
          <w:rFonts w:ascii="Arial" w:cs="Arial" w:eastAsia="Arial" w:hAnsi="Arial"/>
          <w:sz w:val="19"/>
          <w:szCs w:val="19"/>
          <w:i w:val="1"/>
          <w:iCs w:val="1"/>
          <w:color w:val="auto"/>
        </w:rPr>
        <w:t xml:space="preserve"> We Need to Talk</w:t>
      </w:r>
      <w:r>
        <w:rPr>
          <w:rFonts w:ascii="Arial" w:cs="Arial" w:eastAsia="Arial" w:hAnsi="Arial"/>
          <w:sz w:val="19"/>
          <w:szCs w:val="19"/>
          <w:color w:val="auto"/>
        </w:rPr>
        <w:t>. CBS Sports Network also provides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ancillary coverage for CBS Sports relating to major events, such as the NCAA Division I Men’s Basketball Tournament, Masters Tournament and PGA Championship, and for Showtime Networks relating to </w:t>
      </w:r>
      <w:r>
        <w:rPr>
          <w:rFonts w:ascii="Arial" w:cs="Arial" w:eastAsia="Arial" w:hAnsi="Arial"/>
          <w:sz w:val="19"/>
          <w:szCs w:val="19"/>
          <w:i w:val="1"/>
          <w:iCs w:val="1"/>
          <w:color w:val="auto"/>
        </w:rPr>
        <w:t>Showtime Championship Boxing</w:t>
      </w:r>
      <w:r>
        <w:rPr>
          <w:rFonts w:ascii="Arial" w:cs="Arial" w:eastAsia="Arial" w:hAnsi="Arial"/>
          <w:sz w:val="19"/>
          <w:szCs w:val="19"/>
          <w:color w:val="auto"/>
        </w:rPr>
        <w:t xml:space="preserve">. CBS Sports Network produces weekday simulcasts of the radio shows </w:t>
      </w:r>
      <w:r>
        <w:rPr>
          <w:rFonts w:ascii="Arial" w:cs="Arial" w:eastAsia="Arial" w:hAnsi="Arial"/>
          <w:sz w:val="19"/>
          <w:szCs w:val="19"/>
          <w:i w:val="1"/>
          <w:iCs w:val="1"/>
          <w:color w:val="auto"/>
        </w:rPr>
        <w:t>The Morning Show with Boomer and Gio</w:t>
      </w:r>
      <w:r>
        <w:rPr>
          <w:rFonts w:ascii="Arial" w:cs="Arial" w:eastAsia="Arial" w:hAnsi="Arial"/>
          <w:sz w:val="19"/>
          <w:szCs w:val="19"/>
          <w:color w:val="auto"/>
        </w:rPr>
        <w:t xml:space="preserve">, </w:t>
      </w:r>
      <w:r>
        <w:rPr>
          <w:rFonts w:ascii="Arial" w:cs="Arial" w:eastAsia="Arial" w:hAnsi="Arial"/>
          <w:sz w:val="19"/>
          <w:szCs w:val="19"/>
          <w:i w:val="1"/>
          <w:iCs w:val="1"/>
          <w:color w:val="auto"/>
        </w:rPr>
        <w:t>Tiki and Tierney</w:t>
      </w:r>
      <w:r>
        <w:rPr>
          <w:rFonts w:ascii="Arial" w:cs="Arial" w:eastAsia="Arial" w:hAnsi="Arial"/>
          <w:sz w:val="19"/>
          <w:szCs w:val="19"/>
          <w:color w:val="auto"/>
        </w:rPr>
        <w:t xml:space="preserve"> and </w:t>
      </w:r>
      <w:r>
        <w:rPr>
          <w:rFonts w:ascii="Arial" w:cs="Arial" w:eastAsia="Arial" w:hAnsi="Arial"/>
          <w:sz w:val="19"/>
          <w:szCs w:val="19"/>
          <w:i w:val="1"/>
          <w:iCs w:val="1"/>
          <w:color w:val="auto"/>
        </w:rPr>
        <w:t>The Jim Rome Show</w:t>
      </w:r>
      <w:r>
        <w:rPr>
          <w:rFonts w:ascii="Arial" w:cs="Arial" w:eastAsia="Arial" w:hAnsi="Arial"/>
          <w:sz w:val="19"/>
          <w:szCs w:val="19"/>
          <w:color w:val="auto"/>
        </w:rPr>
        <w:t xml:space="preserve">. Further, CBS Sports Network televises a diverse slate of additional programming under the </w:t>
      </w:r>
      <w:r>
        <w:rPr>
          <w:rFonts w:ascii="Arial" w:cs="Arial" w:eastAsia="Arial" w:hAnsi="Arial"/>
          <w:sz w:val="19"/>
          <w:szCs w:val="19"/>
          <w:i w:val="1"/>
          <w:iCs w:val="1"/>
          <w:color w:val="auto"/>
        </w:rPr>
        <w:t>CBS Sports Spectacular</w:t>
      </w:r>
      <w:r>
        <w:rPr>
          <w:rFonts w:ascii="Arial" w:cs="Arial" w:eastAsia="Arial" w:hAnsi="Arial"/>
          <w:sz w:val="19"/>
          <w:szCs w:val="19"/>
          <w:color w:val="auto"/>
        </w:rPr>
        <w:t>™ brand, including mixed martial arts, skiing, bowling, surfing, boxing, horse racing, volleyball and cheerleading, among other events. The network derives its revenues from subscription fees and the sale of advertising. CBS Sports Network has secured carriage arrangements with MVPDs and virtual MVPDs, including Hulu with Live TV, DIRECTV NOW and YouTube TV.</w:t>
      </w:r>
    </w:p>
    <w:p>
      <w:pPr>
        <w:spacing w:after="0" w:line="183"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b w:val="1"/>
          <w:bCs w:val="1"/>
          <w:i w:val="1"/>
          <w:iCs w:val="1"/>
          <w:color w:val="auto"/>
        </w:rPr>
        <w:t xml:space="preserve">CBS Films. </w:t>
      </w:r>
      <w:r>
        <w:rPr>
          <w:rFonts w:ascii="Arial" w:cs="Arial" w:eastAsia="Arial" w:hAnsi="Arial"/>
          <w:sz w:val="20"/>
          <w:szCs w:val="20"/>
          <w:color w:val="auto"/>
        </w:rPr>
        <w:t>During the fourth quarter of 2018, in connection with recent management changes, the Company implemented changes to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programming strategy, primarily at CBS Films, which will shift its focus from theatrical films to developing content for the Company’s direct-to-consumer digital streaming services. During 2019, CBS Films plans to complete production of its remaining theatrical films. CBS Films’ theatrical releases in 2018 were </w:t>
      </w:r>
      <w:r>
        <w:rPr>
          <w:rFonts w:ascii="Arial" w:cs="Arial" w:eastAsia="Arial" w:hAnsi="Arial"/>
          <w:sz w:val="20"/>
          <w:szCs w:val="20"/>
          <w:i w:val="1"/>
          <w:iCs w:val="1"/>
          <w:color w:val="auto"/>
        </w:rPr>
        <w:t>At Eternity’s Gate</w:t>
      </w:r>
      <w:r>
        <w:rPr>
          <w:rFonts w:ascii="Arial" w:cs="Arial" w:eastAsia="Arial" w:hAnsi="Arial"/>
          <w:sz w:val="20"/>
          <w:szCs w:val="20"/>
          <w:color w:val="auto"/>
        </w:rPr>
        <w:t xml:space="preserve">, </w:t>
      </w:r>
      <w:r>
        <w:rPr>
          <w:rFonts w:ascii="Arial" w:cs="Arial" w:eastAsia="Arial" w:hAnsi="Arial"/>
          <w:sz w:val="20"/>
          <w:szCs w:val="20"/>
          <w:i w:val="1"/>
          <w:iCs w:val="1"/>
          <w:color w:val="auto"/>
        </w:rPr>
        <w:t>Hell Fest</w:t>
      </w:r>
      <w:r>
        <w:rPr>
          <w:rFonts w:ascii="Arial" w:cs="Arial" w:eastAsia="Arial" w:hAnsi="Arial"/>
          <w:sz w:val="20"/>
          <w:szCs w:val="20"/>
          <w:color w:val="auto"/>
        </w:rPr>
        <w:t xml:space="preserve"> and </w:t>
      </w:r>
      <w:r>
        <w:rPr>
          <w:rFonts w:ascii="Arial" w:cs="Arial" w:eastAsia="Arial" w:hAnsi="Arial"/>
          <w:sz w:val="20"/>
          <w:szCs w:val="20"/>
          <w:i w:val="1"/>
          <w:iCs w:val="1"/>
          <w:color w:val="auto"/>
        </w:rPr>
        <w:t>Winchester</w:t>
      </w:r>
      <w:r>
        <w:rPr>
          <w:rFonts w:ascii="Arial" w:cs="Arial" w:eastAsia="Arial" w:hAnsi="Arial"/>
          <w:sz w:val="20"/>
          <w:szCs w:val="20"/>
          <w:color w:val="auto"/>
        </w:rPr>
        <w: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Entertainment Competition.</w:t>
      </w:r>
    </w:p>
    <w:p>
      <w:pPr>
        <w:spacing w:after="0" w:line="22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b w:val="1"/>
          <w:bCs w:val="1"/>
          <w:i w:val="1"/>
          <w:iCs w:val="1"/>
          <w:color w:val="auto"/>
        </w:rPr>
        <w:t xml:space="preserve">Television Network. </w:t>
      </w:r>
      <w:r>
        <w:rPr>
          <w:rFonts w:ascii="Arial" w:cs="Arial" w:eastAsia="Arial" w:hAnsi="Arial"/>
          <w:sz w:val="20"/>
          <w:szCs w:val="20"/>
          <w:color w:val="auto"/>
        </w:rPr>
        <w:t>The broadcast television environment is highly competitive. The principal methods of competition in broadcast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television are the development and acquisition of popular programming and the development of audience interest through programming and promotion, in order to sell advertising at profitable rates. Broadcast networks like CBS compete for audience, advertising revenues and programming with other broadcast networks, such as ABC, FOX, NBC, The CW and MyNetworkTV, independent television stations, cable program services, as well as other media, including OTT services, such as Netflix and Hulu, DVDs and Blu-ray Discs, print and the internet. In addition, the CBS Television Network competes with the other broadcast networks to secure affiliations with independently owned television stations in markets across the country which are necessary to ensure the effective distribution of network programming to a nationwide audience.</w:t>
      </w:r>
    </w:p>
    <w:p>
      <w:pPr>
        <w:spacing w:after="0" w:line="21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As a producer and distributor of programming, the Company competes with studios,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groups, and independent producers and syndicators, such as Disney, Fox, NBCUniversal, Sony and Warner Bros., as well as additional entrants with substantial resources, such as Amazon, Apple and Netflix, to produce and sell programming both domestically and internationally. The Company also competes to obtain creative talent and story properties which are essential to the success of all of the Company’s entertainment businesses. In addition, the consumer has many options for entertainment other than television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420"/>
          </w:cols>
          <w:pgMar w:left="240" w:top="366"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programming, including video games, sports, travel, outdoor recreation, the internet, and other cultural and computer-related activities.</w:t>
      </w:r>
    </w:p>
    <w:p>
      <w:pPr>
        <w:spacing w:after="0" w:line="24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b w:val="1"/>
          <w:bCs w:val="1"/>
          <w:i w:val="1"/>
          <w:iCs w:val="1"/>
          <w:color w:val="auto"/>
        </w:rPr>
        <w:t xml:space="preserve">CBS Interactive. </w:t>
      </w:r>
      <w:r>
        <w:rPr>
          <w:rFonts w:ascii="Arial" w:cs="Arial" w:eastAsia="Arial" w:hAnsi="Arial"/>
          <w:sz w:val="18"/>
          <w:szCs w:val="18"/>
          <w:color w:val="auto"/>
        </w:rPr>
        <w:t>CBS Interactive competes with a variety of online properties for users, advertisers, and partners,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purpose portals, such as AOL, MSN and Yahoo!; search engines such as Google, Yahoo! and Bing; online comparison shopping and retail properties, including Amazon.com; vertical content sites in the categories that CBS Interactive’s brands serve, such as technology, gaming, music, news, business, food, entertainment and lifestyle-focused digital properties; other content sites and apps, such as ESPN.com, HBO GO, Hulu and Netflix, as well as major television broadcast company digital properties, including digital streaming services and apps; and platforms such as blogs, podcasts and video properties. CBS Interactive also competes for users and advertisers with diversified media companies that provide both online and offline content, including magazines, cable television, network television, radio and newspapers.</w:t>
      </w:r>
    </w:p>
    <w:p>
      <w:pPr>
        <w:spacing w:after="0" w:line="18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b w:val="1"/>
          <w:bCs w:val="1"/>
          <w:i w:val="1"/>
          <w:iCs w:val="1"/>
          <w:color w:val="auto"/>
        </w:rPr>
        <w:t xml:space="preserve">CBS Sports Network. </w:t>
      </w:r>
      <w:r>
        <w:rPr>
          <w:rFonts w:ascii="Arial" w:cs="Arial" w:eastAsia="Arial" w:hAnsi="Arial"/>
          <w:sz w:val="20"/>
          <w:szCs w:val="20"/>
          <w:color w:val="auto"/>
        </w:rPr>
        <w:t>CBS Sports Network principally competes with cable programming services, including other sports-oriented cable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programming services, for distribution and license fee revenue among MVPDs and virtual MVPDs, as well as for viewership and advertising revenue. The effects of consolidation among MVPDs and consumer pricing sensitivity have made it more difficult for niche channels to secure broad distribution in mainstream programming packages. In addition, the largest cable providers have created sports tiers for sports programming services which have not, in many cases, achieved significant subscriber penetration or acceptance. CBS Sports Network continues its repositioning to be included in programming packages with more subscribers. Re-alignment of college athletic conferences and their member institutions may adversely impact CBS Sports Network’s programming arrangements. CBS Sports Network also competes with cable programming services generally, including other sports programming services, such as ESPN, FOX Sports Networks and NBC Sports Network, in acquiring the television and multimedia rights to sporting events, resulting in increased rights fees and increased production expenses.</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b w:val="1"/>
          <w:bCs w:val="1"/>
          <w:i w:val="1"/>
          <w:iCs w:val="1"/>
          <w:color w:val="auto"/>
        </w:rPr>
        <w:t xml:space="preserve">CBS Films. </w:t>
      </w:r>
      <w:r>
        <w:rPr>
          <w:rFonts w:ascii="Arial" w:cs="Arial" w:eastAsia="Arial" w:hAnsi="Arial"/>
          <w:sz w:val="19"/>
          <w:szCs w:val="19"/>
          <w:color w:val="auto"/>
        </w:rPr>
        <w:t>CBS Films competes for audience acceptance with programming produced and/or distributed by digital program services,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Amazon, Apple and Netflix, and numerous films produced and/or distributed by various studios and independent producers, including Paramount Pictures Corporation, Walt Disney Studios Motion Pictures, Warner Bros. Entertainment Inc., Lions Gate Entertainment, STX Entertainment, Metro-Goldwyn-Mayer Studios Inc. and Lakeshore Entertainment Group.</w:t>
      </w:r>
    </w:p>
    <w:p>
      <w:pPr>
        <w:spacing w:after="0" w:line="18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Cable Networks </w:t>
      </w:r>
      <w:r>
        <w:rPr>
          <w:rFonts w:ascii="Arial" w:cs="Arial" w:eastAsia="Arial" w:hAnsi="Arial"/>
          <w:sz w:val="20"/>
          <w:szCs w:val="20"/>
          <w:color w:val="auto"/>
        </w:rPr>
        <w:t>(15%, 17% and 15% of the Company’s consolidated revenues in 2018, 2017 and 2016, respectively, and 30%, 35% and</w:t>
      </w:r>
      <w:r>
        <w:rPr>
          <w:rFonts w:ascii="Arial" w:cs="Arial" w:eastAsia="Arial" w:hAnsi="Arial"/>
          <w:sz w:val="20"/>
          <w:szCs w:val="20"/>
          <w:b w:val="1"/>
          <w:bCs w:val="1"/>
          <w:color w:val="auto"/>
        </w:rPr>
        <w:t xml:space="preserve"> </w:t>
      </w:r>
      <w:r>
        <w:rPr>
          <w:rFonts w:ascii="Arial" w:cs="Arial" w:eastAsia="Arial" w:hAnsi="Arial"/>
          <w:sz w:val="20"/>
          <w:szCs w:val="20"/>
          <w:color w:val="auto"/>
        </w:rPr>
        <w:t>33% of the Company’s total segment operating income in 2018, 2017 and 2016, respectively)</w:t>
      </w:r>
    </w:p>
    <w:p>
      <w:pPr>
        <w:spacing w:after="0" w:line="17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The Cable Networks segment is composed of Showtime Networks, which operates the Company’s premium subscription program services and a direct-to-consumer digital streaming subscription offering; and Smithsonian Networks, a venture with Smithsonian Institution, which operates </w:t>
      </w:r>
      <w:r>
        <w:rPr>
          <w:rFonts w:ascii="Arial" w:cs="Arial" w:eastAsia="Arial" w:hAnsi="Arial"/>
          <w:sz w:val="20"/>
          <w:szCs w:val="20"/>
          <w:i w:val="1"/>
          <w:iCs w:val="1"/>
          <w:color w:val="auto"/>
        </w:rPr>
        <w:t>Smithsonian Channel</w:t>
      </w:r>
      <w:r>
        <w:rPr>
          <w:rFonts w:ascii="Arial" w:cs="Arial" w:eastAsia="Arial" w:hAnsi="Arial"/>
          <w:sz w:val="20"/>
          <w:szCs w:val="20"/>
          <w:color w:val="auto"/>
        </w:rPr>
        <w:t xml:space="preserve"> and a direct-to-consumer digital streaming subscription service.</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b w:val="1"/>
          <w:bCs w:val="1"/>
          <w:i w:val="1"/>
          <w:iCs w:val="1"/>
          <w:color w:val="auto"/>
        </w:rPr>
        <w:t xml:space="preserve">Showtime Networks. </w:t>
      </w:r>
      <w:r>
        <w:rPr>
          <w:rFonts w:ascii="Arial" w:cs="Arial" w:eastAsia="Arial" w:hAnsi="Arial"/>
          <w:sz w:val="19"/>
          <w:szCs w:val="19"/>
          <w:color w:val="auto"/>
        </w:rPr>
        <w:t>Showtime Networks owns and operates three commercial-free, premium subscription program services in the U.S.: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Showtime</w:t>
      </w:r>
      <w:r>
        <w:rPr>
          <w:rFonts w:ascii="Arial" w:cs="Arial" w:eastAsia="Arial" w:hAnsi="Arial"/>
          <w:sz w:val="19"/>
          <w:szCs w:val="19"/>
          <w:color w:val="auto"/>
        </w:rPr>
        <w:t>, offering original series, recently released theatrical feature films, documentaries, boxing and other sports-related programming,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special events; </w:t>
      </w:r>
      <w:r>
        <w:rPr>
          <w:rFonts w:ascii="Arial" w:cs="Arial" w:eastAsia="Arial" w:hAnsi="Arial"/>
          <w:sz w:val="19"/>
          <w:szCs w:val="19"/>
          <w:i w:val="1"/>
          <w:iCs w:val="1"/>
          <w:color w:val="auto"/>
        </w:rPr>
        <w:t>The Movie Channel</w:t>
      </w:r>
      <w:r>
        <w:rPr>
          <w:rFonts w:ascii="Arial" w:cs="Arial" w:eastAsia="Arial" w:hAnsi="Arial"/>
          <w:sz w:val="19"/>
          <w:szCs w:val="19"/>
          <w:color w:val="auto"/>
        </w:rPr>
        <w:t xml:space="preserve">, offering recently released theatrical feature films and related programming; and </w:t>
      </w:r>
      <w:r>
        <w:rPr>
          <w:rFonts w:ascii="Arial" w:cs="Arial" w:eastAsia="Arial" w:hAnsi="Arial"/>
          <w:sz w:val="19"/>
          <w:szCs w:val="19"/>
          <w:i w:val="1"/>
          <w:iCs w:val="1"/>
          <w:color w:val="auto"/>
        </w:rPr>
        <w:t>Flix</w:t>
      </w:r>
      <w:r>
        <w:rPr>
          <w:rFonts w:ascii="Arial" w:cs="Arial" w:eastAsia="Arial" w:hAnsi="Arial"/>
          <w:sz w:val="19"/>
          <w:szCs w:val="19"/>
          <w:color w:val="auto"/>
        </w:rPr>
        <w:t xml:space="preserve">, offering theatrical feature films primarily from the last several decades; and a direct-to-consumer digital streaming subscription offering of the </w:t>
      </w:r>
      <w:r>
        <w:rPr>
          <w:rFonts w:ascii="Arial" w:cs="Arial" w:eastAsia="Arial" w:hAnsi="Arial"/>
          <w:sz w:val="19"/>
          <w:szCs w:val="19"/>
          <w:i w:val="1"/>
          <w:iCs w:val="1"/>
          <w:color w:val="auto"/>
        </w:rPr>
        <w:t>Showtime</w:t>
      </w:r>
      <w:r>
        <w:rPr>
          <w:rFonts w:ascii="Arial" w:cs="Arial" w:eastAsia="Arial" w:hAnsi="Arial"/>
          <w:sz w:val="19"/>
          <w:szCs w:val="19"/>
          <w:color w:val="auto"/>
        </w:rPr>
        <w:t xml:space="preserve"> service. At December 31, 2018, subscriptions to </w:t>
      </w:r>
      <w:r>
        <w:rPr>
          <w:rFonts w:ascii="Arial" w:cs="Arial" w:eastAsia="Arial" w:hAnsi="Arial"/>
          <w:sz w:val="19"/>
          <w:szCs w:val="19"/>
          <w:i w:val="1"/>
          <w:iCs w:val="1"/>
          <w:color w:val="auto"/>
        </w:rPr>
        <w:t>Showtime</w:t>
      </w:r>
      <w:r>
        <w:rPr>
          <w:rFonts w:ascii="Arial" w:cs="Arial" w:eastAsia="Arial" w:hAnsi="Arial"/>
          <w:sz w:val="19"/>
          <w:szCs w:val="19"/>
          <w:color w:val="auto"/>
        </w:rPr>
        <w:t xml:space="preserve"> (including its direct-to-consumer digital streaming subscription offering) totaled approximately 27 million in the U.S., certain U.S. territories and Bermuda.</w:t>
      </w:r>
    </w:p>
    <w:p>
      <w:pPr>
        <w:spacing w:after="0" w:line="17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direct-to-consumer digital streaming subscription offering allows subscribers to view on-demand programming as well as the live telecast of the east and west coast feeds of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and is available for purchase (without an MVPD video subscription) at </w:t>
      </w:r>
      <w:r>
        <w:rPr>
          <w:rFonts w:ascii="Arial" w:cs="Arial" w:eastAsia="Arial" w:hAnsi="Arial"/>
          <w:sz w:val="20"/>
          <w:szCs w:val="20"/>
          <w:i w:val="1"/>
          <w:iCs w:val="1"/>
          <w:color w:val="auto"/>
        </w:rPr>
        <w:t>showtime.com</w:t>
      </w:r>
      <w:r>
        <w:rPr>
          <w:rFonts w:ascii="Arial" w:cs="Arial" w:eastAsia="Arial" w:hAnsi="Arial"/>
          <w:sz w:val="20"/>
          <w:szCs w:val="20"/>
          <w:color w:val="auto"/>
        </w:rPr>
        <w:t>™, through the</w:t>
      </w:r>
      <w:r>
        <w:rPr>
          <w:rFonts w:ascii="Arial" w:cs="Arial" w:eastAsia="Arial" w:hAnsi="Arial"/>
          <w:sz w:val="20"/>
          <w:szCs w:val="20"/>
          <w:i w:val="1"/>
          <w:iCs w:val="1"/>
          <w:color w:val="auto"/>
        </w:rPr>
        <w:t xml:space="preserve"> Showtime </w:t>
      </w:r>
      <w:r>
        <w:rPr>
          <w:rFonts w:ascii="Arial" w:cs="Arial" w:eastAsia="Arial" w:hAnsi="Arial"/>
          <w:sz w:val="20"/>
          <w:szCs w:val="20"/>
          <w:color w:val="auto"/>
        </w:rPr>
        <w:t>app on multiple digital platforms, including Apple, Android and Roku devices, as part of a Spotify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package available to college students, and as an add-on subscription to Amazon Prime, DIRECTV NOW, Hulu, Sling TV and YouTube TV. Showtime Networks also makes </w:t>
      </w:r>
      <w:r>
        <w:rPr>
          <w:rFonts w:ascii="Arial" w:cs="Arial" w:eastAsia="Arial" w:hAnsi="Arial"/>
          <w:sz w:val="20"/>
          <w:szCs w:val="20"/>
          <w:i w:val="1"/>
          <w:iCs w:val="1"/>
          <w:color w:val="auto"/>
        </w:rPr>
        <w:t>Showtime Anytime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 authenticated version of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available at </w:t>
      </w:r>
      <w:r>
        <w:rPr>
          <w:rFonts w:ascii="Arial" w:cs="Arial" w:eastAsia="Arial" w:hAnsi="Arial"/>
          <w:sz w:val="20"/>
          <w:szCs w:val="20"/>
          <w:i w:val="1"/>
          <w:iCs w:val="1"/>
          <w:color w:val="auto"/>
        </w:rPr>
        <w:t>showtimeanytime.com</w:t>
      </w:r>
      <w:r>
        <w:rPr>
          <w:rFonts w:ascii="Arial" w:cs="Arial" w:eastAsia="Arial" w:hAnsi="Arial"/>
          <w:sz w:val="20"/>
          <w:szCs w:val="20"/>
          <w:color w:val="auto"/>
        </w:rPr>
        <w:t>™ and, via certain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20"/>
          </w:cols>
          <w:pgMar w:left="240" w:top="366" w:right="239" w:bottom="1440" w:gutter="0" w:footer="0" w:header="0"/>
        </w:sectPr>
      </w:pPr>
    </w:p>
    <w:bookmarkStart w:id="9" w:name="page10"/>
    <w:bookmarkEnd w:id="9"/>
    <w:p>
      <w:pPr>
        <w:jc w:val="both"/>
        <w:spacing w:after="0" w:line="243" w:lineRule="auto"/>
        <w:rPr>
          <w:sz w:val="20"/>
          <w:szCs w:val="20"/>
          <w:color w:val="auto"/>
        </w:rPr>
      </w:pPr>
      <w:r>
        <w:rPr>
          <w:rFonts w:ascii="Arial" w:cs="Arial" w:eastAsia="Arial" w:hAnsi="Arial"/>
          <w:sz w:val="20"/>
          <w:szCs w:val="20"/>
          <w:color w:val="auto"/>
        </w:rPr>
        <w:t xml:space="preserve">internet-connected devices, through a </w:t>
      </w:r>
      <w:r>
        <w:rPr>
          <w:rFonts w:ascii="Arial" w:cs="Arial" w:eastAsia="Arial" w:hAnsi="Arial"/>
          <w:sz w:val="20"/>
          <w:szCs w:val="20"/>
          <w:i w:val="1"/>
          <w:iCs w:val="1"/>
          <w:color w:val="auto"/>
        </w:rPr>
        <w:t>Showtime Anytime</w:t>
      </w:r>
      <w:r>
        <w:rPr>
          <w:rFonts w:ascii="Arial" w:cs="Arial" w:eastAsia="Arial" w:hAnsi="Arial"/>
          <w:sz w:val="20"/>
          <w:szCs w:val="20"/>
          <w:color w:val="auto"/>
        </w:rPr>
        <w:t xml:space="preserve"> app, free of charge to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subscribers as part of their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subscription through participating distributors. </w:t>
      </w:r>
      <w:r>
        <w:rPr>
          <w:rFonts w:ascii="Arial" w:cs="Arial" w:eastAsia="Arial" w:hAnsi="Arial"/>
          <w:sz w:val="20"/>
          <w:szCs w:val="20"/>
          <w:i w:val="1"/>
          <w:iCs w:val="1"/>
          <w:color w:val="auto"/>
        </w:rPr>
        <w:t>Showtime Anytime</w:t>
      </w:r>
      <w:r>
        <w:rPr>
          <w:rFonts w:ascii="Arial" w:cs="Arial" w:eastAsia="Arial" w:hAnsi="Arial"/>
          <w:sz w:val="20"/>
          <w:szCs w:val="20"/>
          <w:color w:val="auto"/>
        </w:rPr>
        <w:t xml:space="preserve"> enables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subscribers to view on-demand programming as well as the live telecast of the east and west coast feeds of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Versions of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w:t>
      </w:r>
      <w:r>
        <w:rPr>
          <w:rFonts w:ascii="Arial" w:cs="Arial" w:eastAsia="Arial" w:hAnsi="Arial"/>
          <w:sz w:val="20"/>
          <w:szCs w:val="20"/>
          <w:i w:val="1"/>
          <w:iCs w:val="1"/>
          <w:color w:val="auto"/>
        </w:rPr>
        <w:t>The Movie Channel</w:t>
      </w:r>
      <w:r>
        <w:rPr>
          <w:rFonts w:ascii="Arial" w:cs="Arial" w:eastAsia="Arial" w:hAnsi="Arial"/>
          <w:sz w:val="20"/>
          <w:szCs w:val="20"/>
          <w:color w:val="auto"/>
        </w:rPr>
        <w:t xml:space="preserve"> and </w:t>
      </w:r>
      <w:r>
        <w:rPr>
          <w:rFonts w:ascii="Arial" w:cs="Arial" w:eastAsia="Arial" w:hAnsi="Arial"/>
          <w:sz w:val="20"/>
          <w:szCs w:val="20"/>
          <w:i w:val="1"/>
          <w:iCs w:val="1"/>
          <w:color w:val="auto"/>
        </w:rPr>
        <w:t>Flix</w:t>
      </w:r>
      <w:r>
        <w:rPr>
          <w:rFonts w:ascii="Arial" w:cs="Arial" w:eastAsia="Arial" w:hAnsi="Arial"/>
          <w:sz w:val="20"/>
          <w:szCs w:val="20"/>
          <w:color w:val="auto"/>
        </w:rPr>
        <w:t xml:space="preserve"> are also available on-demand, enabling traditional television subscribers to watch individual programs at their convenience. Showtime Networks additionally operates the Website </w:t>
      </w:r>
      <w:r>
        <w:rPr>
          <w:rFonts w:ascii="Arial" w:cs="Arial" w:eastAsia="Arial" w:hAnsi="Arial"/>
          <w:sz w:val="20"/>
          <w:szCs w:val="20"/>
          <w:i w:val="1"/>
          <w:iCs w:val="1"/>
          <w:color w:val="auto"/>
        </w:rPr>
        <w:t>SHO.com</w:t>
      </w:r>
      <w:r>
        <w:rPr>
          <w:rFonts w:ascii="Arial" w:cs="Arial" w:eastAsia="Arial" w:hAnsi="Arial"/>
          <w:sz w:val="20"/>
          <w:szCs w:val="20"/>
          <w:color w:val="auto"/>
        </w:rPr>
        <w:t>™, which promotes</w:t>
      </w:r>
      <w:r>
        <w:rPr>
          <w:rFonts w:ascii="Arial" w:cs="Arial" w:eastAsia="Arial" w:hAnsi="Arial"/>
          <w:sz w:val="20"/>
          <w:szCs w:val="20"/>
          <w:i w:val="1"/>
          <w:iCs w:val="1"/>
          <w:color w:val="auto"/>
        </w:rPr>
        <w:t xml:space="preserve"> Showtime</w:t>
      </w:r>
      <w:r>
        <w:rPr>
          <w:rFonts w:ascii="Arial" w:cs="Arial" w:eastAsia="Arial" w:hAnsi="Arial"/>
          <w:sz w:val="20"/>
          <w:szCs w:val="20"/>
          <w:color w:val="auto"/>
        </w:rPr>
        <w:t>,</w:t>
      </w:r>
      <w:r>
        <w:rPr>
          <w:rFonts w:ascii="Arial" w:cs="Arial" w:eastAsia="Arial" w:hAnsi="Arial"/>
          <w:sz w:val="20"/>
          <w:szCs w:val="20"/>
          <w:i w:val="1"/>
          <w:iCs w:val="1"/>
          <w:color w:val="auto"/>
        </w:rPr>
        <w:t xml:space="preserve"> The Movie Channel </w:t>
      </w:r>
      <w:r>
        <w:rPr>
          <w:rFonts w:ascii="Arial" w:cs="Arial" w:eastAsia="Arial" w:hAnsi="Arial"/>
          <w:sz w:val="20"/>
          <w:szCs w:val="20"/>
          <w:color w:val="auto"/>
        </w:rPr>
        <w:t>and</w:t>
      </w:r>
      <w:r>
        <w:rPr>
          <w:rFonts w:ascii="Arial" w:cs="Arial" w:eastAsia="Arial" w:hAnsi="Arial"/>
          <w:sz w:val="20"/>
          <w:szCs w:val="20"/>
          <w:i w:val="1"/>
          <w:iCs w:val="1"/>
          <w:color w:val="auto"/>
        </w:rPr>
        <w:t xml:space="preserve"> Flix </w:t>
      </w:r>
      <w:r>
        <w:rPr>
          <w:rFonts w:ascii="Arial" w:cs="Arial" w:eastAsia="Arial" w:hAnsi="Arial"/>
          <w:sz w:val="20"/>
          <w:szCs w:val="20"/>
          <w:color w:val="auto"/>
        </w:rPr>
        <w:t>programming, and provides information and entertainment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 xml:space="preserve">Showtime Networks derives revenue principally from the license of its program services to numerous MVPDs, with a substantial portion of such revenue coming from three of the largest such distributors. The costs of acquiring exhibition rights to programming and producing original series are the principal expenses of Showtime Networks. Showtime Networks enters into commitments to acquire rights, with an emphasis on acquiring exclusive rights for </w:t>
      </w:r>
      <w:r>
        <w:rPr>
          <w:rFonts w:ascii="Arial" w:cs="Arial" w:eastAsia="Arial" w:hAnsi="Arial"/>
          <w:sz w:val="18"/>
          <w:szCs w:val="18"/>
          <w:i w:val="1"/>
          <w:iCs w:val="1"/>
          <w:color w:val="auto"/>
        </w:rPr>
        <w:t>Showtime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Movie Channel</w:t>
      </w:r>
      <w:r>
        <w:rPr>
          <w:rFonts w:ascii="Arial" w:cs="Arial" w:eastAsia="Arial" w:hAnsi="Arial"/>
          <w:sz w:val="18"/>
          <w:szCs w:val="18"/>
          <w:color w:val="auto"/>
        </w:rPr>
        <w:t xml:space="preserve">, from motion picture studios and other distributors typically covering the U.S. and Bermuda for varying durations. Showtime Networks’ original series telecast in 2018 included </w:t>
      </w:r>
      <w:r>
        <w:rPr>
          <w:rFonts w:ascii="Arial" w:cs="Arial" w:eastAsia="Arial" w:hAnsi="Arial"/>
          <w:sz w:val="18"/>
          <w:szCs w:val="18"/>
          <w:i w:val="1"/>
          <w:iCs w:val="1"/>
          <w:color w:val="auto"/>
        </w:rPr>
        <w:t>Homeland</w:t>
      </w:r>
      <w:r>
        <w:rPr>
          <w:rFonts w:ascii="Arial" w:cs="Arial" w:eastAsia="Arial" w:hAnsi="Arial"/>
          <w:sz w:val="18"/>
          <w:szCs w:val="18"/>
          <w:color w:val="auto"/>
        </w:rPr>
        <w:t xml:space="preserve">, </w:t>
      </w:r>
      <w:r>
        <w:rPr>
          <w:rFonts w:ascii="Arial" w:cs="Arial" w:eastAsia="Arial" w:hAnsi="Arial"/>
          <w:sz w:val="18"/>
          <w:szCs w:val="18"/>
          <w:i w:val="1"/>
          <w:iCs w:val="1"/>
          <w:color w:val="auto"/>
        </w:rPr>
        <w:t>Ray Donovan</w:t>
      </w:r>
      <w:r>
        <w:rPr>
          <w:rFonts w:ascii="Arial" w:cs="Arial" w:eastAsia="Arial" w:hAnsi="Arial"/>
          <w:sz w:val="18"/>
          <w:szCs w:val="18"/>
          <w:color w:val="auto"/>
        </w:rPr>
        <w:t xml:space="preserve">, </w:t>
      </w:r>
      <w:r>
        <w:rPr>
          <w:rFonts w:ascii="Arial" w:cs="Arial" w:eastAsia="Arial" w:hAnsi="Arial"/>
          <w:sz w:val="18"/>
          <w:szCs w:val="18"/>
          <w:i w:val="1"/>
          <w:iCs w:val="1"/>
          <w:color w:val="auto"/>
        </w:rPr>
        <w:t>Billions</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Affair</w:t>
      </w:r>
      <w:r>
        <w:rPr>
          <w:rFonts w:ascii="Arial" w:cs="Arial" w:eastAsia="Arial" w:hAnsi="Arial"/>
          <w:sz w:val="18"/>
          <w:szCs w:val="18"/>
          <w:color w:val="auto"/>
        </w:rPr>
        <w:t>,</w:t>
      </w:r>
      <w:r>
        <w:rPr>
          <w:rFonts w:ascii="Arial" w:cs="Arial" w:eastAsia="Arial" w:hAnsi="Arial"/>
          <w:sz w:val="18"/>
          <w:szCs w:val="18"/>
          <w:i w:val="1"/>
          <w:iCs w:val="1"/>
          <w:color w:val="auto"/>
        </w:rPr>
        <w:t xml:space="preserve"> The Chi, Kidding</w:t>
      </w:r>
      <w:r>
        <w:rPr>
          <w:rFonts w:ascii="Arial" w:cs="Arial" w:eastAsia="Arial" w:hAnsi="Arial"/>
          <w:sz w:val="18"/>
          <w:szCs w:val="18"/>
          <w:color w:val="auto"/>
        </w:rPr>
        <w:t>,</w:t>
      </w:r>
      <w:r>
        <w:rPr>
          <w:rFonts w:ascii="Arial" w:cs="Arial" w:eastAsia="Arial" w:hAnsi="Arial"/>
          <w:sz w:val="18"/>
          <w:szCs w:val="18"/>
          <w:i w:val="1"/>
          <w:iCs w:val="1"/>
          <w:color w:val="auto"/>
        </w:rPr>
        <w:t xml:space="preserve"> Who is America?</w:t>
      </w:r>
      <w:r>
        <w:rPr>
          <w:rFonts w:ascii="Arial" w:cs="Arial" w:eastAsia="Arial" w:hAnsi="Arial"/>
          <w:sz w:val="18"/>
          <w:szCs w:val="18"/>
          <w:color w:val="auto"/>
        </w:rPr>
        <w:t>,</w:t>
      </w:r>
      <w:r>
        <w:rPr>
          <w:rFonts w:ascii="Arial" w:cs="Arial" w:eastAsia="Arial" w:hAnsi="Arial"/>
          <w:sz w:val="18"/>
          <w:szCs w:val="18"/>
          <w:i w:val="1"/>
          <w:iCs w:val="1"/>
          <w:color w:val="auto"/>
        </w:rPr>
        <w:t xml:space="preserve"> Our Cartoon 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Shameless</w:t>
      </w:r>
      <w:r>
        <w:rPr>
          <w:rFonts w:ascii="Arial" w:cs="Arial" w:eastAsia="Arial" w:hAnsi="Arial"/>
          <w:sz w:val="18"/>
          <w:szCs w:val="18"/>
          <w:color w:val="auto"/>
        </w:rPr>
        <w:t>, among others. In 2018, Showtime Networks also telecast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limited series </w:t>
      </w:r>
      <w:r>
        <w:rPr>
          <w:rFonts w:ascii="Arial" w:cs="Arial" w:eastAsia="Arial" w:hAnsi="Arial"/>
          <w:sz w:val="18"/>
          <w:szCs w:val="18"/>
          <w:i w:val="1"/>
          <w:iCs w:val="1"/>
          <w:color w:val="auto"/>
        </w:rPr>
        <w:t>Escape at Dannemora</w:t>
      </w:r>
      <w:r>
        <w:rPr>
          <w:rFonts w:ascii="Arial" w:cs="Arial" w:eastAsia="Arial" w:hAnsi="Arial"/>
          <w:sz w:val="18"/>
          <w:szCs w:val="18"/>
          <w:color w:val="auto"/>
        </w:rPr>
        <w:t xml:space="preserve"> and </w:t>
      </w:r>
      <w:r>
        <w:rPr>
          <w:rFonts w:ascii="Arial" w:cs="Arial" w:eastAsia="Arial" w:hAnsi="Arial"/>
          <w:sz w:val="18"/>
          <w:szCs w:val="18"/>
          <w:i w:val="1"/>
          <w:iCs w:val="1"/>
          <w:color w:val="auto"/>
        </w:rPr>
        <w:t>Patrick Melrose</w:t>
      </w:r>
      <w:r>
        <w:rPr>
          <w:rFonts w:ascii="Arial" w:cs="Arial" w:eastAsia="Arial" w:hAnsi="Arial"/>
          <w:sz w:val="18"/>
          <w:szCs w:val="18"/>
          <w:color w:val="auto"/>
        </w:rPr>
        <w:t xml:space="preserve">, documentary series, including </w:t>
      </w:r>
      <w:r>
        <w:rPr>
          <w:rFonts w:ascii="Arial" w:cs="Arial" w:eastAsia="Arial" w:hAnsi="Arial"/>
          <w:sz w:val="18"/>
          <w:szCs w:val="18"/>
          <w:i w:val="1"/>
          <w:iCs w:val="1"/>
          <w:color w:val="auto"/>
        </w:rPr>
        <w:t>The Circus: Inside the Wildest Political Show on</w:t>
      </w:r>
      <w:r>
        <w:rPr>
          <w:rFonts w:ascii="Arial" w:cs="Arial" w:eastAsia="Arial" w:hAnsi="Arial"/>
          <w:sz w:val="18"/>
          <w:szCs w:val="18"/>
          <w:color w:val="auto"/>
        </w:rPr>
        <w:t xml:space="preserve"> </w:t>
      </w:r>
      <w:r>
        <w:rPr>
          <w:rFonts w:ascii="Arial" w:cs="Arial" w:eastAsia="Arial" w:hAnsi="Arial"/>
          <w:sz w:val="18"/>
          <w:szCs w:val="18"/>
          <w:i w:val="1"/>
          <w:iCs w:val="1"/>
          <w:color w:val="auto"/>
        </w:rPr>
        <w:t>Earth</w:t>
      </w:r>
      <w:r>
        <w:rPr>
          <w:rFonts w:ascii="Arial" w:cs="Arial" w:eastAsia="Arial" w:hAnsi="Arial"/>
          <w:sz w:val="18"/>
          <w:szCs w:val="18"/>
          <w:color w:val="auto"/>
        </w:rPr>
        <w:t>,</w:t>
      </w:r>
      <w:r>
        <w:rPr>
          <w:rFonts w:ascii="Arial" w:cs="Arial" w:eastAsia="Arial" w:hAnsi="Arial"/>
          <w:sz w:val="18"/>
          <w:szCs w:val="18"/>
          <w:i w:val="1"/>
          <w:iCs w:val="1"/>
          <w:color w:val="auto"/>
        </w:rPr>
        <w:t xml:space="preserve"> The Fourth Estate</w:t>
      </w:r>
      <w:r>
        <w:rPr>
          <w:rFonts w:ascii="Arial" w:cs="Arial" w:eastAsia="Arial" w:hAnsi="Arial"/>
          <w:sz w:val="18"/>
          <w:szCs w:val="18"/>
          <w:color w:val="auto"/>
        </w:rPr>
        <w:t>,</w:t>
      </w:r>
      <w:r>
        <w:rPr>
          <w:rFonts w:ascii="Arial" w:cs="Arial" w:eastAsia="Arial" w:hAnsi="Arial"/>
          <w:sz w:val="18"/>
          <w:szCs w:val="18"/>
          <w:i w:val="1"/>
          <w:iCs w:val="1"/>
          <w:color w:val="auto"/>
        </w:rPr>
        <w:t xml:space="preserve"> The Trade </w:t>
      </w:r>
      <w:r>
        <w:rPr>
          <w:rFonts w:ascii="Arial" w:cs="Arial" w:eastAsia="Arial" w:hAnsi="Arial"/>
          <w:sz w:val="18"/>
          <w:szCs w:val="18"/>
          <w:color w:val="auto"/>
        </w:rPr>
        <w:t>and</w:t>
      </w:r>
      <w:r>
        <w:rPr>
          <w:rFonts w:ascii="Arial" w:cs="Arial" w:eastAsia="Arial" w:hAnsi="Arial"/>
          <w:sz w:val="18"/>
          <w:szCs w:val="18"/>
          <w:i w:val="1"/>
          <w:iCs w:val="1"/>
          <w:color w:val="auto"/>
        </w:rPr>
        <w:t xml:space="preserve"> Enemies: The President</w:t>
      </w:r>
      <w:r>
        <w:rPr>
          <w:rFonts w:ascii="Arial" w:cs="Arial" w:eastAsia="Arial" w:hAnsi="Arial"/>
          <w:sz w:val="18"/>
          <w:szCs w:val="18"/>
          <w:color w:val="auto"/>
        </w:rPr>
        <w:t>,</w:t>
      </w:r>
      <w:r>
        <w:rPr>
          <w:rFonts w:ascii="Arial" w:cs="Arial" w:eastAsia="Arial" w:hAnsi="Arial"/>
          <w:sz w:val="18"/>
          <w:szCs w:val="18"/>
          <w:i w:val="1"/>
          <w:iCs w:val="1"/>
          <w:color w:val="auto"/>
        </w:rPr>
        <w:t xml:space="preserve"> Justice &amp; The FBI</w:t>
      </w:r>
      <w:r>
        <w:rPr>
          <w:rFonts w:ascii="Arial" w:cs="Arial" w:eastAsia="Arial" w:hAnsi="Arial"/>
          <w:sz w:val="18"/>
          <w:szCs w:val="18"/>
          <w:color w:val="auto"/>
        </w:rPr>
        <w:t>, and various sports-related programs and documentary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including </w:t>
      </w:r>
      <w:r>
        <w:rPr>
          <w:rFonts w:ascii="Arial" w:cs="Arial" w:eastAsia="Arial" w:hAnsi="Arial"/>
          <w:sz w:val="18"/>
          <w:szCs w:val="18"/>
          <w:i w:val="1"/>
          <w:iCs w:val="1"/>
          <w:color w:val="auto"/>
        </w:rPr>
        <w:t>Inside the NFL</w:t>
      </w:r>
      <w:r>
        <w:rPr>
          <w:rFonts w:ascii="Arial" w:cs="Arial" w:eastAsia="Arial" w:hAnsi="Arial"/>
          <w:sz w:val="18"/>
          <w:szCs w:val="18"/>
          <w:color w:val="auto"/>
        </w:rPr>
        <w:t xml:space="preserve"> and </w:t>
      </w:r>
      <w:r>
        <w:rPr>
          <w:rFonts w:ascii="Arial" w:cs="Arial" w:eastAsia="Arial" w:hAnsi="Arial"/>
          <w:sz w:val="18"/>
          <w:szCs w:val="18"/>
          <w:i w:val="1"/>
          <w:iCs w:val="1"/>
          <w:color w:val="auto"/>
        </w:rPr>
        <w:t>Shut Up and Dribble</w:t>
      </w:r>
      <w:r>
        <w:rPr>
          <w:rFonts w:ascii="Arial" w:cs="Arial" w:eastAsia="Arial" w:hAnsi="Arial"/>
          <w:sz w:val="18"/>
          <w:szCs w:val="18"/>
          <w:color w:val="auto"/>
        </w:rPr>
        <w:t xml:space="preserve">. Showtime Networks also produces and/or provides special events on a pay-per-view basis, including the Tyson Fury vs. Deontay Wilder pay-per-view boxing match in December 2018, which was available for purchase by both </w:t>
      </w:r>
      <w:r>
        <w:rPr>
          <w:rFonts w:ascii="Arial" w:cs="Arial" w:eastAsia="Arial" w:hAnsi="Arial"/>
          <w:sz w:val="18"/>
          <w:szCs w:val="18"/>
          <w:i w:val="1"/>
          <w:iCs w:val="1"/>
          <w:color w:val="auto"/>
        </w:rPr>
        <w:t xml:space="preserve">Showtime </w:t>
      </w:r>
      <w:r>
        <w:rPr>
          <w:rFonts w:ascii="Arial" w:cs="Arial" w:eastAsia="Arial" w:hAnsi="Arial"/>
          <w:sz w:val="18"/>
          <w:szCs w:val="18"/>
          <w:color w:val="auto"/>
        </w:rPr>
        <w:t>subscribers and non-subscribers through the</w:t>
      </w:r>
      <w:r>
        <w:rPr>
          <w:rFonts w:ascii="Arial" w:cs="Arial" w:eastAsia="Arial" w:hAnsi="Arial"/>
          <w:sz w:val="18"/>
          <w:szCs w:val="18"/>
          <w:i w:val="1"/>
          <w:iCs w:val="1"/>
          <w:color w:val="auto"/>
        </w:rPr>
        <w:t xml:space="preserve"> Showtime </w:t>
      </w:r>
      <w:r>
        <w:rPr>
          <w:rFonts w:ascii="Arial" w:cs="Arial" w:eastAsia="Arial" w:hAnsi="Arial"/>
          <w:sz w:val="18"/>
          <w:szCs w:val="18"/>
          <w:color w:val="auto"/>
        </w:rPr>
        <w:t>app and third-party distributors.</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 xml:space="preserve">Showtime Networks has entered into and may from time to time enter into co-financing, co-production and/or distribution arrangements with other parties to reduce the net cost to Showtime Networks for its original programming. In addition, Showtime Networks derives revenue by licensing rights it retains in certain of its original programming. The Company enters into licensing arrangements with television networks, digital platforms, including Amazon and Netflix, and/or other media companies for the exhibition of certain </w:t>
      </w:r>
      <w:r>
        <w:rPr>
          <w:rFonts w:ascii="Arial" w:cs="Arial" w:eastAsia="Arial" w:hAnsi="Arial"/>
          <w:sz w:val="18"/>
          <w:szCs w:val="18"/>
          <w:i w:val="1"/>
          <w:iCs w:val="1"/>
          <w:color w:val="auto"/>
        </w:rPr>
        <w:t>Showtime</w:t>
      </w:r>
      <w:r>
        <w:rPr>
          <w:rFonts w:ascii="Arial" w:cs="Arial" w:eastAsia="Arial" w:hAnsi="Arial"/>
          <w:sz w:val="18"/>
          <w:szCs w:val="18"/>
          <w:color w:val="auto"/>
        </w:rPr>
        <w:t xml:space="preserve"> original programming domestically and in various international territories. For example, the Company has output agreements, including with Bell Media Inc. for Canada, with Sky-affiliated entities for Austria, Germany, Ireland, Italy and the U.K., with Moviestar + for Spain, with Canal + Group for France, with Fox Networks Group Asia for Southeast Asia, and with Hotstar’s streaming service for India.</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 xml:space="preserve">Showtime Networks also owns a majority of and manages Smithsonian Networks, a venture with Smithsonian Institution, which operates </w:t>
      </w:r>
      <w:r>
        <w:rPr>
          <w:rFonts w:ascii="Arial" w:cs="Arial" w:eastAsia="Arial" w:hAnsi="Arial"/>
          <w:sz w:val="19"/>
          <w:szCs w:val="19"/>
          <w:i w:val="1"/>
          <w:iCs w:val="1"/>
          <w:color w:val="auto"/>
        </w:rPr>
        <w:t>Smithsonian Channel</w:t>
      </w:r>
      <w:r>
        <w:rPr>
          <w:rFonts w:ascii="Arial" w:cs="Arial" w:eastAsia="Arial" w:hAnsi="Arial"/>
          <w:sz w:val="19"/>
          <w:szCs w:val="19"/>
          <w:color w:val="auto"/>
        </w:rPr>
        <w:t>, a basic cable service in the U.S., featuring programs of a cultural, historical, scientific and educational nature.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Smithsonian Networks makes </w:t>
      </w:r>
      <w:r>
        <w:rPr>
          <w:rFonts w:ascii="Arial" w:cs="Arial" w:eastAsia="Arial" w:hAnsi="Arial"/>
          <w:sz w:val="19"/>
          <w:szCs w:val="19"/>
          <w:i w:val="1"/>
          <w:iCs w:val="1"/>
          <w:color w:val="auto"/>
        </w:rPr>
        <w:t>Smithsonian Channel</w:t>
      </w:r>
      <w:r>
        <w:rPr>
          <w:rFonts w:ascii="Arial" w:cs="Arial" w:eastAsia="Arial" w:hAnsi="Arial"/>
          <w:sz w:val="19"/>
          <w:szCs w:val="19"/>
          <w:color w:val="auto"/>
        </w:rPr>
        <w:t xml:space="preserve"> content available via MVPDs and virtual MVPDs in the U.S. and licenses </w:t>
      </w:r>
      <w:r>
        <w:rPr>
          <w:rFonts w:ascii="Arial" w:cs="Arial" w:eastAsia="Arial" w:hAnsi="Arial"/>
          <w:sz w:val="19"/>
          <w:szCs w:val="19"/>
          <w:i w:val="1"/>
          <w:iCs w:val="1"/>
          <w:color w:val="auto"/>
        </w:rPr>
        <w:t>Smithsonian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Channel </w:t>
      </w:r>
      <w:r>
        <w:rPr>
          <w:rFonts w:ascii="Arial" w:cs="Arial" w:eastAsia="Arial" w:hAnsi="Arial"/>
          <w:sz w:val="19"/>
          <w:szCs w:val="19"/>
          <w:color w:val="auto"/>
        </w:rPr>
        <w:t>content outside of the U.S., including in connection with</w:t>
      </w:r>
      <w:r>
        <w:rPr>
          <w:rFonts w:ascii="Arial" w:cs="Arial" w:eastAsia="Arial" w:hAnsi="Arial"/>
          <w:sz w:val="19"/>
          <w:szCs w:val="19"/>
          <w:i w:val="1"/>
          <w:iCs w:val="1"/>
          <w:color w:val="auto"/>
        </w:rPr>
        <w:t xml:space="preserve"> Smithsonian Channel </w:t>
      </w:r>
      <w:r>
        <w:rPr>
          <w:rFonts w:ascii="Arial" w:cs="Arial" w:eastAsia="Arial" w:hAnsi="Arial"/>
          <w:sz w:val="19"/>
          <w:szCs w:val="19"/>
          <w:color w:val="auto"/>
        </w:rPr>
        <w:t>in Canada, in which Smithsonian Networks owns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minority interest. Smithsonian Networks also operates the Website </w:t>
      </w:r>
      <w:r>
        <w:rPr>
          <w:rFonts w:ascii="Arial" w:cs="Arial" w:eastAsia="Arial" w:hAnsi="Arial"/>
          <w:sz w:val="19"/>
          <w:szCs w:val="19"/>
          <w:i w:val="1"/>
          <w:iCs w:val="1"/>
          <w:color w:val="auto"/>
        </w:rPr>
        <w:t>SmithsonianChannel.com</w:t>
      </w:r>
      <w:r>
        <w:rPr>
          <w:rFonts w:ascii="Arial" w:cs="Arial" w:eastAsia="Arial" w:hAnsi="Arial"/>
          <w:sz w:val="19"/>
          <w:szCs w:val="19"/>
          <w:color w:val="auto"/>
        </w:rPr>
        <w:t xml:space="preserve">™ and various apps, which promote </w:t>
      </w:r>
      <w:r>
        <w:rPr>
          <w:rFonts w:ascii="Arial" w:cs="Arial" w:eastAsia="Arial" w:hAnsi="Arial"/>
          <w:sz w:val="19"/>
          <w:szCs w:val="19"/>
          <w:i w:val="1"/>
          <w:iCs w:val="1"/>
          <w:color w:val="auto"/>
        </w:rPr>
        <w:t>Smithsonian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Channel </w:t>
      </w:r>
      <w:r>
        <w:rPr>
          <w:rFonts w:ascii="Arial" w:cs="Arial" w:eastAsia="Arial" w:hAnsi="Arial"/>
          <w:sz w:val="19"/>
          <w:szCs w:val="19"/>
          <w:color w:val="auto"/>
        </w:rPr>
        <w:t>programming and provide information and entertainment services. Smithsonian Networks also operates</w:t>
      </w:r>
      <w:r>
        <w:rPr>
          <w:rFonts w:ascii="Arial" w:cs="Arial" w:eastAsia="Arial" w:hAnsi="Arial"/>
          <w:sz w:val="19"/>
          <w:szCs w:val="19"/>
          <w:i w:val="1"/>
          <w:iCs w:val="1"/>
          <w:color w:val="auto"/>
        </w:rPr>
        <w:t xml:space="preserve"> Smithsonian Channel Plus</w:t>
      </w:r>
      <w:r>
        <w:rPr>
          <w:rFonts w:ascii="Arial" w:cs="Arial" w:eastAsia="Arial" w:hAnsi="Arial"/>
          <w:sz w:val="19"/>
          <w:szCs w:val="19"/>
          <w:color w:val="auto"/>
        </w:rPr>
        <w:t>,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direct-to-consumer digital streaming subscription service, which launched in December 2018, that allows subscribers to view on-demand programming, including 4K Ultra HD series and documentaries.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Cable Networks Competition.</w:t>
      </w:r>
    </w:p>
    <w:p>
      <w:pPr>
        <w:spacing w:after="0" w:line="2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b w:val="1"/>
          <w:bCs w:val="1"/>
          <w:i w:val="1"/>
          <w:iCs w:val="1"/>
          <w:color w:val="auto"/>
        </w:rPr>
        <w:t xml:space="preserve">Showtime Networks. </w:t>
      </w:r>
      <w:r>
        <w:rPr>
          <w:rFonts w:ascii="Arial" w:cs="Arial" w:eastAsia="Arial" w:hAnsi="Arial"/>
          <w:sz w:val="19"/>
          <w:szCs w:val="19"/>
          <w:color w:val="auto"/>
        </w:rPr>
        <w:t>Showtime Networks primarily competes with other providers of premium subscription program services in the 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Home Box Office, Inc. and Starz, LLC. Competition among these premium subscription program services in the U.S. is dependent on: (i) the production, acquisition and packaging of original series and other original programming and the acquisition and packaging of an adequate number of recently released theatrical motion pictures; and (ii) the offering of prices, marketing and advertising support and other incentives to distributors for carriage so as to favorably position and package Showtime Networks’ premium subscription program services to subscribers. In addition, Showtime Networks competes with digital subscription programming services, such as Amazon, Hulu and Netflix, for original programming, theatrical motion pictures and viewership. Showtime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420"/>
          </w:cols>
          <w:pgMar w:left="240" w:top="366" w:right="239"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20"/>
          <w:szCs w:val="20"/>
          <w:color w:val="auto"/>
        </w:rPr>
        <w:t>Networks also competes for programming, distribution and/or audiences with basic cable program services, broadcast television and other media, including video games and other internet apps.</w:t>
      </w:r>
    </w:p>
    <w:p>
      <w:pPr>
        <w:spacing w:after="0" w:line="177" w:lineRule="exact"/>
        <w:rPr>
          <w:sz w:val="20"/>
          <w:szCs w:val="20"/>
          <w:color w:val="auto"/>
        </w:rPr>
      </w:pPr>
    </w:p>
    <w:p>
      <w:pPr>
        <w:jc w:val="both"/>
        <w:ind w:firstLine="324"/>
        <w:spacing w:after="0" w:line="240" w:lineRule="exact"/>
        <w:rPr>
          <w:sz w:val="20"/>
          <w:szCs w:val="20"/>
          <w:color w:val="auto"/>
        </w:rPr>
      </w:pPr>
      <w:r>
        <w:rPr>
          <w:rFonts w:ascii="Arial" w:cs="Arial" w:eastAsia="Arial" w:hAnsi="Arial"/>
          <w:sz w:val="19"/>
          <w:szCs w:val="19"/>
          <w:color w:val="auto"/>
        </w:rPr>
        <w:t>Smithsonian Networks competes for programming, distribution and/or audiences with non</w:t>
      </w:r>
      <w:r>
        <w:rPr>
          <w:rFonts w:ascii="MS PGothic" w:cs="MS PGothic" w:eastAsia="MS PGothic" w:hAnsi="MS PGothic"/>
          <w:sz w:val="19"/>
          <w:szCs w:val="19"/>
          <w:color w:val="auto"/>
        </w:rPr>
        <w:t>‑</w:t>
      </w:r>
      <w:r>
        <w:rPr>
          <w:rFonts w:ascii="Arial" w:cs="Arial" w:eastAsia="Arial" w:hAnsi="Arial"/>
          <w:sz w:val="19"/>
          <w:szCs w:val="19"/>
          <w:color w:val="auto"/>
        </w:rPr>
        <w:t>fiction and other basic cable program services, including Discovery Channel, National Geographic Channel and History, as well as with broadcast television and other media.</w:t>
      </w:r>
    </w:p>
    <w:p>
      <w:pPr>
        <w:spacing w:after="0" w:line="1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terms and favorable renewal of agreements with distributors for the distribution of the Company’s subscription program services are important to the Company. The effects of industry consolidation and other marketplace factors make it more difficult to reach and maintain favorable terms and positioning, which could increase costs and have an adverse effect on revenues.</w:t>
      </w:r>
    </w:p>
    <w:p>
      <w:pPr>
        <w:spacing w:after="0" w:line="180"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Publishing </w:t>
      </w:r>
      <w:r>
        <w:rPr>
          <w:rFonts w:ascii="Arial" w:cs="Arial" w:eastAsia="Arial" w:hAnsi="Arial"/>
          <w:sz w:val="20"/>
          <w:szCs w:val="20"/>
          <w:color w:val="auto"/>
        </w:rPr>
        <w:t>(6% of the Company’s consolidated revenues in each of 2018, 2017 and 2016, and 5%, 5% and 4%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in 2018, 2017 and 2016,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Publishing segment consists of Simon &amp; Schuster, which publishes and distributes consumer books in the U.S. and internationally.</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9"/>
          <w:szCs w:val="19"/>
          <w:color w:val="auto"/>
        </w:rPr>
        <w:t xml:space="preserve">Simon &amp; Schuster publishes and distributes adult and children’s consumer books in printed, digital and audio formats in the U.S. and internationally. Its digital formats include electronic books and audio books. Simon &amp; Schuster’s major adult imprints include </w:t>
      </w:r>
      <w:r>
        <w:rPr>
          <w:rFonts w:ascii="Arial" w:cs="Arial" w:eastAsia="Arial" w:hAnsi="Arial"/>
          <w:sz w:val="19"/>
          <w:szCs w:val="19"/>
          <w:i w:val="1"/>
          <w:iCs w:val="1"/>
          <w:color w:val="auto"/>
        </w:rPr>
        <w:t>Simon &amp;</w:t>
      </w:r>
      <w:r>
        <w:rPr>
          <w:rFonts w:ascii="Arial" w:cs="Arial" w:eastAsia="Arial" w:hAnsi="Arial"/>
          <w:sz w:val="19"/>
          <w:szCs w:val="19"/>
          <w:color w:val="auto"/>
        </w:rPr>
        <w:t xml:space="preserve"> </w:t>
      </w:r>
      <w:r>
        <w:rPr>
          <w:rFonts w:ascii="Arial" w:cs="Arial" w:eastAsia="Arial" w:hAnsi="Arial"/>
          <w:sz w:val="19"/>
          <w:szCs w:val="19"/>
          <w:i w:val="1"/>
          <w:iCs w:val="1"/>
          <w:color w:val="auto"/>
        </w:rPr>
        <w:t>Schuster</w:t>
      </w:r>
      <w:r>
        <w:rPr>
          <w:rFonts w:ascii="Arial" w:cs="Arial" w:eastAsia="Arial" w:hAnsi="Arial"/>
          <w:sz w:val="19"/>
          <w:szCs w:val="19"/>
          <w:color w:val="auto"/>
        </w:rPr>
        <w:t>,</w:t>
      </w:r>
      <w:r>
        <w:rPr>
          <w:rFonts w:ascii="Arial" w:cs="Arial" w:eastAsia="Arial" w:hAnsi="Arial"/>
          <w:sz w:val="19"/>
          <w:szCs w:val="19"/>
          <w:i w:val="1"/>
          <w:iCs w:val="1"/>
          <w:color w:val="auto"/>
        </w:rPr>
        <w:t xml:space="preserve"> Pocket Books</w:t>
      </w:r>
      <w:r>
        <w:rPr>
          <w:rFonts w:ascii="Arial" w:cs="Arial" w:eastAsia="Arial" w:hAnsi="Arial"/>
          <w:sz w:val="19"/>
          <w:szCs w:val="19"/>
          <w:color w:val="auto"/>
        </w:rPr>
        <w:t>,</w:t>
      </w:r>
      <w:r>
        <w:rPr>
          <w:rFonts w:ascii="Arial" w:cs="Arial" w:eastAsia="Arial" w:hAnsi="Arial"/>
          <w:sz w:val="19"/>
          <w:szCs w:val="19"/>
          <w:i w:val="1"/>
          <w:iCs w:val="1"/>
          <w:color w:val="auto"/>
        </w:rPr>
        <w:t xml:space="preserve"> Scribner</w:t>
      </w:r>
      <w:r>
        <w:rPr>
          <w:rFonts w:ascii="Arial" w:cs="Arial" w:eastAsia="Arial" w:hAnsi="Arial"/>
          <w:sz w:val="19"/>
          <w:szCs w:val="19"/>
          <w:color w:val="auto"/>
        </w:rPr>
        <w:t>,</w:t>
      </w:r>
      <w:r>
        <w:rPr>
          <w:rFonts w:ascii="Arial" w:cs="Arial" w:eastAsia="Arial" w:hAnsi="Arial"/>
          <w:sz w:val="19"/>
          <w:szCs w:val="19"/>
          <w:i w:val="1"/>
          <w:iCs w:val="1"/>
          <w:color w:val="auto"/>
        </w:rPr>
        <w:t xml:space="preserve"> Atria Books</w:t>
      </w:r>
      <w:r>
        <w:rPr>
          <w:rFonts w:ascii="Arial" w:cs="Arial" w:eastAsia="Arial" w:hAnsi="Arial"/>
          <w:sz w:val="19"/>
          <w:szCs w:val="19"/>
          <w:color w:val="auto"/>
        </w:rPr>
        <w:t>,</w:t>
      </w:r>
      <w:r>
        <w:rPr>
          <w:rFonts w:ascii="Arial" w:cs="Arial" w:eastAsia="Arial" w:hAnsi="Arial"/>
          <w:sz w:val="19"/>
          <w:szCs w:val="19"/>
          <w:i w:val="1"/>
          <w:iCs w:val="1"/>
          <w:color w:val="auto"/>
        </w:rPr>
        <w:t xml:space="preserve"> Gallery Books</w:t>
      </w:r>
      <w:r>
        <w:rPr>
          <w:rFonts w:ascii="Arial" w:cs="Arial" w:eastAsia="Arial" w:hAnsi="Arial"/>
          <w:sz w:val="19"/>
          <w:szCs w:val="19"/>
          <w:color w:val="auto"/>
        </w:rPr>
        <w:t>, and</w:t>
      </w:r>
      <w:r>
        <w:rPr>
          <w:rFonts w:ascii="Arial" w:cs="Arial" w:eastAsia="Arial" w:hAnsi="Arial"/>
          <w:sz w:val="19"/>
          <w:szCs w:val="19"/>
          <w:i w:val="1"/>
          <w:iCs w:val="1"/>
          <w:color w:val="auto"/>
        </w:rPr>
        <w:t xml:space="preserve"> Adams Media</w:t>
      </w:r>
      <w:r>
        <w:rPr>
          <w:rFonts w:ascii="Arial" w:cs="Arial" w:eastAsia="Arial" w:hAnsi="Arial"/>
          <w:sz w:val="24"/>
          <w:szCs w:val="24"/>
          <w:color w:val="auto"/>
          <w:vertAlign w:val="superscript"/>
        </w:rPr>
        <w:t>®</w:t>
      </w:r>
      <w:r>
        <w:rPr>
          <w:rFonts w:ascii="Arial" w:cs="Arial" w:eastAsia="Arial" w:hAnsi="Arial"/>
          <w:sz w:val="19"/>
          <w:szCs w:val="19"/>
          <w:color w:val="auto"/>
        </w:rPr>
        <w:t>. Simon &amp; Schuster’s major children’s imprints include</w:t>
      </w:r>
      <w:r>
        <w:rPr>
          <w:rFonts w:ascii="Arial" w:cs="Arial" w:eastAsia="Arial" w:hAnsi="Arial"/>
          <w:sz w:val="19"/>
          <w:szCs w:val="19"/>
          <w:i w:val="1"/>
          <w:iCs w:val="1"/>
          <w:color w:val="auto"/>
        </w:rPr>
        <w:t xml:space="preserve"> Simon Pulse</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Aladdin</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Atheneum Books for Young Readers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Margaret K. McElderry Books</w:t>
      </w:r>
      <w:r>
        <w:rPr>
          <w:rFonts w:ascii="Arial" w:cs="Arial" w:eastAsia="Arial" w:hAnsi="Arial"/>
          <w:sz w:val="19"/>
          <w:szCs w:val="19"/>
          <w:color w:val="auto"/>
        </w:rPr>
        <w:t>™,</w:t>
      </w:r>
      <w:r>
        <w:rPr>
          <w:rFonts w:ascii="Arial" w:cs="Arial" w:eastAsia="Arial" w:hAnsi="Arial"/>
          <w:sz w:val="19"/>
          <w:szCs w:val="19"/>
          <w:i w:val="1"/>
          <w:iCs w:val="1"/>
          <w:color w:val="auto"/>
        </w:rPr>
        <w:t xml:space="preserve"> Saga Press</w:t>
      </w:r>
      <w:r>
        <w:rPr>
          <w:rFonts w:ascii="Arial" w:cs="Arial" w:eastAsia="Arial" w:hAnsi="Arial"/>
          <w:sz w:val="19"/>
          <w:szCs w:val="19"/>
          <w:color w:val="auto"/>
        </w:rPr>
        <w:t>™, Salaam Reads</w:t>
      </w:r>
      <w:r>
        <w:rPr>
          <w:rFonts w:ascii="Arial" w:cs="Arial" w:eastAsia="Arial" w:hAnsi="Arial"/>
          <w:sz w:val="24"/>
          <w:szCs w:val="24"/>
          <w:color w:val="auto"/>
          <w:vertAlign w:val="superscript"/>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Simon &amp; Schuster Books For Young Readers</w:t>
      </w:r>
      <w:r>
        <w:rPr>
          <w:rFonts w:ascii="Arial" w:cs="Arial" w:eastAsia="Arial" w:hAnsi="Arial"/>
          <w:sz w:val="19"/>
          <w:szCs w:val="19"/>
          <w:color w:val="auto"/>
        </w:rPr>
        <w:t>™. Simon &amp; Schuster also develops special imprints and publishes titles based on the products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CBS businesses as well as those of third parties and distributes products for other publishers. Simon &amp; Schuster distributes its products directly and through third parties. Simon &amp; Schuster also delivers content and promotes its products on its own Websites, social media, and general internet sites as well as those dedicated to individual titles. Its created assets include online videos showcasing Simon &amp; Schuster authors and new releases on AOL, YouTube, Amazon, Bio.com, MSN.com, Google Newsstand, iTunes, </w:t>
      </w:r>
      <w:r>
        <w:rPr>
          <w:rFonts w:ascii="Arial" w:cs="Arial" w:eastAsia="Arial" w:hAnsi="Arial"/>
          <w:sz w:val="19"/>
          <w:szCs w:val="19"/>
          <w:i w:val="1"/>
          <w:iCs w:val="1"/>
          <w:color w:val="auto"/>
        </w:rPr>
        <w:t>SimonandSchuster.com</w:t>
      </w:r>
      <w:r>
        <w:rPr>
          <w:rFonts w:ascii="Arial" w:cs="Arial" w:eastAsia="Arial" w:hAnsi="Arial"/>
          <w:sz w:val="19"/>
          <w:szCs w:val="19"/>
          <w:color w:val="auto"/>
        </w:rPr>
        <w:t xml:space="preserve"> and other sites. International publishing includes the international distribution of English-language titles through Simon &amp; Schuster UK, Simon &amp; Schuster Canada, Simon &amp; Schuster Australia, Simon &amp; Schuster India and other distributors, as well as the publication of locally originated titles by its international companies.</w:t>
      </w:r>
    </w:p>
    <w:p>
      <w:pPr>
        <w:spacing w:after="0" w:line="20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In 2018, Simon &amp; Schuster had 206 New York Times bestsellers in hardcover, paperback, audio and electronic formats, collectively, including 28 New York Times #1 bestsellers. Best-selling titles in 2018 included </w:t>
      </w:r>
      <w:r>
        <w:rPr>
          <w:rFonts w:ascii="Arial" w:cs="Arial" w:eastAsia="Arial" w:hAnsi="Arial"/>
          <w:sz w:val="20"/>
          <w:szCs w:val="20"/>
          <w:i w:val="1"/>
          <w:iCs w:val="1"/>
          <w:color w:val="auto"/>
        </w:rPr>
        <w:t>Fear: Trump in the White House</w:t>
      </w:r>
      <w:r>
        <w:rPr>
          <w:rFonts w:ascii="Arial" w:cs="Arial" w:eastAsia="Arial" w:hAnsi="Arial"/>
          <w:sz w:val="20"/>
          <w:szCs w:val="20"/>
          <w:color w:val="auto"/>
        </w:rPr>
        <w:t xml:space="preserve"> by Bob Woodward,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Outsider </w:t>
      </w:r>
      <w:r>
        <w:rPr>
          <w:rFonts w:ascii="Arial" w:cs="Arial" w:eastAsia="Arial" w:hAnsi="Arial"/>
          <w:sz w:val="20"/>
          <w:szCs w:val="20"/>
          <w:color w:val="auto"/>
        </w:rPr>
        <w:t>by Stephen King and</w:t>
      </w:r>
      <w:r>
        <w:rPr>
          <w:rFonts w:ascii="Arial" w:cs="Arial" w:eastAsia="Arial" w:hAnsi="Arial"/>
          <w:sz w:val="20"/>
          <w:szCs w:val="20"/>
          <w:i w:val="1"/>
          <w:iCs w:val="1"/>
          <w:color w:val="auto"/>
        </w:rPr>
        <w:t xml:space="preserve"> Whiskey in a Teacup </w:t>
      </w:r>
      <w:r>
        <w:rPr>
          <w:rFonts w:ascii="Arial" w:cs="Arial" w:eastAsia="Arial" w:hAnsi="Arial"/>
          <w:sz w:val="20"/>
          <w:szCs w:val="20"/>
          <w:color w:val="auto"/>
        </w:rPr>
        <w:t>by Reese Witherspoon. Best-selling children’s titles include</w:t>
      </w:r>
      <w:r>
        <w:rPr>
          <w:rFonts w:ascii="Arial" w:cs="Arial" w:eastAsia="Arial" w:hAnsi="Arial"/>
          <w:sz w:val="20"/>
          <w:szCs w:val="20"/>
          <w:i w:val="1"/>
          <w:iCs w:val="1"/>
          <w:color w:val="auto"/>
        </w:rPr>
        <w:t xml:space="preserve"> Queen of Air and Darkness </w:t>
      </w:r>
      <w:r>
        <w:rPr>
          <w:rFonts w:ascii="Arial" w:cs="Arial" w:eastAsia="Arial" w:hAnsi="Arial"/>
          <w:sz w:val="20"/>
          <w:szCs w:val="20"/>
          <w:color w:val="auto"/>
        </w:rPr>
        <w:t>by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Cassandra Clare, </w:t>
      </w:r>
      <w:r>
        <w:rPr>
          <w:rFonts w:ascii="Arial" w:cs="Arial" w:eastAsia="Arial" w:hAnsi="Arial"/>
          <w:sz w:val="20"/>
          <w:szCs w:val="20"/>
          <w:i w:val="1"/>
          <w:iCs w:val="1"/>
          <w:color w:val="auto"/>
        </w:rPr>
        <w:t>Dork Diaries #13</w:t>
      </w:r>
      <w:r>
        <w:rPr>
          <w:rFonts w:ascii="Arial" w:cs="Arial" w:eastAsia="Arial" w:hAnsi="Arial"/>
          <w:sz w:val="20"/>
          <w:szCs w:val="20"/>
          <w:color w:val="auto"/>
        </w:rPr>
        <w:t xml:space="preserve"> by Rachel Renée Russell and </w:t>
      </w:r>
      <w:r>
        <w:rPr>
          <w:rFonts w:ascii="Arial" w:cs="Arial" w:eastAsia="Arial" w:hAnsi="Arial"/>
          <w:sz w:val="20"/>
          <w:szCs w:val="20"/>
          <w:i w:val="1"/>
          <w:iCs w:val="1"/>
          <w:color w:val="auto"/>
        </w:rPr>
        <w:t>To All the Boys I’ve Loved Before</w:t>
      </w:r>
      <w:r>
        <w:rPr>
          <w:rFonts w:ascii="Arial" w:cs="Arial" w:eastAsia="Arial" w:hAnsi="Arial"/>
          <w:sz w:val="20"/>
          <w:szCs w:val="20"/>
          <w:color w:val="auto"/>
        </w:rPr>
        <w:t xml:space="preserve"> by Jenny Han. </w:t>
      </w:r>
      <w:r>
        <w:rPr>
          <w:rFonts w:ascii="Arial" w:cs="Arial" w:eastAsia="Arial" w:hAnsi="Arial"/>
          <w:sz w:val="20"/>
          <w:szCs w:val="20"/>
          <w:i w:val="1"/>
          <w:iCs w:val="1"/>
          <w:color w:val="auto"/>
        </w:rPr>
        <w:t>Simon &amp; Schuster Digital</w:t>
      </w:r>
      <w:r>
        <w:rPr>
          <w:rFonts w:ascii="Arial" w:cs="Arial" w:eastAsia="Arial" w:hAnsi="Arial"/>
          <w:sz w:val="20"/>
          <w:szCs w:val="20"/>
          <w:color w:val="auto"/>
        </w:rPr>
        <w:t xml:space="preserve">™, through </w:t>
      </w:r>
      <w:r>
        <w:rPr>
          <w:rFonts w:ascii="Arial" w:cs="Arial" w:eastAsia="Arial" w:hAnsi="Arial"/>
          <w:sz w:val="20"/>
          <w:szCs w:val="20"/>
          <w:i w:val="1"/>
          <w:iCs w:val="1"/>
          <w:color w:val="auto"/>
        </w:rPr>
        <w:t>SimonandSchuster.com</w:t>
      </w:r>
      <w:r>
        <w:rPr>
          <w:rFonts w:ascii="Arial" w:cs="Arial" w:eastAsia="Arial" w:hAnsi="Arial"/>
          <w:sz w:val="20"/>
          <w:szCs w:val="20"/>
          <w:color w:val="auto"/>
        </w:rPr>
        <w:t>, publishes original content, builds reader communities and promotes and sells Simon &amp; Schuster’s books over the internet.</w:t>
      </w:r>
    </w:p>
    <w:p>
      <w:pPr>
        <w:spacing w:after="0" w:line="21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two accounts drive a significant portion of its annual revenue. Consumer print books are generally sold on a fully returnable basis, resulting in the return of unsold books. In the domestic and international markets, the Company is subject to global trends and local economic conditions. In 2018, the sale of digital content represented approximately 23% of Simon &amp; Schuster’s revenues. The Company expects that digital content will continue to represent a significant portion of Simon &amp; Schuster revenues in the coming years.</w:t>
      </w:r>
    </w:p>
    <w:p>
      <w:pPr>
        <w:spacing w:after="0" w:line="254" w:lineRule="exact"/>
        <w:rPr>
          <w:sz w:val="20"/>
          <w:szCs w:val="20"/>
          <w:color w:val="auto"/>
        </w:rPr>
      </w:pPr>
    </w:p>
    <w:p>
      <w:pPr>
        <w:jc w:val="both"/>
        <w:ind w:firstLine="324"/>
        <w:spacing w:after="0" w:line="236" w:lineRule="exact"/>
        <w:rPr>
          <w:sz w:val="20"/>
          <w:szCs w:val="20"/>
          <w:color w:val="auto"/>
        </w:rPr>
      </w:pPr>
      <w:r>
        <w:rPr>
          <w:rFonts w:ascii="Arial" w:cs="Arial" w:eastAsia="Arial" w:hAnsi="Arial"/>
          <w:sz w:val="20"/>
          <w:szCs w:val="20"/>
          <w:b w:val="1"/>
          <w:bCs w:val="1"/>
          <w:color w:val="auto"/>
        </w:rPr>
        <w:t xml:space="preserve">Publishing Competition. </w:t>
      </w:r>
      <w:r>
        <w:rPr>
          <w:rFonts w:ascii="Arial" w:cs="Arial" w:eastAsia="Arial" w:hAnsi="Arial"/>
          <w:sz w:val="20"/>
          <w:szCs w:val="20"/>
          <w:color w:val="auto"/>
        </w:rPr>
        <w:t>The consumer publishing business is highly competitive and has been affected over the years by consolidation</w:t>
      </w:r>
      <w:r>
        <w:rPr>
          <w:rFonts w:ascii="Arial" w:cs="Arial" w:eastAsia="Arial" w:hAnsi="Arial"/>
          <w:sz w:val="20"/>
          <w:szCs w:val="20"/>
          <w:b w:val="1"/>
          <w:bCs w:val="1"/>
          <w:color w:val="auto"/>
        </w:rPr>
        <w:t xml:space="preserve"> </w:t>
      </w:r>
      <w:r>
        <w:rPr>
          <w:rFonts w:ascii="Arial" w:cs="Arial" w:eastAsia="Arial" w:hAnsi="Arial"/>
          <w:sz w:val="20"/>
          <w:szCs w:val="20"/>
          <w:color w:val="auto"/>
        </w:rPr>
        <w:t>trends and electronic distribution methods and models. Mass merchandisers and on</w:t>
      </w:r>
      <w:r>
        <w:rPr>
          <w:rFonts w:ascii="MS PGothic" w:cs="MS PGothic" w:eastAsia="MS PGothic" w:hAnsi="MS PGothic"/>
          <w:sz w:val="20"/>
          <w:szCs w:val="20"/>
          <w:color w:val="auto"/>
        </w:rPr>
        <w:t>‑</w:t>
      </w:r>
      <w:r>
        <w:rPr>
          <w:rFonts w:ascii="Arial" w:cs="Arial" w:eastAsia="Arial" w:hAnsi="Arial"/>
          <w:sz w:val="20"/>
          <w:szCs w:val="20"/>
          <w:color w:val="auto"/>
        </w:rPr>
        <w:t>line retailers are significant factors in the industry contributing to the general trend toward consolidation in the retail channel. The growth of the electronic book market has impacted print book retailers and wholesalers and could result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366" w:right="239" w:bottom="1440" w:gutter="0" w:footer="0" w:header="0"/>
        </w:sectPr>
      </w:pPr>
    </w:p>
    <w:bookmarkStart w:id="11" w:name="page12"/>
    <w:bookmarkEnd w:id="11"/>
    <w:p>
      <w:pPr>
        <w:jc w:val="both"/>
        <w:spacing w:after="0" w:line="234" w:lineRule="exact"/>
        <w:rPr>
          <w:sz w:val="20"/>
          <w:szCs w:val="20"/>
          <w:color w:val="auto"/>
        </w:rPr>
      </w:pPr>
      <w:r>
        <w:rPr>
          <w:rFonts w:ascii="Arial" w:cs="Arial" w:eastAsia="Arial" w:hAnsi="Arial"/>
          <w:sz w:val="19"/>
          <w:szCs w:val="19"/>
          <w:color w:val="auto"/>
        </w:rPr>
        <w:t>in a reduction of these channels for the sales and marketing of the Company’s books. In addition, unfavorable economic conditions and competition may adversely affect book retailers’ operations, including distribution of the Company’s books. The Company must compete with other larger publishers, such as Penguin Random House, Hachette and HarperCollins, for the rights to works by authors and sales to retailers and customers. Competition is particularly strong for well</w:t>
      </w:r>
      <w:r>
        <w:rPr>
          <w:rFonts w:ascii="MS PGothic" w:cs="MS PGothic" w:eastAsia="MS PGothic" w:hAnsi="MS PGothic"/>
          <w:sz w:val="19"/>
          <w:szCs w:val="19"/>
          <w:color w:val="auto"/>
        </w:rPr>
        <w:t>‑</w:t>
      </w:r>
      <w:r>
        <w:rPr>
          <w:rFonts w:ascii="Arial" w:cs="Arial" w:eastAsia="Arial" w:hAnsi="Arial"/>
          <w:sz w:val="19"/>
          <w:szCs w:val="19"/>
          <w:color w:val="auto"/>
        </w:rPr>
        <w:t>known authors and public personalities. In addition, technological changes have made it increasingly possible for authors to self</w:t>
      </w:r>
      <w:r>
        <w:rPr>
          <w:rFonts w:ascii="MS PGothic" w:cs="MS PGothic" w:eastAsia="MS PGothic" w:hAnsi="MS PGothic"/>
          <w:sz w:val="19"/>
          <w:szCs w:val="19"/>
          <w:color w:val="auto"/>
        </w:rPr>
        <w:t>‑</w:t>
      </w:r>
      <w:r>
        <w:rPr>
          <w:rFonts w:ascii="Arial" w:cs="Arial" w:eastAsia="Arial" w:hAnsi="Arial"/>
          <w:sz w:val="19"/>
          <w:szCs w:val="19"/>
          <w:color w:val="auto"/>
        </w:rPr>
        <w:t>publish and have led to the development of new digital distribution models in which the Company’s books must compete with the availability of both a larger volume of books as well as non-book content.</w:t>
      </w:r>
    </w:p>
    <w:p>
      <w:pPr>
        <w:spacing w:after="0" w:line="189"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Local Media </w:t>
      </w:r>
      <w:r>
        <w:rPr>
          <w:rFonts w:ascii="Arial" w:cs="Arial" w:eastAsia="Arial" w:hAnsi="Arial"/>
          <w:sz w:val="20"/>
          <w:szCs w:val="20"/>
          <w:color w:val="auto"/>
        </w:rPr>
        <w:t>(13%, 12% and 14% of the Company’s consolidated revenues in 2018, 2017 and 2016, respectively, and 20%, 17% and 21%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Company’s total segment operating income in 2018, 2017 and 2016, respectively)</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The Local Media segment is composed of CBS Television Stations, the Company’s 29 owned broadcast television stations, all of which operate under licenses granted by the Federal Communications Commission (“FCC”) pursuant to the Communications Act of 1934, as amended (the “Communications Act”). The licenses are renewable every eight years. The Company’s television stations are located in the 5 largest, and 15 of the top 20, television markets in the U.S. The Company owns multiple television stations within the same designated market area (“DMA”) in 10 major markets. These multiple station markets are: New York (market #1), Los Angeles (market #2), Philadelphia (market #4), Dallas-Fort Worth (market #5), San Francisco-Oakland-San Jose (market #8), Boston (market #9), Detroit (market #14), Miami-Ft. Lauderdale (market #16), Sacramento-Stockton-Modesto (market #20), and Pittsburgh (market #24). This group of television stations enables the Company to reach a wide audience within and across geographically diverse markets in the U.S. The stations produce news and broadcast public affairs, sports and other programming to serve their local markets and offer CBS, The CW or MyNetworkTV programming and syndicated programming.</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The CBS Television Stations group principally derives its revenues from the sale of advertising time on its television stations. In addition, the CBS Television Stations group receives retransmission fees from MVPDs for authorizing the MVPDs’ carriage of the Company’s owned television stations. The Company also has agreements for the digital streaming of the Company’s owned television stations on virtual MVPDs, including DIRECTV NOW, Hulu with Live TV and YouTube TV. The Company’s direct-to-consumer digital streaming subscription service, </w:t>
      </w:r>
      <w:r>
        <w:rPr>
          <w:rFonts w:ascii="Arial" w:cs="Arial" w:eastAsia="Arial" w:hAnsi="Arial"/>
          <w:sz w:val="18"/>
          <w:szCs w:val="18"/>
          <w:i w:val="1"/>
          <w:iCs w:val="1"/>
          <w:color w:val="auto"/>
        </w:rPr>
        <w:t>CBS All Access</w:t>
      </w:r>
      <w:r>
        <w:rPr>
          <w:rFonts w:ascii="Arial" w:cs="Arial" w:eastAsia="Arial" w:hAnsi="Arial"/>
          <w:sz w:val="18"/>
          <w:szCs w:val="18"/>
          <w:color w:val="auto"/>
        </w:rPr>
        <w:t>, offers an extensive on-demand selection of both current programming and library, original series as well 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stream linear programming from local CBS Television Stations and most CBS television station affiliates.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is available at </w:t>
      </w:r>
      <w:r>
        <w:rPr>
          <w:rFonts w:ascii="Arial" w:cs="Arial" w:eastAsia="Arial" w:hAnsi="Arial"/>
          <w:sz w:val="18"/>
          <w:szCs w:val="18"/>
          <w:i w:val="1"/>
          <w:iCs w:val="1"/>
          <w:color w:val="auto"/>
        </w:rPr>
        <w:t xml:space="preserve">CBS.com </w:t>
      </w:r>
      <w:r>
        <w:rPr>
          <w:rFonts w:ascii="Arial" w:cs="Arial" w:eastAsia="Arial" w:hAnsi="Arial"/>
          <w:sz w:val="18"/>
          <w:szCs w:val="18"/>
          <w:color w:val="auto"/>
        </w:rPr>
        <w:t>and through the CBS app on multiple digital platforms. In December 2018, the Company launched</w:t>
      </w:r>
      <w:r>
        <w:rPr>
          <w:rFonts w:ascii="Arial" w:cs="Arial" w:eastAsia="Arial" w:hAnsi="Arial"/>
          <w:sz w:val="18"/>
          <w:szCs w:val="18"/>
          <w:i w:val="1"/>
          <w:iCs w:val="1"/>
          <w:color w:val="auto"/>
        </w:rPr>
        <w:t xml:space="preserve"> CBSN New York</w:t>
      </w:r>
      <w:r>
        <w:rPr>
          <w:rFonts w:ascii="Arial" w:cs="Arial" w:eastAsia="Arial" w:hAnsi="Arial"/>
          <w:sz w:val="18"/>
          <w:szCs w:val="18"/>
          <w:color w:val="auto"/>
        </w:rPr>
        <w:t xml:space="preserve">, a direct-to-consumer digital streaming live, advertiser-supported local news network available 24 hours a day, seven days a week that complements </w:t>
      </w:r>
      <w:r>
        <w:rPr>
          <w:rFonts w:ascii="Arial" w:cs="Arial" w:eastAsia="Arial" w:hAnsi="Arial"/>
          <w:sz w:val="18"/>
          <w:szCs w:val="18"/>
          <w:i w:val="1"/>
          <w:iCs w:val="1"/>
          <w:color w:val="auto"/>
        </w:rPr>
        <w:t>CBSN</w:t>
      </w:r>
      <w:r>
        <w:rPr>
          <w:rFonts w:ascii="Arial" w:cs="Arial" w:eastAsia="Arial" w:hAnsi="Arial"/>
          <w:sz w:val="18"/>
          <w:szCs w:val="18"/>
          <w:color w:val="auto"/>
        </w:rPr>
        <w:t xml:space="preserve"> and streams news events from the Company’s owned television stations in New York. The Company’s television stations also have a digital presence on CBS local Websites which are operated by CBS Local Digital Media. The local Websites and related apps promote the Company’s stations’ programming as well as provide live and on-demand news, traffic, weather, entertainment and sports information, among other services for their local communities. The local Websites principally derive revenues from the sale of advertising. The “Television Stations and CBS Local Websites” table below includes information with respect to these properties within U.S. television markets. CBS Television Stations and Weigel Broadcasting own and operate through an approximately 50/50 joint venture </w:t>
      </w:r>
      <w:r>
        <w:rPr>
          <w:rFonts w:ascii="Arial" w:cs="Arial" w:eastAsia="Arial" w:hAnsi="Arial"/>
          <w:sz w:val="18"/>
          <w:szCs w:val="18"/>
          <w:i w:val="1"/>
          <w:iCs w:val="1"/>
          <w:color w:val="auto"/>
        </w:rPr>
        <w:t>Start TV</w:t>
      </w:r>
      <w:r>
        <w:rPr>
          <w:rFonts w:ascii="Arial" w:cs="Arial" w:eastAsia="Arial" w:hAnsi="Arial"/>
          <w:sz w:val="18"/>
          <w:szCs w:val="18"/>
          <w:color w:val="auto"/>
        </w:rPr>
        <w:t>™, a national entertainment program service featuring classic television content, movies and original programming focused on female audiences for local television stations’ digital sub-channels, which utilize a local television station's available broadcast spectrum to provide a companion to that station's primary channel.</w:t>
      </w:r>
    </w:p>
    <w:p>
      <w:pPr>
        <w:spacing w:after="0" w:line="172"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9"/>
          <w:szCs w:val="19"/>
          <w:b w:val="1"/>
          <w:bCs w:val="1"/>
          <w:color w:val="auto"/>
        </w:rPr>
        <w:t xml:space="preserve">Local Media Competition. </w:t>
      </w:r>
      <w:r>
        <w:rPr>
          <w:rFonts w:ascii="Arial" w:cs="Arial" w:eastAsia="Arial" w:hAnsi="Arial"/>
          <w:sz w:val="19"/>
          <w:szCs w:val="19"/>
          <w:color w:val="auto"/>
        </w:rPr>
        <w:t>Television stations compete for programming, on</w:t>
      </w:r>
      <w:r>
        <w:rPr>
          <w:rFonts w:ascii="MS PGothic" w:cs="MS PGothic" w:eastAsia="MS PGothic" w:hAnsi="MS PGothic"/>
          <w:sz w:val="19"/>
          <w:szCs w:val="19"/>
          <w:color w:val="auto"/>
        </w:rPr>
        <w:t>‑</w:t>
      </w:r>
      <w:r>
        <w:rPr>
          <w:rFonts w:ascii="Arial" w:cs="Arial" w:eastAsia="Arial" w:hAnsi="Arial"/>
          <w:sz w:val="19"/>
          <w:szCs w:val="19"/>
          <w:color w:val="auto"/>
        </w:rPr>
        <w:t>air talent, audiences and advertising revenues with other</w:t>
      </w:r>
      <w:r>
        <w:rPr>
          <w:rFonts w:ascii="Arial" w:cs="Arial" w:eastAsia="Arial" w:hAnsi="Arial"/>
          <w:sz w:val="19"/>
          <w:szCs w:val="19"/>
          <w:b w:val="1"/>
          <w:bCs w:val="1"/>
          <w:color w:val="auto"/>
        </w:rPr>
        <w:t xml:space="preserve"> </w:t>
      </w:r>
      <w:r>
        <w:rPr>
          <w:rFonts w:ascii="Arial" w:cs="Arial" w:eastAsia="Arial" w:hAnsi="Arial"/>
          <w:sz w:val="19"/>
          <w:szCs w:val="19"/>
          <w:color w:val="auto"/>
        </w:rPr>
        <w:t>stations and cable networks in their respective coverage areas and, in some cases, with respect to programming, with other station groups, and, in the case of advertising revenues, with other local and national media. The owned and operated television stations’ competitive position is largely influenced by the quality of the syndicated programs and local news programs in time periods not programmed by the network; the strength of the CBS Television Network programming and, in particular, the viewership of the CBS Television Network in the time period immediately prior to the late evening news; and in some cases, by the quality of the broadcast signal. The Company’s television stations face increasing competition from technologies such as digital audio and visual content, which create new ways for audiences to consume content of their choosing while avoiding traditional commercial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420"/>
          </w:cols>
          <w:pgMar w:left="240" w:top="366" w:right="239" w:bottom="1440" w:gutter="0" w:footer="0" w:header="0"/>
        </w:sectPr>
      </w:pPr>
    </w:p>
    <w:bookmarkStart w:id="12" w:name="page13"/>
    <w:bookmarkEnd w:id="12"/>
    <w:p>
      <w:pPr>
        <w:spacing w:after="0" w:line="260" w:lineRule="auto"/>
        <w:rPr>
          <w:sz w:val="20"/>
          <w:szCs w:val="20"/>
          <w:color w:val="auto"/>
        </w:rPr>
      </w:pPr>
      <w:r>
        <w:rPr>
          <w:rFonts w:ascii="Arial" w:cs="Arial" w:eastAsia="Arial" w:hAnsi="Arial"/>
          <w:sz w:val="20"/>
          <w:szCs w:val="20"/>
          <w:color w:val="auto"/>
        </w:rPr>
        <w:t>advertising. The Company’s television stations’ Websites face competition for advertisers and visitors from other digital sources of local content.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Television Stations and CBS Local Websites</w:t>
      </w:r>
    </w:p>
    <w:p>
      <w:pPr>
        <w:spacing w:after="0" w:line="11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table sets forth information regarding the Company’s owned television stations and related local Websites, as of February 13, 2019, within U.S. television markets: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Television</w:t>
            </w:r>
          </w:p>
        </w:tc>
        <w:tc>
          <w:tcPr>
            <w:tcW w:w="1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Stations</w:t>
            </w:r>
          </w:p>
        </w:tc>
        <w:tc>
          <w:tcPr>
            <w:tcW w:w="12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Type</w:t>
            </w:r>
          </w:p>
        </w:tc>
        <w:tc>
          <w:tcPr>
            <w:tcW w:w="24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Network Affiliation</w:t>
            </w:r>
          </w:p>
        </w:tc>
        <w:tc>
          <w:tcPr>
            <w:tcW w:w="35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CBS Local Websites</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Market and Market Rank</w:t>
            </w:r>
            <w:r>
              <w:rPr>
                <w:rFonts w:ascii="Arial" w:cs="Arial" w:eastAsia="Arial" w:hAnsi="Arial"/>
                <w:sz w:val="8"/>
                <w:szCs w:val="8"/>
                <w:color w:val="auto"/>
              </w:rPr>
              <w:t>(1)</w:t>
            </w:r>
          </w:p>
        </w:tc>
        <w:tc>
          <w:tcPr>
            <w:tcW w:w="1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New York, NY (#1)</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WCBS</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newyork.cbslocal.com</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WLNY</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Independent</w:t>
            </w: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Los Angeles, CA (#2)</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KCAL</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Independent</w:t>
            </w:r>
          </w:p>
        </w:tc>
        <w:tc>
          <w:tcPr>
            <w:tcW w:w="3580" w:type="dxa"/>
            <w:vAlign w:val="bottom"/>
          </w:tcPr>
          <w:p>
            <w:pPr>
              <w:ind w:left="880"/>
              <w:spacing w:after="0"/>
              <w:rPr>
                <w:sz w:val="20"/>
                <w:szCs w:val="20"/>
                <w:color w:val="auto"/>
              </w:rPr>
            </w:pPr>
            <w:r>
              <w:rPr>
                <w:rFonts w:ascii="Arial" w:cs="Arial" w:eastAsia="Arial" w:hAnsi="Arial"/>
                <w:sz w:val="14"/>
                <w:szCs w:val="14"/>
                <w:color w:val="auto"/>
              </w:rPr>
              <w:t>losangeles.cbslocal.com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KCBS</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Chicago, IL (#3)</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WBBM</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chicago.cbslocal.com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Philadelphia, PA (#4)</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KYW</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philadelphia.cbslocal.com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WPSG</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Dallas</w:t>
            </w:r>
            <w:r>
              <w:rPr>
                <w:rFonts w:ascii="MS PGothic" w:cs="MS PGothic" w:eastAsia="MS PGothic" w:hAnsi="MS PGothic"/>
                <w:sz w:val="14"/>
                <w:szCs w:val="14"/>
                <w:color w:val="auto"/>
              </w:rPr>
              <w:t>‑</w:t>
            </w:r>
            <w:r>
              <w:rPr>
                <w:rFonts w:ascii="Arial" w:cs="Arial" w:eastAsia="Arial" w:hAnsi="Arial"/>
                <w:sz w:val="14"/>
                <w:szCs w:val="14"/>
                <w:color w:val="auto"/>
              </w:rPr>
              <w:t>Fort Worth, TX (#5)</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KTVT</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dfw.cbslocal.com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KTXA</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Independent</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San Francisco, CA (#8)</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KPIX</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sanfrancisco.cbslocal.com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KBCW</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Boston, MA (#9)</w:t>
            </w:r>
          </w:p>
        </w:tc>
        <w:tc>
          <w:tcPr>
            <w:tcW w:w="1320" w:type="dxa"/>
            <w:vAlign w:val="bottom"/>
          </w:tcPr>
          <w:p>
            <w:pPr>
              <w:ind w:left="20"/>
              <w:spacing w:after="0"/>
              <w:rPr>
                <w:sz w:val="20"/>
                <w:szCs w:val="20"/>
                <w:color w:val="auto"/>
              </w:rPr>
            </w:pPr>
            <w:r>
              <w:rPr>
                <w:rFonts w:ascii="Arial" w:cs="Arial" w:eastAsia="Arial" w:hAnsi="Arial"/>
                <w:sz w:val="14"/>
                <w:szCs w:val="14"/>
                <w:color w:val="auto"/>
              </w:rPr>
              <w:t>WBZ-TV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boston.cbslocal.com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WSBK-TV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MyNetworkTV</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Atlanta, GA (#10)</w:t>
            </w:r>
          </w:p>
        </w:tc>
        <w:tc>
          <w:tcPr>
            <w:tcW w:w="1320" w:type="dxa"/>
            <w:vAlign w:val="bottom"/>
          </w:tcPr>
          <w:p>
            <w:pPr>
              <w:ind w:left="20"/>
              <w:spacing w:after="0"/>
              <w:rPr>
                <w:sz w:val="20"/>
                <w:szCs w:val="20"/>
                <w:color w:val="auto"/>
              </w:rPr>
            </w:pPr>
            <w:r>
              <w:rPr>
                <w:rFonts w:ascii="Arial" w:cs="Arial" w:eastAsia="Arial" w:hAnsi="Arial"/>
                <w:sz w:val="14"/>
                <w:szCs w:val="14"/>
                <w:color w:val="auto"/>
              </w:rPr>
              <w:t>WUPA-TV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ind w:left="880"/>
              <w:spacing w:after="0"/>
              <w:rPr>
                <w:sz w:val="20"/>
                <w:szCs w:val="20"/>
                <w:color w:val="auto"/>
              </w:rPr>
            </w:pPr>
            <w:r>
              <w:rPr>
                <w:rFonts w:ascii="Arial" w:cs="Arial" w:eastAsia="Arial" w:hAnsi="Arial"/>
                <w:sz w:val="14"/>
                <w:szCs w:val="14"/>
                <w:color w:val="auto"/>
              </w:rPr>
              <w:t>atlanta.cbslocal.com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Tampa-St. Petersburg, FL (#11)</w:t>
            </w:r>
          </w:p>
        </w:tc>
        <w:tc>
          <w:tcPr>
            <w:tcW w:w="1320" w:type="dxa"/>
            <w:vAlign w:val="bottom"/>
          </w:tcPr>
          <w:p>
            <w:pPr>
              <w:ind w:left="20"/>
              <w:spacing w:after="0"/>
              <w:rPr>
                <w:sz w:val="20"/>
                <w:szCs w:val="20"/>
                <w:color w:val="auto"/>
              </w:rPr>
            </w:pPr>
            <w:r>
              <w:rPr>
                <w:rFonts w:ascii="Arial" w:cs="Arial" w:eastAsia="Arial" w:hAnsi="Arial"/>
                <w:sz w:val="14"/>
                <w:szCs w:val="14"/>
                <w:color w:val="auto"/>
              </w:rPr>
              <w:t>WTOG-TV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ind w:left="880"/>
              <w:spacing w:after="0"/>
              <w:rPr>
                <w:sz w:val="20"/>
                <w:szCs w:val="20"/>
                <w:color w:val="auto"/>
              </w:rPr>
            </w:pPr>
            <w:r>
              <w:rPr>
                <w:rFonts w:ascii="Arial" w:cs="Arial" w:eastAsia="Arial" w:hAnsi="Arial"/>
                <w:sz w:val="14"/>
                <w:szCs w:val="14"/>
                <w:color w:val="auto"/>
              </w:rPr>
              <w:t>tampa.cbslocal.com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Seattle-Tacoma, WA (#13)</w:t>
            </w:r>
          </w:p>
        </w:tc>
        <w:tc>
          <w:tcPr>
            <w:tcW w:w="1320" w:type="dxa"/>
            <w:vAlign w:val="bottom"/>
          </w:tcPr>
          <w:p>
            <w:pPr>
              <w:ind w:left="20"/>
              <w:spacing w:after="0"/>
              <w:rPr>
                <w:sz w:val="20"/>
                <w:szCs w:val="20"/>
                <w:color w:val="auto"/>
              </w:rPr>
            </w:pPr>
            <w:r>
              <w:rPr>
                <w:rFonts w:ascii="Arial" w:cs="Arial" w:eastAsia="Arial" w:hAnsi="Arial"/>
                <w:sz w:val="14"/>
                <w:szCs w:val="14"/>
                <w:color w:val="auto"/>
              </w:rPr>
              <w:t>KSTW-TV</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ind w:left="880"/>
              <w:spacing w:after="0"/>
              <w:rPr>
                <w:sz w:val="20"/>
                <w:szCs w:val="20"/>
                <w:color w:val="auto"/>
              </w:rPr>
            </w:pPr>
            <w:r>
              <w:rPr>
                <w:rFonts w:ascii="Arial" w:cs="Arial" w:eastAsia="Arial" w:hAnsi="Arial"/>
                <w:sz w:val="14"/>
                <w:szCs w:val="14"/>
                <w:color w:val="auto"/>
              </w:rPr>
              <w:t>seattle.cbslocal.com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Detroit, MI (#14)</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WKBD</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ind w:left="880"/>
              <w:spacing w:after="0"/>
              <w:rPr>
                <w:sz w:val="20"/>
                <w:szCs w:val="20"/>
                <w:color w:val="auto"/>
              </w:rPr>
            </w:pPr>
            <w:r>
              <w:rPr>
                <w:rFonts w:ascii="Arial" w:cs="Arial" w:eastAsia="Arial" w:hAnsi="Arial"/>
                <w:sz w:val="14"/>
                <w:szCs w:val="14"/>
                <w:color w:val="auto"/>
              </w:rPr>
              <w:t>detroit.cbslocal.com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WWJ</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Minneapolis, MN (#15)</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WCCO</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minnesota.cbslocal.com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KCCW</w:t>
            </w:r>
            <w:r>
              <w:rPr>
                <w:rFonts w:ascii="MS PGothic" w:cs="MS PGothic" w:eastAsia="MS PGothic" w:hAnsi="MS PGothic"/>
                <w:sz w:val="14"/>
                <w:szCs w:val="14"/>
                <w:color w:val="auto"/>
              </w:rPr>
              <w:t>‑</w:t>
            </w:r>
            <w:r>
              <w:rPr>
                <w:rFonts w:ascii="Arial" w:cs="Arial" w:eastAsia="Arial" w:hAnsi="Arial"/>
                <w:sz w:val="14"/>
                <w:szCs w:val="14"/>
                <w:color w:val="auto"/>
              </w:rPr>
              <w:t>TV</w:t>
            </w:r>
            <w:r>
              <w:rPr>
                <w:rFonts w:ascii="Arial" w:cs="Arial" w:eastAsia="Arial" w:hAnsi="Arial"/>
                <w:sz w:val="8"/>
                <w:szCs w:val="8"/>
                <w:color w:val="auto"/>
              </w:rPr>
              <w:t>(3)</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Miami-Ft. Lauderdale, FL (#16)</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WFOR</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miami.cbslocal.com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WBFS</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MyNetworkTV</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Denver, CO (#17)</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KCNC</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denver.cbslocal.com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Sacramento, CA (#20)</w:t>
            </w:r>
          </w:p>
        </w:tc>
        <w:tc>
          <w:tcPr>
            <w:tcW w:w="1320" w:type="dxa"/>
            <w:vAlign w:val="bottom"/>
          </w:tcPr>
          <w:p>
            <w:pPr>
              <w:ind w:left="20"/>
              <w:spacing w:after="0"/>
              <w:rPr>
                <w:sz w:val="20"/>
                <w:szCs w:val="20"/>
                <w:color w:val="auto"/>
              </w:rPr>
            </w:pPr>
            <w:r>
              <w:rPr>
                <w:rFonts w:ascii="Arial" w:cs="Arial" w:eastAsia="Arial" w:hAnsi="Arial"/>
                <w:sz w:val="14"/>
                <w:szCs w:val="14"/>
                <w:color w:val="auto"/>
              </w:rPr>
              <w:t>KOVR-TV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sacramento.cbslocal.com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KMAX-TV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Pittsburgh, PA (#24)</w:t>
            </w:r>
          </w:p>
        </w:tc>
        <w:tc>
          <w:tcPr>
            <w:tcW w:w="1320" w:type="dxa"/>
            <w:vAlign w:val="bottom"/>
          </w:tcPr>
          <w:p>
            <w:pPr>
              <w:ind w:left="20"/>
              <w:spacing w:after="0"/>
              <w:rPr>
                <w:sz w:val="20"/>
                <w:szCs w:val="20"/>
                <w:color w:val="auto"/>
              </w:rPr>
            </w:pPr>
            <w:r>
              <w:rPr>
                <w:rFonts w:ascii="Arial" w:cs="Arial" w:eastAsia="Arial" w:hAnsi="Arial"/>
                <w:sz w:val="14"/>
                <w:szCs w:val="14"/>
                <w:color w:val="auto"/>
              </w:rPr>
              <w:t>KDKA-TV</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pittsburgh.cbslocal.com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WPCW-TV</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The CW</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Baltimore, MD (#26)</w:t>
            </w:r>
          </w:p>
        </w:tc>
        <w:tc>
          <w:tcPr>
            <w:tcW w:w="1320" w:type="dxa"/>
            <w:vAlign w:val="bottom"/>
          </w:tcPr>
          <w:p>
            <w:pPr>
              <w:ind w:left="20"/>
              <w:spacing w:after="0" w:line="161" w:lineRule="exact"/>
              <w:rPr>
                <w:sz w:val="20"/>
                <w:szCs w:val="20"/>
                <w:color w:val="auto"/>
              </w:rPr>
            </w:pPr>
            <w:r>
              <w:rPr>
                <w:rFonts w:ascii="Arial" w:cs="Arial" w:eastAsia="Arial" w:hAnsi="Arial"/>
                <w:sz w:val="14"/>
                <w:szCs w:val="14"/>
                <w:color w:val="auto"/>
              </w:rPr>
              <w:t>WJZ</w:t>
            </w:r>
            <w:r>
              <w:rPr>
                <w:rFonts w:ascii="MS PGothic" w:cs="MS PGothic" w:eastAsia="MS PGothic" w:hAnsi="MS PGothic"/>
                <w:sz w:val="14"/>
                <w:szCs w:val="14"/>
                <w:color w:val="auto"/>
              </w:rPr>
              <w:t>‑</w:t>
            </w:r>
            <w:r>
              <w:rPr>
                <w:rFonts w:ascii="Arial" w:cs="Arial" w:eastAsia="Arial" w:hAnsi="Arial"/>
                <w:sz w:val="14"/>
                <w:szCs w:val="14"/>
                <w:color w:val="auto"/>
              </w:rPr>
              <w:t>TV</w:t>
            </w:r>
          </w:p>
        </w:tc>
        <w:tc>
          <w:tcPr>
            <w:tcW w:w="1200" w:type="dxa"/>
            <w:vAlign w:val="bottom"/>
          </w:tcPr>
          <w:p>
            <w:pPr>
              <w:ind w:left="540"/>
              <w:spacing w:after="0"/>
              <w:rPr>
                <w:sz w:val="20"/>
                <w:szCs w:val="20"/>
                <w:color w:val="auto"/>
              </w:rPr>
            </w:pPr>
            <w:r>
              <w:rPr>
                <w:rFonts w:ascii="Arial" w:cs="Arial" w:eastAsia="Arial" w:hAnsi="Arial"/>
                <w:sz w:val="14"/>
                <w:szCs w:val="14"/>
                <w:color w:val="auto"/>
              </w:rPr>
              <w:t>VHF</w:t>
            </w:r>
          </w:p>
        </w:tc>
        <w:tc>
          <w:tcPr>
            <w:tcW w:w="2420" w:type="dxa"/>
            <w:vAlign w:val="bottom"/>
          </w:tcPr>
          <w:p>
            <w:pPr>
              <w:ind w:left="340"/>
              <w:spacing w:after="0"/>
              <w:rPr>
                <w:sz w:val="20"/>
                <w:szCs w:val="20"/>
                <w:color w:val="auto"/>
              </w:rPr>
            </w:pPr>
            <w:r>
              <w:rPr>
                <w:rFonts w:ascii="Arial" w:cs="Arial" w:eastAsia="Arial" w:hAnsi="Arial"/>
                <w:sz w:val="14"/>
                <w:szCs w:val="14"/>
                <w:color w:val="auto"/>
              </w:rPr>
              <w:t>CBS</w:t>
            </w:r>
          </w:p>
        </w:tc>
        <w:tc>
          <w:tcPr>
            <w:tcW w:w="3580" w:type="dxa"/>
            <w:vAlign w:val="bottom"/>
          </w:tcPr>
          <w:p>
            <w:pPr>
              <w:ind w:left="880"/>
              <w:spacing w:after="0"/>
              <w:rPr>
                <w:sz w:val="20"/>
                <w:szCs w:val="20"/>
                <w:color w:val="auto"/>
              </w:rPr>
            </w:pPr>
            <w:r>
              <w:rPr>
                <w:rFonts w:ascii="Arial" w:cs="Arial" w:eastAsia="Arial" w:hAnsi="Arial"/>
                <w:sz w:val="14"/>
                <w:szCs w:val="14"/>
                <w:color w:val="auto"/>
              </w:rPr>
              <w:t>baltimore.cbslocal.com</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Indianapolis, IN (#28)</w:t>
            </w:r>
          </w:p>
        </w:tc>
        <w:tc>
          <w:tcPr>
            <w:tcW w:w="1320" w:type="dxa"/>
            <w:vAlign w:val="bottom"/>
          </w:tcPr>
          <w:p>
            <w:pPr>
              <w:ind w:left="20"/>
              <w:spacing w:after="0"/>
              <w:rPr>
                <w:sz w:val="20"/>
                <w:szCs w:val="20"/>
                <w:color w:val="auto"/>
              </w:rPr>
            </w:pPr>
            <w:r>
              <w:rPr>
                <w:rFonts w:ascii="Arial" w:cs="Arial" w:eastAsia="Arial" w:hAnsi="Arial"/>
                <w:sz w:val="14"/>
                <w:szCs w:val="14"/>
                <w:color w:val="auto"/>
              </w:rPr>
              <w:t>WBXI-CA</w:t>
            </w:r>
            <w:r>
              <w:rPr>
                <w:rFonts w:ascii="Arial" w:cs="Arial" w:eastAsia="Arial" w:hAnsi="Arial"/>
                <w:sz w:val="8"/>
                <w:szCs w:val="8"/>
                <w:color w:val="auto"/>
              </w:rPr>
              <w:t>(4)</w:t>
            </w:r>
          </w:p>
        </w:tc>
        <w:tc>
          <w:tcPr>
            <w:tcW w:w="1200" w:type="dxa"/>
            <w:vAlign w:val="bottom"/>
          </w:tcPr>
          <w:p>
            <w:pPr>
              <w:ind w:left="540"/>
              <w:spacing w:after="0"/>
              <w:rPr>
                <w:sz w:val="20"/>
                <w:szCs w:val="20"/>
                <w:color w:val="auto"/>
              </w:rPr>
            </w:pPr>
            <w:r>
              <w:rPr>
                <w:rFonts w:ascii="Arial" w:cs="Arial" w:eastAsia="Arial" w:hAnsi="Arial"/>
                <w:sz w:val="14"/>
                <w:szCs w:val="14"/>
                <w:color w:val="auto"/>
              </w:rPr>
              <w:t>UHF</w:t>
            </w:r>
          </w:p>
        </w:tc>
        <w:tc>
          <w:tcPr>
            <w:tcW w:w="2420" w:type="dxa"/>
            <w:vAlign w:val="bottom"/>
          </w:tcPr>
          <w:p>
            <w:pPr>
              <w:ind w:left="340"/>
              <w:spacing w:after="0"/>
              <w:rPr>
                <w:sz w:val="20"/>
                <w:szCs w:val="20"/>
                <w:color w:val="auto"/>
              </w:rPr>
            </w:pPr>
            <w:r>
              <w:rPr>
                <w:rFonts w:ascii="Arial" w:cs="Arial" w:eastAsia="Arial" w:hAnsi="Arial"/>
                <w:sz w:val="14"/>
                <w:szCs w:val="14"/>
                <w:color w:val="auto"/>
              </w:rPr>
              <w:t>Independent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741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Television market (DMA) rankings based on Nielsen Media Research Local Market Universe Estimates, September 2018.</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television stations’ Websites, which are operated by the CBS Local Digital Media Group, promote the stations’ programming and provide news, traffic, weather, entertainment and sports information, among other services for their local communities.</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KCCW-TV is operated as a satellite station of WCCO-TV.</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WBXI-CA is a Class A low power television station. Class A low power television stations do not implicate the FCC’s ownership rules.</w:t>
      </w:r>
    </w:p>
    <w:p>
      <w:pPr>
        <w:sectPr>
          <w:pgSz w:w="11900" w:h="16838" w:orient="portrait"/>
          <w:cols w:equalWidth="0" w:num="1">
            <w:col w:w="11420"/>
          </w:cols>
          <w:pgMar w:left="240" w:top="366" w:right="239" w:bottom="921"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I-11</w:t>
      </w:r>
    </w:p>
    <w:p>
      <w:pPr>
        <w:sectPr>
          <w:pgSz w:w="11900" w:h="16838" w:orient="portrait"/>
          <w:cols w:equalWidth="0" w:num="1">
            <w:col w:w="11420"/>
          </w:cols>
          <w:pgMar w:left="240" w:top="366" w:right="239" w:bottom="921"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REGULATION</w:t>
      </w:r>
    </w:p>
    <w:p>
      <w:pPr>
        <w:spacing w:after="0" w:line="2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The Company’s businesses are subject to and/or affected by regulations of federal, state and local governmental authorities in the U.S. and of national, regional and local authorities in foreign countries. The rules, regulations, policies and procedures affecting these businesses are subject to change. The summaries below should be read in conjunction with the texts of the statutes, rules and regulations described herein. The descriptions do not describe all present and proposed statutes, rules and regulations affecting the Company’s businesses.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Intellectual Property and Privacy</w:t>
      </w:r>
    </w:p>
    <w:p>
      <w:pPr>
        <w:spacing w:after="0" w:line="2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Laws affecting intellectual property are of significant importance to the Company. (See “Intellectual Property” on page I-15 for more information on the Company’s brands).</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i w:val="1"/>
          <w:iCs w:val="1"/>
          <w:color w:val="auto"/>
        </w:rPr>
        <w:t xml:space="preserve">Unauthorized Distribution of Copyrighted Content and Piracy. </w:t>
      </w:r>
      <w:r>
        <w:rPr>
          <w:rFonts w:ascii="Arial" w:cs="Arial" w:eastAsia="Arial" w:hAnsi="Arial"/>
          <w:sz w:val="18"/>
          <w:szCs w:val="18"/>
          <w:color w:val="auto"/>
        </w:rPr>
        <w:t>Unauthorized distribution, reproduction, exhibition or other exploitation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copyrighted material in television programming, motion pictures, video clips and books, such as through unauthorized stored copies and live streaming, internet downloads, file “sharing” and peer-to-peer services, is a threat to copyright owners’ ability to protect and exploit their property. The Company’s digital delivery services and commercial arrangements with digital content providers help reduce the risks associated with unauthorized access to its content. The Company is also engaged in enforcement and other activities to protect its intellectual property and participates in various litigation, public relations programs and legislative activity. These business strategies and enforcement efforts are dependent upon laws and practices that protect the rights of creators and authorized distributors of content.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 xml:space="preserve">Laws and Content. </w:t>
      </w:r>
      <w:r>
        <w:rPr>
          <w:rFonts w:ascii="Arial" w:cs="Arial" w:eastAsia="Arial" w:hAnsi="Arial"/>
          <w:sz w:val="19"/>
          <w:szCs w:val="19"/>
          <w:color w:val="auto"/>
        </w:rPr>
        <w:t>The Company derives revenues from the creation and exploitation of creative content, for which the copyright law,</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in the U.S. and other laws in other jurisdictions, grants certain exclusive rights, including to reproduce, publicly perform and distribute such content. The scope and duration of the protection afforded to the Company’s intellectual property depends on the type of property and the laws and regulations of the relevant jurisdiction. Any changes to copyright laws or related regulations that enable the Company to control the distribution of its content, including through court decisions, which diminish the scope of a copyright owner’s exclusive rights could impact the Company. Proposed legal amendments, such as to the law governing territorial exclusivity of the distribution of content in Europe, could adversely impact the Company’s ability to control and distribute its content.</w:t>
      </w:r>
    </w:p>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 xml:space="preserve">Privacy. </w:t>
      </w:r>
      <w:r>
        <w:rPr>
          <w:rFonts w:ascii="Arial" w:cs="Arial" w:eastAsia="Arial" w:hAnsi="Arial"/>
          <w:sz w:val="19"/>
          <w:szCs w:val="19"/>
          <w:color w:val="auto"/>
        </w:rPr>
        <w:t>The U.S. and international laws and regulations governing the collection, use and transfer of consumer information are complex</w:t>
      </w:r>
      <w:r>
        <w:rPr>
          <w:rFonts w:ascii="Arial" w:cs="Arial" w:eastAsia="Arial" w:hAnsi="Arial"/>
          <w:sz w:val="19"/>
          <w:szCs w:val="19"/>
          <w:i w:val="1"/>
          <w:iCs w:val="1"/>
          <w:color w:val="auto"/>
        </w:rPr>
        <w:t xml:space="preserve"> </w:t>
      </w:r>
      <w:r>
        <w:rPr>
          <w:rFonts w:ascii="Arial" w:cs="Arial" w:eastAsia="Arial" w:hAnsi="Arial"/>
          <w:sz w:val="19"/>
          <w:szCs w:val="19"/>
          <w:color w:val="auto"/>
        </w:rPr>
        <w:t>and rapidly evolving, particularly as they relate to the Company’s interactive businesses. The Company monitors and considers these laws and regulations in the design and operation of its Websites, digital content services and legal and regulatory compliance programs. Many of these laws and regulations are subject to change and uncertain interpretation and could result in claims, changes to business practices, financial penalties for noncompliance, or otherwise harm the Company's business. For example, the European Union’s (“EU”) General Data Protection Regulation (“GDPR”) went into effect in May 2018 and applies to activities conducted from the Company's establishments in the EU or related to products and services that the Company offers to EU users. The GDPR creates new data protection compliance obligations and significantly increases financial penalties for noncompliance. Compliance with evolving U.S. and international consumer privacy and data protection laws requires additional resources and efforts by the Company.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Broadcasting</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Television broadcasting is subject to the jurisdiction of the FCC pursuant to the Communications Act. The Communications Act</w:t>
      </w:r>
      <w:r>
        <w:rPr>
          <w:rFonts w:ascii="Arial" w:cs="Arial" w:eastAsia="Arial" w:hAnsi="Arial"/>
          <w:sz w:val="20"/>
          <w:szCs w:val="20"/>
          <w:i w:val="1"/>
          <w:iCs w:val="1"/>
          <w:color w:val="auto"/>
        </w:rPr>
        <w:t xml:space="preserve"> </w:t>
      </w:r>
      <w:r>
        <w:rPr>
          <w:rFonts w:ascii="Arial" w:cs="Arial" w:eastAsia="Arial" w:hAnsi="Arial"/>
          <w:sz w:val="20"/>
          <w:szCs w:val="20"/>
          <w:color w:val="auto"/>
        </w:rPr>
        <w:t>empowers 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impose penalties for violation of its regulations, including monetary forfeitures, short-term renewal of licenses and, in egregious cases, license revocation or denial of license renewals.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420"/>
          </w:cols>
          <w:pgMar w:left="240" w:top="414" w:right="239" w:bottom="1440" w:gutter="0" w:footer="0" w:header="0"/>
        </w:sectPr>
      </w:pPr>
    </w:p>
    <w:bookmarkStart w:id="14" w:name="page15"/>
    <w:bookmarkEnd w:id="14"/>
    <w:p>
      <w:pPr>
        <w:jc w:val="both"/>
        <w:ind w:firstLine="324"/>
        <w:spacing w:after="0" w:line="260" w:lineRule="auto"/>
        <w:rPr>
          <w:sz w:val="20"/>
          <w:szCs w:val="20"/>
          <w:color w:val="auto"/>
        </w:rPr>
      </w:pPr>
      <w:r>
        <w:rPr>
          <w:rFonts w:ascii="Arial" w:cs="Arial" w:eastAsia="Arial" w:hAnsi="Arial"/>
          <w:sz w:val="20"/>
          <w:szCs w:val="20"/>
          <w:color w:val="auto"/>
        </w:rPr>
        <w:t>Under the Communications Act, the FCC also regulates certain aspects of the operation of MVPDs and certain other electronic media that compete with broadcast stations.</w:t>
      </w:r>
    </w:p>
    <w:p>
      <w:pPr>
        <w:spacing w:after="0" w:line="19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 xml:space="preserve">Indecency and Profanity Regulation. </w:t>
      </w:r>
      <w:r>
        <w:rPr>
          <w:rFonts w:ascii="Arial" w:cs="Arial" w:eastAsia="Arial" w:hAnsi="Arial"/>
          <w:sz w:val="20"/>
          <w:szCs w:val="20"/>
          <w:color w:val="auto"/>
        </w:rPr>
        <w:t>The FCC’s rules prohibit the broadcast of obscene material at any time and indecent or profane</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between the hours of 6 a.m. and 10 p.m. Broadcasters risk violating the prohibition against broadcasting indecent or profane material because the vagueness of the FCC’s indecency/profanity definition makes it difficult to apply, particularly with respect to spontaneous, live programming. The FCC’s maximum forfeiture penalty per station for broadcasting indecent or profane programming is approximately $407,000 per indecent or profane utterance, with a maximum forfeiture exposure of approximately $3.76 million for any continuing violation arising from a single act or failure to act. The Company has been involved in litigation and, from time to time, has received and may receive in the future letters of inquiry from the FCC prompted by complaints alleging that certain programming on its broadcast stations included indecent or profane material.</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 xml:space="preserve">License Renewals. </w:t>
      </w:r>
      <w:r>
        <w:rPr>
          <w:rFonts w:ascii="Arial" w:cs="Arial" w:eastAsia="Arial" w:hAnsi="Arial"/>
          <w:sz w:val="20"/>
          <w:szCs w:val="20"/>
          <w:color w:val="auto"/>
        </w:rPr>
        <w:t>Television broadcast licenses are typically granted for standard terms of eight years. The Communications Act requires</w:t>
      </w:r>
      <w:r>
        <w:rPr>
          <w:rFonts w:ascii="Arial" w:cs="Arial" w:eastAsia="Arial" w:hAnsi="Arial"/>
          <w:sz w:val="20"/>
          <w:szCs w:val="20"/>
          <w:i w:val="1"/>
          <w:iCs w:val="1"/>
          <w:color w:val="auto"/>
        </w:rPr>
        <w:t xml:space="preserve"> </w:t>
      </w:r>
      <w:r>
        <w:rPr>
          <w:rFonts w:ascii="Arial" w:cs="Arial" w:eastAsia="Arial" w:hAnsi="Arial"/>
          <w:sz w:val="20"/>
          <w:szCs w:val="20"/>
          <w:color w:val="auto"/>
        </w:rPr>
        <w:t>the FCC to renew a 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no pending renewal applications. A station remains authorized to operate while its license renewal application is pending.</w:t>
      </w:r>
    </w:p>
    <w:p>
      <w:pPr>
        <w:spacing w:after="0" w:line="1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License Assignments and Transfers of Licensee Control. </w:t>
      </w:r>
      <w:r>
        <w:rPr>
          <w:rFonts w:ascii="Arial" w:cs="Arial" w:eastAsia="Arial" w:hAnsi="Arial"/>
          <w:sz w:val="20"/>
          <w:szCs w:val="20"/>
          <w:color w:val="auto"/>
        </w:rPr>
        <w:t>The Communications Act requires prior FCC approval for the assignment of a</w:t>
      </w:r>
      <w:r>
        <w:rPr>
          <w:rFonts w:ascii="Arial" w:cs="Arial" w:eastAsia="Arial" w:hAnsi="Arial"/>
          <w:sz w:val="20"/>
          <w:szCs w:val="20"/>
          <w:i w:val="1"/>
          <w:iCs w:val="1"/>
          <w:color w:val="auto"/>
        </w:rPr>
        <w:t xml:space="preserve"> </w:t>
      </w:r>
      <w:r>
        <w:rPr>
          <w:rFonts w:ascii="Arial" w:cs="Arial" w:eastAsia="Arial" w:hAnsi="Arial"/>
          <w:sz w:val="20"/>
          <w:szCs w:val="20"/>
          <w:color w:val="auto"/>
        </w:rPr>
        <w:t>license or transfer of control of an FCC licensee. Third parties may oppose the Company’s applications to assign, acquire, or transfer control of broadcast licenses.</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Ownership Regulation. </w:t>
      </w:r>
      <w:r>
        <w:rPr>
          <w:rFonts w:ascii="Arial" w:cs="Arial" w:eastAsia="Arial" w:hAnsi="Arial"/>
          <w:sz w:val="20"/>
          <w:szCs w:val="20"/>
          <w:color w:val="auto"/>
        </w:rPr>
        <w:t>The Communications Act and FCC rules and regulations limit the ability of individuals and entities to have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official positions or ownership interests, known as “attributable” interests, above specific levels in broadcast stations. In seeking FCC approval for the acquisition of a broadcast station license, the acquiring person or entity must demonstrate that the acquisition complies with the FCC’s ownership rules or that a waiver of the rules is in the public interest.</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Below are descriptions of broadcast ownership rules that are subject to current FCC review. The FCC is reviewing its local television ownership and dual network rules through its most recent quadrennial review that commenced in November 2018 and is separately reviewing its television national audience reach rule.</w:t>
      </w:r>
    </w:p>
    <w:p>
      <w:pPr>
        <w:spacing w:after="0" w:line="200" w:lineRule="exact"/>
        <w:rPr>
          <w:sz w:val="20"/>
          <w:szCs w:val="20"/>
          <w:color w:val="auto"/>
        </w:rPr>
      </w:pPr>
    </w:p>
    <w:p>
      <w:pPr>
        <w:jc w:val="both"/>
        <w:ind w:left="660" w:firstLine="324"/>
        <w:spacing w:after="0" w:line="256" w:lineRule="auto"/>
        <w:rPr>
          <w:sz w:val="20"/>
          <w:szCs w:val="20"/>
          <w:color w:val="auto"/>
        </w:rPr>
      </w:pPr>
      <w:r>
        <w:rPr>
          <w:rFonts w:ascii="Arial" w:cs="Arial" w:eastAsia="Arial" w:hAnsi="Arial"/>
          <w:sz w:val="19"/>
          <w:szCs w:val="19"/>
          <w:i w:val="1"/>
          <w:iCs w:val="1"/>
          <w:color w:val="auto"/>
        </w:rPr>
        <w:t xml:space="preserve">Local Television Ownership. </w:t>
      </w:r>
      <w:r>
        <w:rPr>
          <w:rFonts w:ascii="Arial" w:cs="Arial" w:eastAsia="Arial" w:hAnsi="Arial"/>
          <w:sz w:val="19"/>
          <w:szCs w:val="19"/>
          <w:color w:val="auto"/>
        </w:rPr>
        <w:t>Under the FCC’s local television ownership rule, one party may own up to two television stations in</w:t>
      </w:r>
      <w:r>
        <w:rPr>
          <w:rFonts w:ascii="Arial" w:cs="Arial" w:eastAsia="Arial" w:hAnsi="Arial"/>
          <w:sz w:val="19"/>
          <w:szCs w:val="19"/>
          <w:i w:val="1"/>
          <w:iCs w:val="1"/>
          <w:color w:val="auto"/>
        </w:rPr>
        <w:t xml:space="preserve"> </w:t>
      </w:r>
      <w:r>
        <w:rPr>
          <w:rFonts w:ascii="Arial" w:cs="Arial" w:eastAsia="Arial" w:hAnsi="Arial"/>
          <w:sz w:val="19"/>
          <w:szCs w:val="19"/>
          <w:color w:val="auto"/>
        </w:rPr>
        <w:t>the same DMA, so long as at least one of the two stations is not among the top-four ranked stations in the market based on audience share as of the date an application for approval of an acquisition is filed with the FCC. A party may also own two television stations in the same DMA if the broadcast service contours of the stations do not overlap. In addition, the FCC will consider whether to permit acquisitions of a second top-four ranked television station in the same market on a case-by-case basis if doing so would serve the public interest, convenience and necessity. “Satellite” television stations that simply rebroadcast the programming of a “parent” television station are exempt from the local television ownership rule if located in the same DMA as the “parent” station. Low power television stations, which are authorized by the FCC to operate at significantly lower power levels than full-service stations, are exempt from FCC ownership rules.</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w:t>
      </w:r>
    </w:p>
    <w:p>
      <w:pPr>
        <w:spacing w:after="0" w:line="252" w:lineRule="exact"/>
        <w:rPr>
          <w:sz w:val="20"/>
          <w:szCs w:val="20"/>
          <w:color w:val="auto"/>
        </w:rPr>
      </w:pPr>
    </w:p>
    <w:p>
      <w:pPr>
        <w:jc w:val="both"/>
        <w:ind w:left="660" w:firstLine="324"/>
        <w:spacing w:after="0" w:line="246" w:lineRule="auto"/>
        <w:rPr>
          <w:sz w:val="20"/>
          <w:szCs w:val="20"/>
          <w:color w:val="auto"/>
        </w:rPr>
      </w:pPr>
      <w:r>
        <w:rPr>
          <w:rFonts w:ascii="Arial" w:cs="Arial" w:eastAsia="Arial" w:hAnsi="Arial"/>
          <w:sz w:val="20"/>
          <w:szCs w:val="20"/>
          <w:i w:val="1"/>
          <w:iCs w:val="1"/>
          <w:color w:val="auto"/>
        </w:rPr>
        <w:t xml:space="preserve">Television National Audience Reach Limitation. </w:t>
      </w:r>
      <w:r>
        <w:rPr>
          <w:rFonts w:ascii="Arial" w:cs="Arial" w:eastAsia="Arial" w:hAnsi="Arial"/>
          <w:sz w:val="20"/>
          <w:szCs w:val="20"/>
          <w:color w:val="auto"/>
        </w:rPr>
        <w:t>Under the national television ownership rule, one party may not own television</w:t>
      </w:r>
      <w:r>
        <w:rPr>
          <w:rFonts w:ascii="Arial" w:cs="Arial" w:eastAsia="Arial" w:hAnsi="Arial"/>
          <w:sz w:val="20"/>
          <w:szCs w:val="20"/>
          <w:i w:val="1"/>
          <w:iCs w:val="1"/>
          <w:color w:val="auto"/>
        </w:rPr>
        <w:t xml:space="preserve"> </w:t>
      </w:r>
      <w:r>
        <w:rPr>
          <w:rFonts w:ascii="Arial" w:cs="Arial" w:eastAsia="Arial" w:hAnsi="Arial"/>
          <w:sz w:val="20"/>
          <w:szCs w:val="20"/>
          <w:color w:val="auto"/>
        </w:rPr>
        <w:t>stations that reach more than 39% of all U.S. television households. In April 2017, the FCC reinstated the UHF discount, which was subsequently upheld by a federal court of appeals, pursuant to which a UHF television station is attributed with reaching only 50% of the television households in 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420"/>
          </w:cols>
          <w:pgMar w:left="240" w:top="366" w:right="239" w:bottom="1440" w:gutter="0" w:footer="0" w:header="0"/>
        </w:sectPr>
      </w:pPr>
    </w:p>
    <w:bookmarkStart w:id="15" w:name="page16"/>
    <w:bookmarkEnd w:id="15"/>
    <w:p>
      <w:pPr>
        <w:jc w:val="both"/>
        <w:ind w:left="660"/>
        <w:spacing w:after="0" w:line="291" w:lineRule="auto"/>
        <w:rPr>
          <w:sz w:val="20"/>
          <w:szCs w:val="20"/>
          <w:color w:val="auto"/>
        </w:rPr>
      </w:pPr>
      <w:r>
        <w:rPr>
          <w:rFonts w:ascii="Arial" w:cs="Arial" w:eastAsia="Arial" w:hAnsi="Arial"/>
          <w:sz w:val="18"/>
          <w:szCs w:val="18"/>
          <w:color w:val="auto"/>
        </w:rPr>
        <w:t>market. In December 2017, the FCC issued a Notice of Proposed Rulemaking pursuant to which it will consider modifying, retaining or eliminating the 39% national television audience reach limitation and/or the UHF discount. The Company currently owns and operates television stations that reach approximately 38% of all U.S. television households not taking into account the UHF discount.</w:t>
      </w:r>
    </w:p>
    <w:p>
      <w:pPr>
        <w:spacing w:after="0" w:line="152" w:lineRule="exact"/>
        <w:rPr>
          <w:sz w:val="20"/>
          <w:szCs w:val="20"/>
          <w:color w:val="auto"/>
        </w:rPr>
      </w:pPr>
    </w:p>
    <w:p>
      <w:pPr>
        <w:jc w:val="both"/>
        <w:ind w:firstLine="324"/>
        <w:spacing w:after="0" w:line="231" w:lineRule="exact"/>
        <w:rPr>
          <w:sz w:val="20"/>
          <w:szCs w:val="20"/>
          <w:color w:val="auto"/>
        </w:rPr>
      </w:pPr>
      <w:r>
        <w:rPr>
          <w:rFonts w:ascii="Arial" w:cs="Arial" w:eastAsia="Arial" w:hAnsi="Arial"/>
          <w:sz w:val="18"/>
          <w:szCs w:val="18"/>
          <w:i w:val="1"/>
          <w:iCs w:val="1"/>
          <w:color w:val="auto"/>
        </w:rPr>
        <w:t xml:space="preserve">Attribution of Ownership. </w:t>
      </w:r>
      <w:r>
        <w:rPr>
          <w:rFonts w:ascii="Arial" w:cs="Arial" w:eastAsia="Arial" w:hAnsi="Arial"/>
          <w:sz w:val="18"/>
          <w:szCs w:val="18"/>
          <w:color w:val="auto"/>
        </w:rPr>
        <w:t>Under the FCC’s attribution rules, a direct or indirect purchaser of various types of securities of an entity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holds FCC licenses, such as the Company,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the interest holder is properly “insulated” from management activities; and any position as an officer or director of a licensee or of its direct or indirect parent. The FCC is reviewing its single majority voting stockholder attribution exemption, which renders as non</w:t>
      </w:r>
      <w:r>
        <w:rPr>
          <w:rFonts w:ascii="MS PGothic" w:cs="MS PGothic" w:eastAsia="MS PGothic" w:hAnsi="MS PGothic"/>
          <w:sz w:val="18"/>
          <w:szCs w:val="18"/>
          <w:color w:val="auto"/>
        </w:rPr>
        <w:t>‑</w:t>
      </w:r>
      <w:r>
        <w:rPr>
          <w:rFonts w:ascii="Arial" w:cs="Arial" w:eastAsia="Arial" w:hAnsi="Arial"/>
          <w:sz w:val="18"/>
          <w:szCs w:val="18"/>
          <w:color w:val="auto"/>
        </w:rPr>
        <w:t>attributable voting interests up to 49% in a licensee controlled by a single majority voting stockholder. Because NAI holds an attributable interest in both the Company and Viacom Inc., the business of each company is attributable to the other for certain FCC purposes, which may have the effect of limiting and affecting the activities, strategic business alternatives and business terms available to the Company. (See Item 1A. “Risk Factors-The businesses of the Company and Viacom Inc. will be attributable to the other company for certain regulatory purposes, which may limit business opportunities”).</w:t>
      </w:r>
    </w:p>
    <w:p>
      <w:pPr>
        <w:spacing w:after="0" w:line="207" w:lineRule="exact"/>
        <w:rPr>
          <w:sz w:val="20"/>
          <w:szCs w:val="20"/>
          <w:color w:val="auto"/>
        </w:rPr>
      </w:pPr>
    </w:p>
    <w:p>
      <w:pPr>
        <w:jc w:val="both"/>
        <w:ind w:left="660" w:firstLine="324"/>
        <w:spacing w:after="0" w:line="342" w:lineRule="auto"/>
        <w:rPr>
          <w:sz w:val="20"/>
          <w:szCs w:val="20"/>
          <w:color w:val="auto"/>
        </w:rPr>
      </w:pPr>
      <w:r>
        <w:rPr>
          <w:rFonts w:ascii="Arial" w:cs="Arial" w:eastAsia="Arial" w:hAnsi="Arial"/>
          <w:sz w:val="16"/>
          <w:szCs w:val="16"/>
          <w:i w:val="1"/>
          <w:iCs w:val="1"/>
          <w:color w:val="auto"/>
        </w:rPr>
        <w:t xml:space="preserve">Alien Ownership. </w:t>
      </w:r>
      <w:r>
        <w:rPr>
          <w:rFonts w:ascii="Arial" w:cs="Arial" w:eastAsia="Arial" w:hAnsi="Arial"/>
          <w:sz w:val="16"/>
          <w:szCs w:val="16"/>
          <w:color w:val="auto"/>
        </w:rPr>
        <w:t>In general, the Communications Act prohibits foreign individuals or entities from owning more than 25%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or equity of the Company. FCC approval is required to exceed the 25% threshold. The FCC has recently approved foreign ownership levels of up to 100% in certain instances, subsequent to its review and approval of specific, named foreign individuals.</w:t>
      </w:r>
    </w:p>
    <w:p>
      <w:pPr>
        <w:spacing w:after="0" w:line="13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 xml:space="preserve">Cable and Satellite Carriage of Television Broadcast Stations. </w:t>
      </w:r>
      <w:r>
        <w:rPr>
          <w:rFonts w:ascii="Arial" w:cs="Arial" w:eastAsia="Arial" w:hAnsi="Arial"/>
          <w:sz w:val="20"/>
          <w:szCs w:val="20"/>
          <w:color w:val="auto"/>
        </w:rPr>
        <w:t>The 1992 Cable Act and implementing FCC regulations govern the</w:t>
      </w:r>
      <w:r>
        <w:rPr>
          <w:rFonts w:ascii="Arial" w:cs="Arial" w:eastAsia="Arial" w:hAnsi="Arial"/>
          <w:sz w:val="20"/>
          <w:szCs w:val="20"/>
          <w:i w:val="1"/>
          <w:iCs w:val="1"/>
          <w:color w:val="auto"/>
        </w:rPr>
        <w:t xml:space="preserve"> </w:t>
      </w:r>
      <w:r>
        <w:rPr>
          <w:rFonts w:ascii="Arial" w:cs="Arial" w:eastAsia="Arial" w:hAnsi="Arial"/>
          <w:sz w:val="20"/>
          <w:szCs w:val="20"/>
          <w:color w:val="auto"/>
        </w:rPr>
        <w:t>retransmission of commercial television stations by cable television operators. Every three years, a television station must elect, with respect to cable systems within its DMA, either “must carry” status, pursuant to which the cable system’s carriage of the station is mandatory, or “retransmission consent,” pursuant to which the station gives up its right to mandatory carriage and secures instead the right to negotiate consideration in return for consenting to carriage. Since 2006, the Company has implemented a systematic process of seeking monetary consideration for its retransmission consent.</w:t>
      </w:r>
    </w:p>
    <w:p>
      <w:pPr>
        <w:spacing w:after="0" w:line="19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Similarly, federal legislation and FCC rules govern the retransmission of broadcast television stations by DBS operators. DBS operators are required to carry the signals of all local television broadcast stations requesting carriage in local markets in which the DBS operator carries at least one signal pursuant to the statutory local-to-local compulsory copyright license. Every three years, each television station in such markets must elect “must carry” or “retransmission consent” status, in a manner similar to that described above with respect to cable systems. The Company’s owned and operated television stations are being transmitted into their local markets by the two major DBS operators pursuant to retransmission consent agreements.</w:t>
      </w:r>
    </w:p>
    <w:p>
      <w:pPr>
        <w:spacing w:after="0" w:line="19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i w:val="1"/>
          <w:iCs w:val="1"/>
          <w:color w:val="auto"/>
        </w:rPr>
        <w:t xml:space="preserve">Children’s Television Programming. </w:t>
      </w:r>
      <w:r>
        <w:rPr>
          <w:rFonts w:ascii="Arial" w:cs="Arial" w:eastAsia="Arial" w:hAnsi="Arial"/>
          <w:sz w:val="18"/>
          <w:szCs w:val="18"/>
          <w:color w:val="auto"/>
        </w:rPr>
        <w:t>FCC rules require television stations to broadcast on their main program stream three hours per week</w:t>
      </w:r>
      <w:r>
        <w:rPr>
          <w:rFonts w:ascii="Arial" w:cs="Arial" w:eastAsia="Arial" w:hAnsi="Arial"/>
          <w:sz w:val="18"/>
          <w:szCs w:val="18"/>
          <w:i w:val="1"/>
          <w:iCs w:val="1"/>
          <w:color w:val="auto"/>
        </w:rPr>
        <w:t xml:space="preserve"> </w:t>
      </w:r>
      <w:r>
        <w:rPr>
          <w:rFonts w:ascii="Arial" w:cs="Arial" w:eastAsia="Arial" w:hAnsi="Arial"/>
          <w:sz w:val="18"/>
          <w:szCs w:val="18"/>
          <w:color w:val="auto"/>
        </w:rPr>
        <w:t>of educational and informational programming (“E/I programming”) designed for children 16 years of age and younger. FCC rules also impose E/I programming requirements on each additional digital multicast program stream transmitted by television stations, with the requirement increasing in proportion to the additional hours of free programming offered on multicast channels. These rules also limit the display during children’s programming of internet addresses of Websites that contain or link to commercial material or that use program characters to sell products. Regulations also limit the amount and content of commercial matter that may be shown on television stations during programming designed for children 12 years of age and younger. The FCC is considering relaxing certain of the E/I programming rules.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420"/>
          </w:cols>
          <w:pgMar w:left="240" w:top="366" w:right="239" w:bottom="1440" w:gutter="0" w:footer="0" w:header="0"/>
        </w:sectPr>
      </w:pPr>
    </w:p>
    <w:bookmarkStart w:id="16" w:name="page17"/>
    <w:bookmarkEnd w:id="16"/>
    <w:p>
      <w:pPr>
        <w:jc w:val="both"/>
        <w:ind w:firstLine="324"/>
        <w:spacing w:after="0" w:line="276" w:lineRule="auto"/>
        <w:rPr>
          <w:sz w:val="20"/>
          <w:szCs w:val="20"/>
          <w:color w:val="auto"/>
        </w:rPr>
      </w:pPr>
      <w:r>
        <w:rPr>
          <w:rFonts w:ascii="Arial" w:cs="Arial" w:eastAsia="Arial" w:hAnsi="Arial"/>
          <w:sz w:val="18"/>
          <w:szCs w:val="18"/>
          <w:i w:val="1"/>
          <w:iCs w:val="1"/>
          <w:color w:val="auto"/>
        </w:rPr>
        <w:t xml:space="preserve">Program Access. </w:t>
      </w:r>
      <w:r>
        <w:rPr>
          <w:rFonts w:ascii="Arial" w:cs="Arial" w:eastAsia="Arial" w:hAnsi="Arial"/>
          <w:sz w:val="18"/>
          <w:szCs w:val="18"/>
          <w:color w:val="auto"/>
        </w:rPr>
        <w:t>Under the Communications Act, vertically integrated cable programmers (more fully described below)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offering different prices, terms or conditions for programming to competing MVPDs unless the differential is justified by certain permissible factors set forth in the FCC’s regulations. The FCC also assesses the competitive impact of exclusive distribution arrangements between vertically integrated cable programmers and cable operators on a complaint-based process, using a case-by-case review. A cable programmer is considered to be vertically integrated under the FCC’s program access attribution rules if it owns or is owned in whole or in part by either a cable operator or a telephone company that provides video programming directly to subscribers.</w:t>
      </w:r>
    </w:p>
    <w:p>
      <w:pPr>
        <w:spacing w:after="0" w:line="16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Company’s wholly owned program services are not currently subject to the program access rules. The Company’s flexibility to negotiate the most favorable terms available for carriage of these services and its ability to offer cable operators exclusive programming could be adversely affected if it were to become subject to the program access rules. Because the Company and Viacom Inc. are under common control by NAI, Viacom Inc.’s businesses could be attributable to the Company for purposes of the FCC’s program access rules. (See Item 1A. “Risk Factors-The businesses of the Company and Viacom Inc. will be attributable to the other company for certain regulatory purposes, which may limit business opportunities”).</w:t>
      </w:r>
    </w:p>
    <w:p>
      <w:pPr>
        <w:spacing w:after="0" w:line="21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National Broadband Plan/Post-Auction Repack</w:t>
      </w:r>
      <w:r>
        <w:rPr>
          <w:rFonts w:ascii="Arial" w:cs="Arial" w:eastAsia="Arial" w:hAnsi="Arial"/>
          <w:sz w:val="19"/>
          <w:szCs w:val="19"/>
          <w:color w:val="auto"/>
        </w:rPr>
        <w:t>. In 2017, the FCC concluded a series of voluntary auctions to repurpose certain spectrum</w:t>
      </w:r>
      <w:r>
        <w:rPr>
          <w:rFonts w:ascii="Arial" w:cs="Arial" w:eastAsia="Arial" w:hAnsi="Arial"/>
          <w:sz w:val="19"/>
          <w:szCs w:val="19"/>
          <w:i w:val="1"/>
          <w:iCs w:val="1"/>
          <w:color w:val="auto"/>
        </w:rPr>
        <w:t xml:space="preserve"> </w:t>
      </w:r>
      <w:r>
        <w:rPr>
          <w:rFonts w:ascii="Arial" w:cs="Arial" w:eastAsia="Arial" w:hAnsi="Arial"/>
          <w:sz w:val="19"/>
          <w:szCs w:val="19"/>
          <w:color w:val="auto"/>
        </w:rPr>
        <w:t>then utilized by broadcast television stations for use by wireless broadband services. The FCC has mandated that certain television stations that are continuing to operate subsequent to these auctions must change their channels as the FCC “repacks” the remaining spectrum dedicated to broadcast television use. Congress provided that the FCC will assist television stations in retaining their current coverage areas and established a fund to at least partially reimburse broadcasters for reasonable relocation expenses relating to the spectrum-repacking. Certain broadcast television stations, including some of those owned by the Company, are in the process of undertaking this repacking process and seeking reimbursement of associated costs.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Broadcast Transmission Standard</w:t>
      </w:r>
      <w:r>
        <w:rPr>
          <w:rFonts w:ascii="Arial" w:cs="Arial" w:eastAsia="Arial" w:hAnsi="Arial"/>
          <w:sz w:val="18"/>
          <w:szCs w:val="18"/>
          <w:color w:val="auto"/>
        </w:rPr>
        <w:t>. In November 2017, the FCC adopted rules to permit television broadcasters to voluntarily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“Next Generation” broadcast television transmission standard developed by the Advanced Television Systems Committee, Inc., also called “ATSC 3.0.” Those full-service television stations using the new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 In addition, consumers may be required to obtain new television sets or other equipment that are capable of receiving ATSC 3.0 broadcasts. The Company is participating in various ATSC 3.0 testing with other broadcasters, but it is too early to predict any impact of this technical standard on the Company’s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9"/>
          <w:szCs w:val="19"/>
          <w:color w:val="auto"/>
        </w:rPr>
        <w:t xml:space="preserve">The Company creates, owns, distributes and exploits under licenses its intellectual property worldwide. It is the Company’s practice to protect its products, including its television and motion picture products, characters, publications and other original and acquired works and audiovisual works made for digital exploitation. The following logos, trade names, trademarks and related trademark families are among those strongly identified with the product lines they represent and are significant assets of the Company: </w:t>
      </w:r>
      <w:r>
        <w:rPr>
          <w:rFonts w:ascii="Arial" w:cs="Arial" w:eastAsia="Arial" w:hAnsi="Arial"/>
          <w:sz w:val="19"/>
          <w:szCs w:val="19"/>
          <w:i w:val="1"/>
          <w:iCs w:val="1"/>
          <w:color w:val="auto"/>
        </w:rPr>
        <w:t>CBS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CBS Entertainment</w:t>
      </w:r>
      <w:r>
        <w:rPr>
          <w:rFonts w:ascii="Arial" w:cs="Arial" w:eastAsia="Arial" w:hAnsi="Arial"/>
          <w:sz w:val="19"/>
          <w:szCs w:val="19"/>
          <w:color w:val="auto"/>
        </w:rPr>
        <w:t xml:space="preserve">™, </w:t>
      </w:r>
      <w:r>
        <w:rPr>
          <w:rFonts w:ascii="Arial" w:cs="Arial" w:eastAsia="Arial" w:hAnsi="Arial"/>
          <w:sz w:val="19"/>
          <w:szCs w:val="19"/>
          <w:i w:val="1"/>
          <w:iCs w:val="1"/>
          <w:color w:val="auto"/>
        </w:rPr>
        <w:t>CBS News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CBS Sports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CBSSports.com</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 All Access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CBSN</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CBSN Local</w:t>
      </w:r>
      <w:r>
        <w:rPr>
          <w:rFonts w:ascii="Arial" w:cs="Arial" w:eastAsia="Arial" w:hAnsi="Arial"/>
          <w:sz w:val="19"/>
          <w:szCs w:val="19"/>
          <w:color w:val="auto"/>
        </w:rPr>
        <w:t>™,</w:t>
      </w:r>
      <w:r>
        <w:rPr>
          <w:rFonts w:ascii="Arial" w:cs="Arial" w:eastAsia="Arial" w:hAnsi="Arial"/>
          <w:sz w:val="19"/>
          <w:szCs w:val="19"/>
          <w:i w:val="1"/>
          <w:iCs w:val="1"/>
          <w:color w:val="auto"/>
        </w:rPr>
        <w:t xml:space="preserve"> CBS Sports HQ</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CNET</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Showtime</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Showtime Anytime</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The Movie Channel</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Flix</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 Films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Network 10</w:t>
      </w:r>
      <w:r>
        <w:rPr>
          <w:rFonts w:ascii="Arial" w:cs="Arial" w:eastAsia="Arial" w:hAnsi="Arial"/>
          <w:sz w:val="19"/>
          <w:szCs w:val="19"/>
          <w:color w:val="auto"/>
        </w:rPr>
        <w:t>™,</w:t>
      </w:r>
      <w:r>
        <w:rPr>
          <w:rFonts w:ascii="Arial" w:cs="Arial" w:eastAsia="Arial" w:hAnsi="Arial"/>
          <w:sz w:val="19"/>
          <w:szCs w:val="19"/>
          <w:i w:val="1"/>
          <w:iCs w:val="1"/>
          <w:color w:val="auto"/>
        </w:rPr>
        <w:t xml:space="preserve"> 10</w:t>
      </w:r>
      <w:r>
        <w:rPr>
          <w:rFonts w:ascii="Arial" w:cs="Arial" w:eastAsia="Arial" w:hAnsi="Arial"/>
          <w:sz w:val="19"/>
          <w:szCs w:val="19"/>
          <w:color w:val="auto"/>
        </w:rPr>
        <w:t>™</w:t>
      </w:r>
      <w:r>
        <w:rPr>
          <w:rFonts w:ascii="Arial" w:cs="Arial" w:eastAsia="Arial" w:hAnsi="Arial"/>
          <w:sz w:val="19"/>
          <w:szCs w:val="19"/>
          <w:i w:val="1"/>
          <w:iCs w:val="1"/>
          <w:color w:val="auto"/>
        </w:rPr>
        <w:t>, 10 Bold</w:t>
      </w:r>
      <w:r>
        <w:rPr>
          <w:rFonts w:ascii="Arial" w:cs="Arial" w:eastAsia="Arial" w:hAnsi="Arial"/>
          <w:sz w:val="19"/>
          <w:szCs w:val="19"/>
          <w:color w:val="auto"/>
        </w:rPr>
        <w:t>™,</w:t>
      </w:r>
      <w:r>
        <w:rPr>
          <w:rFonts w:ascii="Arial" w:cs="Arial" w:eastAsia="Arial" w:hAnsi="Arial"/>
          <w:sz w:val="19"/>
          <w:szCs w:val="19"/>
          <w:i w:val="1"/>
          <w:iCs w:val="1"/>
          <w:color w:val="auto"/>
        </w:rPr>
        <w:t xml:space="preserve"> 10 Peach</w:t>
      </w:r>
      <w:r>
        <w:rPr>
          <w:rFonts w:ascii="Arial" w:cs="Arial" w:eastAsia="Arial" w:hAnsi="Arial"/>
          <w:sz w:val="19"/>
          <w:szCs w:val="19"/>
          <w:color w:val="auto"/>
        </w:rPr>
        <w:t>™,</w:t>
      </w:r>
      <w:r>
        <w:rPr>
          <w:rFonts w:ascii="Arial" w:cs="Arial" w:eastAsia="Arial" w:hAnsi="Arial"/>
          <w:sz w:val="19"/>
          <w:szCs w:val="19"/>
          <w:i w:val="1"/>
          <w:iCs w:val="1"/>
          <w:color w:val="auto"/>
        </w:rPr>
        <w:t xml:space="preserve"> 10 Play</w:t>
      </w:r>
      <w:r>
        <w:rPr>
          <w:rFonts w:ascii="Arial" w:cs="Arial" w:eastAsia="Arial" w:hAnsi="Arial"/>
          <w:sz w:val="19"/>
          <w:szCs w:val="19"/>
          <w:color w:val="auto"/>
        </w:rPr>
        <w:t>™,</w:t>
      </w:r>
      <w:r>
        <w:rPr>
          <w:rFonts w:ascii="Arial" w:cs="Arial" w:eastAsia="Arial" w:hAnsi="Arial"/>
          <w:sz w:val="19"/>
          <w:szCs w:val="19"/>
          <w:i w:val="1"/>
          <w:iCs w:val="1"/>
          <w:color w:val="auto"/>
        </w:rPr>
        <w:t xml:space="preserve"> 10 Daily</w:t>
      </w:r>
      <w:r>
        <w:rPr>
          <w:rFonts w:ascii="Arial" w:cs="Arial" w:eastAsia="Arial" w:hAnsi="Arial"/>
          <w:sz w:val="19"/>
          <w:szCs w:val="19"/>
          <w:color w:val="auto"/>
        </w:rPr>
        <w:t>™,</w:t>
      </w:r>
      <w:r>
        <w:rPr>
          <w:rFonts w:ascii="Arial" w:cs="Arial" w:eastAsia="Arial" w:hAnsi="Arial"/>
          <w:sz w:val="19"/>
          <w:szCs w:val="19"/>
          <w:i w:val="1"/>
          <w:iCs w:val="1"/>
          <w:color w:val="auto"/>
        </w:rPr>
        <w:t xml:space="preserve"> 10 All Access</w:t>
      </w:r>
      <w:r>
        <w:rPr>
          <w:rFonts w:ascii="Arial" w:cs="Arial" w:eastAsia="Arial" w:hAnsi="Arial"/>
          <w:sz w:val="19"/>
          <w:szCs w:val="19"/>
          <w:color w:val="auto"/>
        </w:rPr>
        <w:t>™,</w:t>
      </w:r>
      <w:r>
        <w:rPr>
          <w:rFonts w:ascii="Arial" w:cs="Arial" w:eastAsia="Arial" w:hAnsi="Arial"/>
          <w:sz w:val="19"/>
          <w:szCs w:val="19"/>
          <w:i w:val="1"/>
          <w:iCs w:val="1"/>
          <w:color w:val="auto"/>
        </w:rPr>
        <w:t xml:space="preserve"> CBS Audience Network</w:t>
      </w:r>
      <w:r>
        <w:rPr>
          <w:rFonts w:ascii="Arial" w:cs="Arial" w:eastAsia="Arial" w:hAnsi="Arial"/>
          <w:sz w:val="19"/>
          <w:szCs w:val="19"/>
          <w:color w:val="auto"/>
        </w:rPr>
        <w:t>™,</w:t>
      </w:r>
      <w:r>
        <w:rPr>
          <w:rFonts w:ascii="Arial" w:cs="Arial" w:eastAsia="Arial" w:hAnsi="Arial"/>
          <w:sz w:val="19"/>
          <w:szCs w:val="19"/>
          <w:i w:val="1"/>
          <w:iCs w:val="1"/>
          <w:color w:val="auto"/>
        </w:rPr>
        <w:t xml:space="preserve"> TV.com</w:t>
      </w:r>
      <w:r>
        <w:rPr>
          <w:rFonts w:ascii="Arial" w:cs="Arial" w:eastAsia="Arial" w:hAnsi="Arial"/>
          <w:sz w:val="19"/>
          <w:szCs w:val="19"/>
          <w:color w:val="auto"/>
        </w:rPr>
        <w:t>™,</w:t>
      </w:r>
      <w:r>
        <w:rPr>
          <w:rFonts w:ascii="Arial" w:cs="Arial" w:eastAsia="Arial" w:hAnsi="Arial"/>
          <w:sz w:val="19"/>
          <w:szCs w:val="19"/>
          <w:i w:val="1"/>
          <w:iCs w:val="1"/>
          <w:color w:val="auto"/>
        </w:rPr>
        <w:t xml:space="preserve"> Last.fm</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MetroLyrics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CSI:</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NCIS</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Entertainment Tonight</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ET Live</w:t>
      </w:r>
      <w:r>
        <w:rPr>
          <w:rFonts w:ascii="Arial" w:cs="Arial" w:eastAsia="Arial" w:hAnsi="Arial"/>
          <w:sz w:val="19"/>
          <w:szCs w:val="19"/>
          <w:color w:val="auto"/>
        </w:rPr>
        <w:t>™,</w:t>
      </w:r>
      <w:r>
        <w:rPr>
          <w:rFonts w:ascii="Arial" w:cs="Arial" w:eastAsia="Arial" w:hAnsi="Arial"/>
          <w:sz w:val="19"/>
          <w:szCs w:val="19"/>
          <w:i w:val="1"/>
          <w:iCs w:val="1"/>
          <w:color w:val="auto"/>
        </w:rPr>
        <w:t xml:space="preserve"> Star Trek</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Simon &amp; Schuster</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 Sports Network</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 Interactive</w:t>
      </w:r>
      <w:r>
        <w:rPr>
          <w:rFonts w:ascii="Arial" w:cs="Arial" w:eastAsia="Arial" w:hAnsi="Arial"/>
          <w:sz w:val="24"/>
          <w:szCs w:val="24"/>
          <w:color w:val="auto"/>
          <w:vertAlign w:val="superscript"/>
        </w:rPr>
        <w:t>®</w:t>
      </w:r>
      <w:r>
        <w:rPr>
          <w:rFonts w:ascii="Arial" w:cs="Arial" w:eastAsia="Arial" w:hAnsi="Arial"/>
          <w:sz w:val="19"/>
          <w:szCs w:val="19"/>
          <w:color w:val="auto"/>
        </w:rPr>
        <w:t>,</w:t>
      </w:r>
      <w:r>
        <w:rPr>
          <w:rFonts w:ascii="Arial" w:cs="Arial" w:eastAsia="Arial" w:hAnsi="Arial"/>
          <w:sz w:val="19"/>
          <w:szCs w:val="19"/>
          <w:i w:val="1"/>
          <w:iCs w:val="1"/>
          <w:color w:val="auto"/>
        </w:rPr>
        <w:t xml:space="preserve"> CBS Local Digital Media</w:t>
      </w:r>
      <w:r>
        <w:rPr>
          <w:rFonts w:ascii="Arial" w:cs="Arial" w:eastAsia="Arial" w:hAnsi="Arial"/>
          <w:sz w:val="19"/>
          <w:szCs w:val="19"/>
          <w:color w:val="auto"/>
        </w:rPr>
        <w:t>™ and all the call letters for the Company’s stations. As a result, domestic and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laws protecting intellectual property rights are important to the Company and the Company actively enforces its intellectual property rights against infringements.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420"/>
          </w:cols>
          <w:pgMar w:left="240" w:top="366"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EMPLOYEES</w:t>
      </w:r>
    </w:p>
    <w:p>
      <w:pPr>
        <w:spacing w:after="0" w:line="2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the Company employed approximately 12,770 full-time and part-time salaried employees and had approximately 3,960 additional project-based staff.</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SEGMENTS AND FOREIGN AND DOMESTIC OPERATIONS</w:t>
      </w:r>
    </w:p>
    <w:p>
      <w:pPr>
        <w:spacing w:after="0" w:line="222"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Financial and other information by segment and relating to foreign and domestic operations for each of the last three years ended December 31 is set forth in Note 15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7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CBS Corp. makes available free of charge on its Website, www.cbscorporation.com (Investors section), its Annual Report on Form 10-K, Quarterly Reports on Form 10-Q, Current Reports on Form 8-K and any amendments to those reports filed or furnished pursuant to Section 13(a) or 15(d) of the Securities Exchange Act of 1934. Such material is made available through the Company’s Website as soon as reasonably practicable after such material is electronically filed with or furnished to the Securities and Exchange Commission. These documents are also available on the SEC’s Website at www.sec.gov.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7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CAUTIONARY STATEMENT CONCERNING FORWARD</w:t>
      </w:r>
      <w:r>
        <w:rPr>
          <w:rFonts w:ascii="MS PGothic" w:cs="MS PGothic" w:eastAsia="MS PGothic" w:hAnsi="MS PGothic"/>
          <w:sz w:val="20"/>
          <w:szCs w:val="20"/>
          <w:color w:val="auto"/>
        </w:rPr>
        <w:t>‑</w:t>
      </w:r>
      <w:r>
        <w:rPr>
          <w:rFonts w:ascii="Arial" w:cs="Arial" w:eastAsia="Arial" w:hAnsi="Arial"/>
          <w:sz w:val="20"/>
          <w:szCs w:val="20"/>
          <w:b w:val="1"/>
          <w:bCs w:val="1"/>
          <w:color w:val="auto"/>
        </w:rPr>
        <w:t>LOOKING STATEMENTS</w:t>
      </w:r>
    </w:p>
    <w:p>
      <w:pPr>
        <w:spacing w:after="0" w:line="2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9"/>
          <w:szCs w:val="19"/>
          <w:color w:val="auto"/>
        </w:rPr>
        <w:t>This document, including “Item 7. Management’s Discussion and Analysis of Results of Operations and Financial Condition,” and the documents incorporated by reference into this Annual Report on Form 10-K,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“may,” “could,” “estimate”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or achievements expressed or implied by these statements. More information about these risks, uncertainties and other factors is set forth below. Additional risks, uncertainties and other factors may be described in the Company’s filings made under the securities laws. There may be additional risks, uncertainties and factors that the Company does not currently view as material or that are not necessarily known. The forward-looking statements included in this document are made only as of the date of this document and the Company does not undertake any obligation to publicly update any forward-looking statements to reflect subsequent events or circumstances.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w:t>
      </w:r>
    </w:p>
    <w:p>
      <w:pPr>
        <w:spacing w:after="0" w:line="2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For an enterprise as large and complex as the Company, a wide range of factors could affect its business and financial results. The factors described below are considered to be the most significant. There may be other currently unknown or unpredictable economic, business, competitive, technological, regulatory or other factors that could have material adverse effects on the Company’s future results. Past financial performance may not be a reliable indicator of future performance and historical trends should not be used to anticipate results or trends in future periods. The following discussion of risk factors should be read in conjunction with “Item 7. Management’s Discussion and Analysis of Results of Operations and Financial Condition” and the consolidated financial statements and related notes in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420"/>
          </w:cols>
          <w:pgMar w:left="240" w:top="414" w:right="2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The Company’s success and profitability are dependent upon audience acceptance of its content, which is difficult to predict.</w:t>
      </w:r>
    </w:p>
    <w:p>
      <w:pPr>
        <w:spacing w:after="0" w:line="2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Television and other content production and distribution are inherently risky businesses because the revenues derived from the production and distribution of such content, and the licensing of rights to the associated intellectual property, depend primarily upon their acceptance by the public, which is difficult to predict. The commercial success of a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determining the advertising rates that the Company receives. The use of evolving ratings technologies and measurements, and viewership on platforms or devices, such as tablets, smart phones and other mobile devices, that is not being fully measured, could have an impact on the Company’s program ratings and advertising revenues. For example, while C-7, a current television industry sales metric, measures live, in-home, commercial viewing plus seven days of digital video recorder (“DVR”) and video-on-demand playback, the viewership occurring on subsequent days of DVR and video-on-demand playback, as well as out-of-home viewing and online and mobile viewership, are excluded from current audience viewership measures. Also, consumer viewership of OTT services continues to grow and is under measured. Low ratings can lead to lower pricing and advertising spending. For example, there can be no assurance that any replacement programming on the Company’s television stations will generate the same level of revenues or profitability as previous programming. In addition, the success of the Company’s cable networks and Simon &amp; Schuster is similarly dependent on audience acceptance of its programming and publications, respectively. Low public acceptance of the Company’s content, including its programming and publications, will have an adverse effect on the Company’s results of operations. In addition, any decreased popularity of programming for which the Company has incurred significant commitments could have an adverse effect on its profitability. Programming and talent commitments of the Company, estimated to aggregate approximately $8.98 billion as of December 31, 2018, primarily included $6.62 billion for sports programming rights, $1.71 billion relating to the production and licensing of television and film programming, and $660 million for talent contracts, with $889 million of these amounts payable in and after 2024. A shortfall, now or in the future, in the expected popularity of the programming the Company expects to distribute or the sports events for which the Company has acquired rights, could lead to decreased profitability or losses for a significant period of time.</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 decline in advertising expenditures could cause the Company’s revenues and operating results to decline significantly in any given period or in specific markets.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Company derives substantial revenues from the sale of advertising on its broadcast and basic cable networks, television stations, syndicated programming, and digital properties. A decline in the economic prospects of advertisers, the economy in general or the economy of any individual geographic market, particularly a major market, such as Los Angeles, New York or Chicago, in which the Company owns and operates sizeable businesses, could alter current or prospective advertisers’ spending priorities. Natural and other disasters, acts of terrorism, political uncertainty or hostilities could lead to a reduction in advertising expenditures as a result of disrupted programming and services, uninterrupted news coverage and economic uncertainty. Advertising expenditures may also be affected by increasing competition for the leisure time of audiences. In addition, advertising expenditures by companies in certain sectors of the economy, including the automotive, financial and pharmaceutical segments, represent a significant portion of the Company’s advertising revenues. Any political, economic, social or technological change resulting in a reduction in these sectors’ advertising expenditures may adversely affect the Company’s revenue. Advertisers’ willingness to purchase advertising from the Company may also be affected by a decline in audience ratings for the Company’s programming, the inability of the Company to retain the rights to popular programming, increasing audience fragmentation caused by new program channels and the proliferation of media formats, including the internet and video-on-demand and the deployment of portable digital video devices and new technologies, which allow consumers to live stream and time shift programming, make and store digital copies and skip or fast-forward through advertisements. In addition, the pricing and volume of advertising may be affected by shifts in spending toward digital and mobile offerings, which can deliver targeted advertising promptly, from more traditional media, or toward newer ways of purchasing advertising, such as through automated purchasing, dynamic advertising insertion, third parties selling local advertising spots and advertising exchanges, some or all of which may not be as beneficial to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420"/>
          </w:cols>
          <w:pgMar w:left="240" w:top="360" w:right="2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20"/>
          <w:szCs w:val="20"/>
          <w:color w:val="auto"/>
        </w:rPr>
        <w:t>as traditional advertising methods. Any reduction in advertising expenditures could have an adverse effect on the Company’s revenues and results of operations.</w:t>
      </w:r>
    </w:p>
    <w:p>
      <w:pPr>
        <w:spacing w:after="0" w:line="17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The Company must respond to rapid changes in technology, content creation, services, standards and changes in consumer behavior in order to remain competitive.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Video, telecommunications and data services technologies used in the entertainment industry are changing rapidly as are the digital publishing and distribution models for books. Advances in technologies or alternative methods of product delivery or storage could reduce subscription or advertiser-supported viewership of the Company’s programming and have a negative effect on the Company’s revenues and profitability. Examples of the foregoing include the convergence of television telecasts and digital delivery of programming to televisions and other devices, video-on-demand platforms, tablets, new video and electronic book formats, user-generated content sites, unauthorized digital distribution of video content including via streaming and downloading, simultaneous live streaming of telecast content which allows users to consume content on demand and in remote locations while avoiding traditional commercial advertisements or subscription payments and “cloud-based” DVR storage. Further, these and other technologies drive changes in consumer behavior that could affect the attractiveness of the Company’s offerings to advertisers and adversely affect its revenues, including devices that allow users to view television programs on a time-delayed basis and technologies, such as DVRs, that enable users to fast-forward or skip advertisements or increase the sharing of subscription content and reduce the demand for electronic sell-through, DVD and Blu-ray Disc products. The Company’s business also may be adversely affected by the use of antennas (and their integration with set-top boxes or other consumer devices) to access broadcast signals to avoid subscriptions and live and stored video streaming boxes and services, which deliver unauthorized copies of copyrighted content, including those emanating from other countries in various languages.</w:t>
      </w:r>
    </w:p>
    <w:p>
      <w:pPr>
        <w:spacing w:after="0" w:line="184"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color w:val="auto"/>
        </w:rPr>
        <w:t>More television and video programming options, including via digital streaming services and platforms, increase competition for viewers. In addition, competitors targeting programming to narrowly defined audiences may gain an advantage over the Company for advertising and subscription revenues. Television manufacturers, cable providers and others are developing and offering technology to enable viewers to locate digital copies of programming from the internet to view on television monitors or other devices, which could diminish viewership of the Company’s programming. Also, the impact of technological changes on MVPDs may adversely affect the Company’s cable networks’ ability to grow revenue. In order to respond to these developments, the Company implements changes to its business models and strategies from time to time. There can be no assurance that the Company’s direct-to-consumer digital streaming business models will continue to successfully respond to changes in technologies and consumer preferences. Anticipating and timely adapting to changes in technology and content consumption and exploiting new sources of revenue from these changes could affect the Company’s ability to continue to increase its revenues.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Increased programming and content costs may adversely affect the Company’s profits.</w:t>
      </w:r>
    </w:p>
    <w:p>
      <w:pPr>
        <w:spacing w:after="0" w:line="2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The Company produces and acquires programming and other content and incurs costs with respect to its content, including for all types of creative talent, such as actors, authors, writers and producers, composers and publishers of music, as well as for marketing and distribution. The Company plans to increase its investment in content and related marketing and distribution, including for its direct-to-consumer digital streaming services. An increase in any of these costs and increased competition from large entertainment companies and additional entrants with substantial resources for the production, acquisition and distribution of new content, including Amazon, Apple, Hulu and Netflix, may lead to decreased profitability. As competition for popular content is intense, the Company may have to increase expenditures for talent and intellectual property rights. In addition, changes in content consumption as well as the increasing number of available digital and other program, entertainment and news services increase the risks associated with the success of all types of content. There can be no assurance that the Company will recoup its investments in programming and related costs. These factors could have an adverse effect on the Company’s business, financial condition or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420"/>
          </w:cols>
          <w:pgMar w:left="240" w:top="366" w:right="239" w:bottom="1440" w:gutter="0" w:footer="0" w:header="0"/>
        </w:sectPr>
      </w:pPr>
    </w:p>
    <w:bookmarkStart w:id="20" w:name="page21"/>
    <w:bookmarkEnd w:id="20"/>
    <w:p>
      <w:pPr>
        <w:jc w:val="both"/>
        <w:ind w:right="20"/>
        <w:spacing w:after="0" w:line="267" w:lineRule="auto"/>
        <w:rPr>
          <w:sz w:val="20"/>
          <w:szCs w:val="20"/>
          <w:color w:val="auto"/>
        </w:rPr>
      </w:pPr>
      <w:r>
        <w:rPr>
          <w:rFonts w:ascii="Arial" w:cs="Arial" w:eastAsia="Arial" w:hAnsi="Arial"/>
          <w:sz w:val="20"/>
          <w:szCs w:val="20"/>
          <w:b w:val="1"/>
          <w:bCs w:val="1"/>
          <w:color w:val="auto"/>
        </w:rPr>
        <w:t>Piracy of the Company’s programming and other content, including digital piracy, may decrease revenue received from the exploitation of the Company’s programming and other content and adversely affect its businesses and profitability.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Piracy of programming, books and other copyrighted material is prevalent in many parts of the world and is made easier by the availability of digital copies of content, which facilitates the creation, transmission and sharing of high quality unauthorized copies of the Company’s content. Technological advances, which facilitate the streaming of programming via the internet to television screens and other devices, may increase piracy. The proliferation of unauthorized access to content, including through unauthorized live streaming, streaming boxes and apps programmed to seek pirated copies of content, the unauthorized premature release of content and unauthorized account sharing of subscription program services, has an adverse effect on the Company’s businesses and profitability because these unauthorized actions reduce the revenue that the Company potentially could receive from the legitimate sale and distribution of its products and services. Increases in piracy would have an adverse effect on the Company’s businesses and profitability. Also, while legal protections exist, piracy and technological tools with which to carry it out continue to escalate, evolve and present challenges for enforcement. The Company enforces its rights against entities that illegally secure and exhibit its content, including streaming the Company’s content without obtaining the consent of or paying compensation to the Company. Failure of legal and technological protections to evolve and enable enhanced enforcement efforts to combat piracy could make it more difficult for the Company to adequately protect its intellectual property, which could negatively impact its value and further increase the Company’s enforcement costs.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Failure by the Company to obtain, create and retain the rights related to popular programming could adversely affect the Company’s revenues.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9"/>
          <w:szCs w:val="19"/>
          <w:color w:val="auto"/>
        </w:rPr>
        <w:t xml:space="preserve">The Company’s revenues from its television, cable networks and digital services businesses are partially dependent on the Company’s continued ability to anticipate and adapt to changes in consumer tastes and behavior on a timely basis. Moreover, the Company derives a portion of its revenues from the exploitation of its extensive library of television programming. Generally, a television series must have a network run of at least three or four years to be successfully sold in domestic syndication, however, increasingly, these time frames are being shortened. If the content of its television programming library ceases to be widely accepted by audiences or is not continuously replenished with popular content, the Company’s revenues could be adversely affected. The Company obtains a significant portion of its popular programming from third parties. For example, some of CBS Television Network’s most widely viewed broadcasts, including golf’s Masters Tournament, the PGA Championship, NFL games, NCAA Division I Men’s Basketball Tournament games and series such as </w:t>
      </w:r>
      <w:r>
        <w:rPr>
          <w:rFonts w:ascii="Arial" w:cs="Arial" w:eastAsia="Arial" w:hAnsi="Arial"/>
          <w:sz w:val="19"/>
          <w:szCs w:val="19"/>
          <w:i w:val="1"/>
          <w:iCs w:val="1"/>
          <w:color w:val="auto"/>
        </w:rPr>
        <w:t>Young Sheldon</w:t>
      </w:r>
      <w:r>
        <w:rPr>
          <w:rFonts w:ascii="Arial" w:cs="Arial" w:eastAsia="Arial" w:hAnsi="Arial"/>
          <w:sz w:val="19"/>
          <w:szCs w:val="19"/>
          <w:color w:val="auto"/>
        </w:rPr>
        <w:t xml:space="preserve">, are made available based upon programming rights of varying duration that the Company has negotiated with third parties. In addition, Showtime Networks enters into commitments and competes with other buyers to acquire rights to certain programming for </w:t>
      </w:r>
      <w:r>
        <w:rPr>
          <w:rFonts w:ascii="Arial" w:cs="Arial" w:eastAsia="Arial" w:hAnsi="Arial"/>
          <w:sz w:val="19"/>
          <w:szCs w:val="19"/>
          <w:i w:val="1"/>
          <w:iCs w:val="1"/>
          <w:color w:val="auto"/>
        </w:rPr>
        <w:t>Showtime</w:t>
      </w:r>
      <w:r>
        <w:rPr>
          <w:rFonts w:ascii="Arial" w:cs="Arial" w:eastAsia="Arial" w:hAnsi="Arial"/>
          <w:sz w:val="19"/>
          <w:szCs w:val="19"/>
          <w:color w:val="auto"/>
        </w:rPr>
        <w:t xml:space="preserve">,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Movie Channel </w:t>
      </w:r>
      <w:r>
        <w:rPr>
          <w:rFonts w:ascii="Arial" w:cs="Arial" w:eastAsia="Arial" w:hAnsi="Arial"/>
          <w:sz w:val="19"/>
          <w:szCs w:val="19"/>
          <w:color w:val="auto"/>
        </w:rPr>
        <w:t>and</w:t>
      </w:r>
      <w:r>
        <w:rPr>
          <w:rFonts w:ascii="Arial" w:cs="Arial" w:eastAsia="Arial" w:hAnsi="Arial"/>
          <w:sz w:val="19"/>
          <w:szCs w:val="19"/>
          <w:i w:val="1"/>
          <w:iCs w:val="1"/>
          <w:color w:val="auto"/>
        </w:rPr>
        <w:t xml:space="preserve"> Flix </w:t>
      </w:r>
      <w:r>
        <w:rPr>
          <w:rFonts w:ascii="Arial" w:cs="Arial" w:eastAsia="Arial" w:hAnsi="Arial"/>
          <w:sz w:val="19"/>
          <w:szCs w:val="19"/>
          <w:color w:val="auto"/>
        </w:rPr>
        <w:t>from motion picture producers and other suppliers for varying durations. The Company competes for compelling</w:t>
      </w:r>
      <w:r>
        <w:rPr>
          <w:rFonts w:ascii="Arial" w:cs="Arial" w:eastAsia="Arial" w:hAnsi="Arial"/>
          <w:sz w:val="19"/>
          <w:szCs w:val="19"/>
          <w:i w:val="1"/>
          <w:iCs w:val="1"/>
          <w:color w:val="auto"/>
        </w:rPr>
        <w:t xml:space="preserve"> </w:t>
      </w:r>
      <w:r>
        <w:rPr>
          <w:rFonts w:ascii="Arial" w:cs="Arial" w:eastAsia="Arial" w:hAnsi="Arial"/>
          <w:sz w:val="19"/>
          <w:szCs w:val="19"/>
          <w:color w:val="auto"/>
        </w:rPr>
        <w:t>source material for and the talent necessary to produce programming. In addition, competition for popular programming that is licensed from third parties is intense, and the Company may be outbid by its competitors for the rights to new, popular programming or in connection with the renewal of popular programming currently licensed by the Company. The Company’s failure to obtain or retain rights to popular content could adversely affect the Company’s revenues.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businesses operate in highly competitive and consolidating industries.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Company competes with other media companies for high quality content to achieve large audiences and to generate advertising and subscription revenue. The Company also competes for distribution on various MVPDs and third-party digital platforms. The Company’s ability to attract audiences and advertisers and obtain favorable distribution depends in part on its ability to provide popular programming and books and adapt to new technologies and distribution platforms. The consolidation of advertising agencies, distributors, content providers, printers and television service providers also has increased their negotiating leverage and intensified competition for audiences, advertising revenue, print production and distribution. In addition, consolidation among book retailers and the growth of online sales and electronic books sales have resulted in increased competition for limited physical shelf space for the Company’s publications and for the attention of consumers online. Competition for audiences and advertising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420"/>
          </w:cols>
          <w:pgMar w:left="240" w:top="360"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9"/>
          <w:szCs w:val="19"/>
          <w:color w:val="auto"/>
        </w:rPr>
        <w:t>comes from: broadcast television stations and networks; cable television systems and networks; motion picture studios; the internet; non-traditional programming services, including increases in the number of direct-to-consumer services; technological innovations in content distribution; terrestrial and satellite radio and portable devices; local, regional and national newspapers; direct mail; and other communications and advertising media that operate in these markets. Other television stations or cable networks may change their formats or programming, a new station or new network may adopt a format to compete directly with the Company’s stations or networks, or stations or networks might engage in aggressive promotional campaigns. In book publishing, competition among electronic and print book retailers could decrease the prices for new releases and the outlets available for book sales. Moreover, the growing use of self-publishing technologies by authors increases competition and could result in decreased use of traditional publishing services. This competition could result in lower ratings and advertising and subscription and other revenues or increased content costs and promotional and other expenses and, consequently, lower the Company’s earnings and cash flow. The Company cannot be assured that it will be able to compete successfully in the future against existing, new or potential competitors, or that competition and consolidation in the marketplace will not have a material adverse effect on its business, financial condition or results of operations.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loss of affiliation agreements or retransmission agreements or renewals on less favorable terms could materially adversely affect the Company’s results of operations.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CBS Television Network provides its affiliates with up to approximately 98 hours of regularly scheduled programming per week. In return, the CBS Television Network’s affiliated stations broadcast network-inserted commercials during that programming and pay the Company station affiliation fees. Loss of station affiliation agreements of the CBS Television Network could adversely affect the Company’s results of operations by reducing the reach of the Company’s programming and therefore its attractiveness to advertisers, and renewal of these affiliation agreements on less favorable terms may also adversely affect the Company’s results of operations. Also, consolidation among television station group owners could increase their negotiating leverage. The non-renewal or termination of retransmission agreements with MVPDs and virtual MVPDs or continued distribution on less favorable terms could also adversely affect the Company’s revenues and its ability to distribute its network programming to a nationwide audience and affect the Company’s ability to sell advertising, which could have a material adverse effect on the Company’s results of operations. Showtime Networks, CBS Sports Network and Smithsonian Networks are also dependent upon the maintenance of distribution agreements with MVPDs and third-party digital platforms and there can be no assurance that these agreements will be renewed in the future on terms acceptable to such programmers. The loss of one or more of these arrangements could reduce the distribution of Showtime Networks’, CBS Sports Network’s and Smithsonian Networks’ program services and reduce revenues from subscriber fees and advertising, as applicable. Further, the loss of favorable packaging, positioning, pricing or other marketing opportunities with any distributor could reduce revenues from subscriber fees. Also, consolidation among MVPDs and increased vertical integration of such distributors into the cable or broadcast network business have provided more leverage to these distributors and could adversely affect the Company’s ability to maintain or obtain distribution for its network programming or distribution and/or marketing of its subscription program services on favorable or commercially reasonable terms, or at all. Moreover, competitive pressures faced by MVPDs, particularly in light of the lower retail prices of digital streaming services, could adversely affect the terms of the Company’s renewals with MVPDs. In addition, MVPDs and digital streaming services continue to develop alternative offerings for consumers, including “skinny bundles,” which are generally smaller than the traditional program package or may allow the consumer to customize its package of program services. To the extent these packages do not include the Company’s programming and become widely accepted in lieu of traditional program packages, the Company could experience a decline in affiliate and subscription revenues.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Cyber attacks or other events that adversely affect the Company’s information systems or result in the breach of proprietary or confidential information could disrupt the Company’s business, harm its reputation and expose the Company to regulatory enforcement and litigation.</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Network and information systems and other technologies, including technology systems used in connection with the production and distribution of the Company’s content by the Company or third parties, are important to the Company’s business activities. Despite the Company’s security measures and disaster recovery planning, network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420"/>
          </w:cols>
          <w:pgMar w:left="240" w:top="366" w:right="2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9"/>
          <w:szCs w:val="19"/>
          <w:color w:val="auto"/>
        </w:rPr>
        <w:t>and information systems-related events, such as process breakdowns, employee or partner error, cyber attacks or other activities, and power outages, terrorism, natural or other disasters, could result in a disruption or degradation of the Company’s services and operations, damage to equipment and data, and dissatisfaction or loss of viewers, customers or advertisers. The Company manages, stores, and otherwise processes proprietary information and sensitive or confidential data relating to its operations. The Company may experience breaches or other compromise of the information technology systems it uses for these purposes, as criminal or other actors may be able to penetrate the Company’s network security and misappropriate or compromise the Company’s business information, including intellectual property, financial, personal or other confidential information, or that of third parties, create system disruptions or cause shutdowns. Further, hardware and operating system software and applications that the Company produces or procures from third parties may contain defects in design or manufacture, including “bugs” and other problems that could unexpectedly interfere with the operation of such systems. The costs to address the foregoing security problems and security vulnerabilities before or after a cyber incident could be significant. Remediation efforts may not be successful and could result in interruptions, delays, or cessation of service, and loss of existing or potential customers that may impede the Company’s operations. Breaches of the Company’s security measures and the unapproved dissemination of proprietary information or sensitive or confidential data about the Company or its customers or other third parties could expose such affected parties to a risk of loss or misuse of this information, result in regulatory enforcement, litigation and potential liability for the Company, damage the Company’s brands and reputation, or otherwise harm the Company’s business. Further, the Company relies in certain limited capacities on third-party data management providers and other vendors whose possible security problems and security vulnerabilities may have similar effects on the Company.</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Company is subject to laws, rules, and regulations in the U.S. and other countries relating to the collection, use, and security of user and other personal data. The Company’s ability to execute transactions and to possess and use personal information and data in conducting its business may require the Company to notify regulators and customers, employees, or other individuals of a data security breach, including in the EU under the GDPR, which took effect in May 2018. The Company will continue to incur expenses to comply with mandatory privacy and security standards and protocols imposed by law, regulation, industry standards or contractual obligations, but despite such efforts may face regulatory and other legal actions in the event of a data breach or perceived or actual non-compliance with such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operating results are subject to seasonal variations and other factors.</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The Company’s business has experienced and is expected to continue to experience seasonality due to, among other things, seasonal advertising patterns and seasonal influences, on people’s viewing, reading, attendance and listening habits. Typically, the Company’s revenue from advertising increases in the first and fourth quarters, Simon &amp; Schuster generates an increased portion of its revenues in the second half of the year and license fees for television programming are dependent on the commencement of a license period, mix, number and availability of the Company’s television programming, which may cause operating results to increase or decrease during a period and create non-comparable results relative to the corresponding period in the prior year. In addition, the Company’s advertising revenues benefit when the Company broadcasts the Super Bowl and NCAA Division I Men’s Basketball Tournament National Semifinals and Championship and, in even-numbered years, benefit from advertising placed by candidates for political offices. The effects of such seasonality make it difficult to estimate future operating results based on the previous results of any specific quarter and may adversely affect the Company’s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conditions may adversely affect the Company’s businesses and customers.</w:t>
      </w:r>
    </w:p>
    <w:p>
      <w:pPr>
        <w:spacing w:after="0" w:line="22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U.S. and other countries where the Company operates experience slowdowns and volatilities in their economies from time to time. A downturn could lead to lower consumer and business spending for the Company’s products and services, particularly if customers, including advertisers, subscribers, licensees, retailers and other consumers of the Company’s content offerings and services, reduce demands for the Company’s products and services. In addition, in unfavorable economic environments, the Company’s customers may have difficulties obtaining capital at adequate or historical levels to finance their ongoing business and operations and may face insolvency, all of which could impair their ability to make timely payments and continue operations, including distribution of the Company’s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420"/>
          </w:cols>
          <w:pgMar w:left="240" w:top="366" w:right="2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20"/>
          <w:szCs w:val="20"/>
          <w:color w:val="auto"/>
        </w:rPr>
        <w:t>content. The Company is unable to predict the duration and severity of weakened economic conditions and such conditions and resultant effects could adversely impact the Company’s businesses,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and weakness in capital markets may adversely affect credit availability and related financing costs for the Company.</w:t>
      </w: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Bank and capital markets can experience periods of volatility and disruption. If the disruption in these markets is prolonged, the Company’s ability to refinance, and the related cost of refinancing, some or all of its debt could be adversely affected. Although the Company can currently access the bank and capital markets, there is no assurance that such markets will continue to be a reliable source of financing for the Company. In addition, the Company’s access to and cost of borrowing can be affected by the Company’s short- and long-term debt ratings assigned by credit ratings agencies. These factors, including the tightening of credit markets, or a decrease in the Company’s debt ratings, could adversely affect the Company’s ability to obtain cost-effective financing.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communications laws or other regulations may have an adverse effect on the Company’s business.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television broadcasting and distribution industries in the U.S. are highly regulated by U.S. federal laws and regulations issued and administered by various federal agencies, including the FCC. The television broadcasting industry is subject to extensive regulation by the FCC under the Communications Act. For example, the Company is required to obtain licenses from the FCC to operate its television stations. The Company cannot be assured that the FCC will approve its future renewal applications or that the renewals will be for full terms or will not include conditions or qualifications. The non-renewal, or renewal with substantial conditions or modifications, of one or more of the Company’s licenses could have a material adverse effect on the Company’s revenues. The Company must also comply with extensive FCC regulations and policies in the ownership and operation of its television stations and its television networks. FCC regulations prohibit the common ownership of more than one of the top four networks, ABC, CBS, FOX and NBC, and limit the number of television stations that a licensee can own in a market and the number of television stations that can be owned nationwide, which could restrict the Company’s ability to consummate future transactions and in certain circumstances could require it to divest some television stations. The U.S. Congress and the FCC currently have under consideration, and may in the future adopt, new laws, regulations, and policies regarding a wide variety of matters that could, directly or indirectly, affect the operation and ownership of the Company’s television properties. For example, from time to time, proposals have been advanced in the U.S. Congress and at the FCC to require television stations to provide advertising time to political candidates for free or at a reduced charge. Any restrictions on political or other advertising may adversely affect the Company’s advertising revenues. Changes to the media ownership and other FCC rules may affect the competitive landscape in ways that could increase the competition faced by the Company. Proposals have also been advanced from time to time before the U.S. Congress and the FCC to extend the program access rules (currently applicable only to those cable program services which also own or are owned in whole or in part by cable distribution or telephone company systems) to all cable program services. The Company’s ability to obtain the most favorable terms available for its content could be adversely affected should such an extension be enacted into law. It is difficult to predict the outcome of the FCC’s actions or their effect, if any, on the Company’s broadcasting properties. In addition, changes in or new interpretations of international laws and regulations governing the broadcast and distribution of content, competition and the internet, including those affecting data privacy</w:t>
      </w:r>
      <w:r>
        <w:rPr>
          <w:rFonts w:ascii="Arial" w:cs="Arial" w:eastAsia="Arial" w:hAnsi="Arial"/>
          <w:sz w:val="18"/>
          <w:szCs w:val="18"/>
          <w:color w:val="1F497D"/>
        </w:rPr>
        <w:t>,</w:t>
      </w:r>
      <w:r>
        <w:rPr>
          <w:rFonts w:ascii="Arial" w:cs="Arial" w:eastAsia="Arial" w:hAnsi="Arial"/>
          <w:sz w:val="18"/>
          <w:szCs w:val="18"/>
          <w:color w:val="auto"/>
        </w:rPr>
        <w:t xml:space="preserve"> as well as the new EU law requiring 30% local content on subscription video on demand services and proposed amendments to the law governing territorial exclusivity of the distribution of content in Europe, may have an adverse impact on the Company’s international businesses and internet properties. The Company is unable to predict the effect that any such laws, regulations or policies may have on its operations.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Vigorous enforcement or modification of FCC indecency and other program content rules against the broadcast and cable industries could have an adverse effect on the Company’s businesses and results of operations.</w:t>
      </w:r>
    </w:p>
    <w:p>
      <w:pPr>
        <w:spacing w:after="0" w:line="17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FCC’s rules prohibit the broadcast of obscene material at any time and indecent or profane material on television stations between the hours of 6 a.m. and 10 p.m. Broadcasters risk violating the prohibition against broadcasting indecent material because of the vagueness of the FCC’s indecency/profanity definition, coupled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420"/>
          </w:cols>
          <w:pgMar w:left="240" w:top="366"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8"/>
          <w:szCs w:val="18"/>
          <w:color w:val="auto"/>
        </w:rPr>
        <w:t>the spontaneity of live programming. The FCC enforces its indecency rules against the broadcasting industry. The FCC has found on a number of occasions that the content of television broadcasts has contained indecent material. In such instances, the FCC issued fines or advisory warnings to the offending licensees. Moreover, the FCC has in some instances imposed separate fines for each allegedly indecent “utterance,” in contrast with its previous policy, which generally considered all indecent words or phrases within a given program as constituting a single violation. Broadcasting indecent material could result in fines per station of a maximum of approximately $407,000 per utterance and/or the loss of a station’s FCC license. If the FCC denied a license renewal or revoked the license for one of the Company’s television stations, the Company would lose its authority to operate the station.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the Company’s ability to comply with the rules. Violation of indecency rules could lead to sanctions which may adversely affect the Company’s businesses and results of operations. Some policymakers support the extension of the indecency rules that are applicable to over-the-air broadcasters to cover cable and satellite programming and/or attempts to increase enforcement of or otherwise expand existing laws and rules. If such an extension, attempt to increase enforcement or other expansion took place and were found to be constitutional, some of the Company’s cable content could be subject to additional regulation and might not be able to attract the same subscription and viewership levels.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failure or destruction of satellites and transmitter facilities on which the Company depends to distribute its programming could materially adversely affect the Company’s businesses and results of operations.</w:t>
      </w:r>
    </w:p>
    <w:p>
      <w:pPr>
        <w:spacing w:after="0" w:line="17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The Company uses satellite systems to transmit its broadcast and cable networks to affiliates. The distribution facilities include uplinks, communications satellites and downlinks. Transmissions may be disrupted as a result of local disasters including extreme weather that impair on-ground uplinks or downlinks, or as a result of an impairment of a satellite. Currently, there are a limited number of communications satellites available for the transmission of programming. If a disruption occurs, failure to secure alternate distribution facilities in a timely manner could have a material adverse effect on the Company’s businesses and results of operations. Each of the Company’s television stations and cable networks uses studio and transmitter facilities that are subject to damage or destruction. Failure to restore such facilities in a timely manner could have a material adverse effect on the Company’s businesses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could suffer losses due to asset impairment charges for goodwill, intangible assets, FCC licenses and programming.</w:t>
      </w:r>
    </w:p>
    <w:p>
      <w:pPr>
        <w:spacing w:after="0" w:line="24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 tests goodwill and indefinite-lived intangible assets, including FCC licenses, for impairment during the fourth quarter of each year and between annual tests if events or circumstances require an interim impairment assessment. A downward revision in the estimated fair value of a reporting unit or intangible assets, including FCC licenses, could result in a non-cash impairment charge. Also, any significant shortfall, now or in the future, in the expected popularity of the Company’s programming could lead to a downward revision in the fair value of such assets. Any such impairment charge for goodwill, intangible assets and/or programming could have a material adverse effect on the Company’s reported net earnings.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and dividend rates cannot be guaranteed.</w:t>
      </w:r>
    </w:p>
    <w:p>
      <w:pPr>
        <w:spacing w:after="0" w:line="2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Company’s Board of Directors assesses relevant factors when considering the declaration of a dividend on the Company’s common stock. The Company cannot guarantee that it will continue to declare dividends, including at the same or similar rates.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loss of key personnel, including talent, could adversely affect the Company’s business and revenues.</w:t>
      </w:r>
    </w:p>
    <w:p>
      <w:pPr>
        <w:spacing w:after="0" w:line="2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Company’s business depends upon the continued efforts, abilities and expertise of the Company’s corporate and divisional executive officers and various creative talent and entertainment personalities. The Company believes that the loss of its executive officers could have a material adverse effect on the Company, including the impairment of the Company’s ability to execute its business strategy. The Company employs or contracts with highly regarded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420"/>
          </w:cols>
          <w:pgMar w:left="240" w:top="366" w:right="2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9"/>
          <w:szCs w:val="19"/>
          <w:color w:val="auto"/>
        </w:rPr>
        <w:t>directors, actors, producers, authors and other talent who are important to attracting and retaining audiences and achieving the success of the Company’s programming, television stations, books and other content. There can be no assurance that these individuals will remain with or be drawn to the Company or will retain their current appeal. If the Company fails to retain or attract entertainment personalities, authors and talent or they lose their current appeal, the Company’s revenues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liabilities related to discontinued operations and former businesses could adversely impact its financial condition.</w:t>
      </w: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The Company has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The Company cannot be assured that its reserves are sufficient to cover these liabilities in their entirety or any one of these liabilities when it becomes due or at what point any of these liabilities may come due. Therefore, there can be no assurances that these liabilities will not have a material adverse effect on the Company’s financial position, operating performance or cash flow.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 could be adversely affected by strikes and other union activity.</w:t>
      </w:r>
    </w:p>
    <w:p>
      <w:pPr>
        <w:spacing w:after="0" w:line="2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The Company, its suppliers and business partners engage the services of writers, directors, actors and other talent, trade employees, players in sports leagues and others who are subject to collective bargaining agreements. If the Company, its suppliers or business partners are unable to renew expiring collective bargaining agreements, it is possible that the affected unions or others could take action in the form of strikes or work stoppages. Such actions, higher costs in connection with these agreements or a significant labor dispute could adversely affect the Company’s television, cable networks and interactive businesses by disrupting the Company’s ability to provide scheduled services and programming or by causing delays in the production of the Company’s programming. Depending on its duration, any lockout, strike or work stoppage could have an adverse effect on the Company’s revenues, cash flows and/or operating income and/or their timing.</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Fluctuations in foreign exchange rates and political and economic risks associated with the Company’s international businesses could harm the Company’s financial condition or results of operations.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The Company’s businesses operate and have customers worldwide. Certain of the Company’s revenues are earned and expenses are incurred in foreign currencies. The value of these currencies fluctuates relative to the U.S. dollar. As a result, the Company is exposed to exchange rate fluctuations, which could have an adverse effect on its results of operations. Other inherent risks of doing business in international markets include changes in the economic environment, potentially adverse tax developments, export restrictions, exchange controls, tariffs and other trade and sanctions barriers, longer payment cycles, and changes in privacy and data protection laws. The Company may incur substantial expense as a result of the imposition of new restrictions or changes in the existing economic environment in the regions where it does business. For example, the ongoing “Brexit” processes to withdraw the U.K. from the EU, which is expected to occur in 2019, may adversely affect economic and market conditions in the U.K. and other regions where the Company conducts business and could contribute to volatility in foreign exchange markets. In addition, acts of terrorism or other hostilities, or other future financial, political, economic or other uncertainties, could lead to a reduction in advertising expenditures, which could materially adversely affect the Company’s business,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tax laws, regulations and administrative practices, interpretations and policies may result in material tax liabilities.</w:t>
      </w:r>
    </w:p>
    <w:p>
      <w:pPr>
        <w:spacing w:after="0" w:line="23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Company is subject to income taxes in both the U.S. and numerous foreign jurisdictions. Changes in tax laws, regulations and administrative practices, interpretations and policies in the territories where the Company’s businesses operate may result in material tax liabilities. The Company’s tax returns are routinely audited by tax authorities and tax-related litigation or settlements may occur resulting in the assessment of additional taxes. The enactment of the federal tax legislation in December 2017 (the “Tax Reform Act”) may expose the Company to tax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420"/>
          </w:cols>
          <w:pgMar w:left="240" w:top="366" w:right="2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8"/>
          <w:szCs w:val="18"/>
          <w:color w:val="auto"/>
        </w:rPr>
        <w:t>risks as a result of the ongoing issuance of interpretive guidance by the U.S. government as to how provisions of the Tax Reform Act are to be applied, which may differ from the Company’s current interpretations. The aforementioned risks may adversely affect the Company’s effective income tax rate or cash tax payments, which may adversely affect the Company’s business, financial condition or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NAI, through its voting control of the Company, is in a position to control actions that require stockholder approval.</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NAI, through its direct and indirect ownership of the Company’s voting Class A Common Stock, has voting control of the Company. At February 13, 2019, NAI directly or indirectly owned approximately 79.8% of the Company’s Class A Common Stock, and approximately 10.5% of the Company’s Class A Common Stock and non-voting Class B Common Stock on a combined basis. Mr. Sumner M. Redstone is the beneficial owner of the controlling interest in NAI and, accordingly, beneficially owns all such shares. Mr. Redstone, the controlling stockholder, chairman of the board of directors and chief executive officer of NAI, serves as Chairman Emeritus of the Company's Board of Directors, and Ms. Shari Redstone, the president and a director of NAI, serves as Vice Chair of the Company’s Board of Directors.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CBS Corporation director Ms. Shari Redstone. No member of the Company’s management is a trustee of the SMR Trust.</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Subject to the terms of the settlement and release agreement entered into by the Company and NAI, among others, on September 9, 2018, NAI is in a position to control the outcome of corporate actions that require, or may be accomplished by, stockholder approval, including amending the Company’s bylaws, the election or removal of directors and transactions involving a change of control. For example, the Company’s Amended and Restated Bylaws provide that:</w:t>
      </w:r>
    </w:p>
    <w:p>
      <w:pPr>
        <w:spacing w:after="0" w:line="205" w:lineRule="exact"/>
        <w:rPr>
          <w:sz w:val="20"/>
          <w:szCs w:val="20"/>
          <w:color w:val="auto"/>
        </w:rPr>
      </w:pPr>
    </w:p>
    <w:p>
      <w:pPr>
        <w:jc w:val="both"/>
        <w:ind w:left="500" w:hanging="168"/>
        <w:spacing w:after="0" w:line="250"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affirmative vote of not less than a majority of the aggregate voting power of all outstanding shares of capital stock of the Company then entitled to vote generally in an election of directors, voting together as a single class, is required for the stockholders of the Company to amend, alter, change, repeal or adopt any bylaws of the Company;</w:t>
      </w:r>
    </w:p>
    <w:p>
      <w:pPr>
        <w:spacing w:after="0" w:line="199" w:lineRule="exact"/>
        <w:rPr>
          <w:rFonts w:ascii="Arial" w:cs="Arial" w:eastAsia="Arial" w:hAnsi="Arial"/>
          <w:sz w:val="20"/>
          <w:szCs w:val="20"/>
          <w:color w:val="auto"/>
        </w:rPr>
      </w:pPr>
    </w:p>
    <w:p>
      <w:pPr>
        <w:jc w:val="both"/>
        <w:ind w:left="500" w:hanging="168"/>
        <w:spacing w:after="0" w:line="263" w:lineRule="auto"/>
        <w:tabs>
          <w:tab w:leader="none" w:pos="5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or all of the directors of the Company may be removed from office at any time prior to the expiration of the director’s term of office, with or without cause, only by the affirmative vote of the holders of record of outstanding shares representing at least a majority of all the aggregate voting power of outstanding shares of stock of the Company then entitled to vote generally in the election of directors, voting together as a single class at a special meeting of stockholders called expressly for that purpose; and</w:t>
      </w:r>
    </w:p>
    <w:p>
      <w:pPr>
        <w:spacing w:after="0" w:line="190" w:lineRule="exact"/>
        <w:rPr>
          <w:rFonts w:ascii="Arial" w:cs="Arial" w:eastAsia="Arial" w:hAnsi="Arial"/>
          <w:sz w:val="19"/>
          <w:szCs w:val="19"/>
          <w:color w:val="auto"/>
        </w:rPr>
      </w:pPr>
    </w:p>
    <w:p>
      <w:pPr>
        <w:jc w:val="both"/>
        <w:ind w:left="500" w:hanging="168"/>
        <w:spacing w:after="0" w:line="29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the General Corporation Law of the State of Delaware, stockholders of the Company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Accordingly, other stockholders who may have different interests are unable to affect the outcome of any such corporate actions for so long as NAI retains voting control.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of NAI’s shares of the Company’s common stock could adversely affect the stock price.</w:t>
      </w:r>
    </w:p>
    <w:p>
      <w:pPr>
        <w:spacing w:after="0" w:line="2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At February 13, 2019, NAI directly or indirectly owned approximately 79.8% of the Company’s voting Class A Common Stock, and approximately 10.5% of the Company’s Class A Common Stock and non-voting Class B Common Stock on a combined basis. Based on information received from NAI, NAI has pledged to its lenders shares of the Company’s non-voting Class B Common Stock owned directly or indirectly by NAI. The aggregate number of shares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420"/>
          </w:cols>
          <w:pgMar w:left="240" w:top="366" w:right="2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8"/>
          <w:szCs w:val="18"/>
          <w:color w:val="auto"/>
        </w:rPr>
        <w:t>of non-voting Class B Common Stock pledged by NAI to its lenders represents approximately 4.8% of the Company’s total Class B Common Stock outstanding. If there is a default on NAI’s debt obligations and the lenders foreclose on the collateral, such Class B Common Stock could be sold, which sale could adversely affect the Company’s share price. There can be no assurance that NAI or its subsidiaries at some future time will not sell or pledge additional shares of the Company’s stock, which could adversely affect the Company’s share price.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Many factors may cause the stock price of the Company’s Class A Common Stock and Class B Common Stock to fluctuate.</w:t>
      </w:r>
    </w:p>
    <w:p>
      <w:pPr>
        <w:spacing w:after="0" w:line="2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stock price of Class A Common Stock and Class B Common Stock may fluctuate significantly as a result of many factors. These factors, some or all of which are beyond the Company’s control, include: actual or anticipated fluctuations in the Company’s operating results; changes in expectations as to the Company’s future financial performance or changes in financial estimates of securities analysts; success of the Company’s operating and growth strategies; investor anticipation of strategic, technological or regulatory threats, whether or not warranted by actual events; operating and stock price performance of other comparable companies; and realization of any of the risks described in these risk factors. In addition, the stock market has experienced volatility that often has been unrelated or disproportionate to the operating performance of particular companies. These broad market and industry fluctuations may adversely affect the trading prices of the Company’s common stock, regardless of the Company’s actual operating performance.</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The businesses of the Company and Viacom Inc. will be attributable to the other company for certain regulatory purposes, which may limit business opportunities.</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So long as the Company and Viacom Inc. are under common control, each company’s businesses, as well as the businesses of any other commonly controlled company, will be attributable to the other company for purposes of certain rules and regulations of the FCC, U.S. and non-U.S. antitrust rules and regulations and certain rules regarding political campaign contributions in the U.S., among others potentially. The businesses of one company will continue to be attributable to the other company for certain FCC and other purposes even after the two companies cease to be commonly controlled, if the two companies share common officers, directors, or attributable stockholders. As a result, the businesses and conduct of Viacom Inc. may have the effect of limiting and affecting the activities, strategic business alternatives and business terms available to the Company, including limitations to which the Company contractually agreed in connection with the Company’s separation of former Viacom Inc. (“Former Viacom”) into two publicly traded entities, CBS Corporation and new Viacom Inc., which was completed on December 31, 2005 (the “Separation”).</w:t>
      </w:r>
    </w:p>
    <w:p>
      <w:pPr>
        <w:spacing w:after="0" w:line="17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In connection with the Separation, each company will rely on the other company’s performance under various agreements between the companies.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connection with the Separation, the Company and Viacom Inc. entered into various agreements, including a Separation Agreement dated December 19, 2005, a Tax Matters Agreement dated December 30, 2005, which are filed as exhibits to this report, and certain related party arrangements pursuant to which the Company and Viacom Inc. will provide services and products to each other from and after the Separation. The Separation Agreement sets forth the allocation of assets, liabilities, rights and obligations of the Company and Viacom Inc. following the Separation, and includes indemnification obligations for such liabilities and obligations. In addition, pursuant to the Tax Matters Agreement, certain income tax liabilities and related responsibilities are allocated between, and indemnification obligations are assumed by, each of the Company and Viacom Inc. Each company will rely on the other to satisfy its performance and payment obligations under these agreements. Certain of the liabilities to be assumed or indemnified by the Company or Viacom Inc. under these agreements are legal or contractual liabilities of the other company. If Viacom Inc. were to breach or be unable to satisfy its material obligations under these agreements, including a failure to satisfy its indemnification obligations, the Company could suffer operational difficulties or significant losses.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420"/>
          </w:cols>
          <w:pgMar w:left="240" w:top="366" w:right="2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NAI and any common director may face actual or potential conflicts of interest.</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NAI has voting control of each of the Company and Viacom Inc. Mr. Sumner M. Redstone, the controlling stockholder through the SMR Trust, chairman of the board of directors and chief executive officer of NAI, serves as Chairman Emeritus of the Company and Chairman Emeritus of Viacom Inc. Ms. Shari Redstone, the president and a director of NAI, serves as Vice Chair of the Board of Directors of each of the Company and Viacom Inc. This ownership overlap and this common director could create, or appear to create, potential conflicts of interest when the Company’s and Viacom Inc.’s directors and controlling stockholder face decisions that could have different implications for the Company and Viacom Inc. For example, potential conflicts of interest could arise in connection with the resolution of any dispute between the Company and Viacom Inc. regarding the terms of the agreements governing the Separation and the relationship between the Company and Viacom Inc. thereafter. These agreements include the Separation Agreement, the Tax Matters Agreement and any commercial agreements between the parties or their affiliates. On occasion, the Company and Viacom Inc. may compete with each other in various commercial enterprises. Potential conflicts of interest could also arise if the Company and Viacom Inc. enter into any commercial arrangements with each other in the future. CBS Corp.’s certificate of incorporation contains provisions related to corporate opportunities that may be of interest to both the Company and Viacom Inc. CBS Corp.’s certificate of incorporation provides that in the event that a director, officer or controlling stockholder of the Company who is also a director, officer or controlling stockholder of Viacom Inc. acquires knowledge of a potential corporate opportunity for both the Company and Viacom Inc., such director, officer or controlling stockholder may present such opportunity to the Company or Viacom Inc. or both, as such director, officer or controlling stockholder deems appropriate in his or her sole discretion, and that by doing so such person will have satisfied his or her fiduciary duties to the Company and its stockholders. In addition, CBS Corp.’s certificate of incorporation provides that the Company renounces any interest in any such opportunity presented to Viacom Inc. Furthermore, CBS Corp.’s certificate of incorporation provides that neither the Company nor Viacom Inc. has any duty to refrain from engaging in the same or similar activities or lines of business as the other corporation, doing business with any potential or actual customer or supplier of the other corporation, or employing or soliciting for employment any officer or employee of the other corporation, and that no officer or director of either corporation shall be liable to the other corporation or the other corporation’s stockholders for breach of any fiduciary duty by reason of any such activities of the Company or Viacom Inc., as the case may be. These provisions create the possibility that a corporate opportunity of one of such companies may be used for the benefit of the other company. If any such opportunity is directed to Viacom Inc., rather than the Company, the Company may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b w:val="1"/>
          <w:bCs w:val="1"/>
          <w:i w:val="1"/>
          <w:iCs w:val="1"/>
          <w:color w:val="auto"/>
        </w:rPr>
        <w:t>Properties.</w:t>
      </w:r>
    </w:p>
    <w:p>
      <w:pPr>
        <w:spacing w:after="0" w:line="22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The Company maintains its world headquarters at 51 West 52nd Street, New York, New York, where it owns a building containing approximately 900,000 square feet of space, 831,000 square feet of which is office space. The Company occupies approximately 275,000 square feet of the office space and leases the balance to third parties. The Company owns the CBS Broadcast Center complex located on approximately 3.7 acres at 524 West 57th Street, New York, New York, which consists of approximately 860,000 square feet of office and studio space. The Company also owns studio facilities at the CBS Studio Center at 4024 Radford Avenue, Studio City, California, located on approximately 40 acres. On January 31, 2019, the Company sold the studio facilities known as CBS Television City, located at 7800 Beverly Boulevard, Los Angeles, California, on approximately 25 acres. Showtime Networks leases approximately 230,000 square feet at 1633 Broadway, New York, New York, under a lease which expires in 2026. Simon &amp; Schuster leases approximately 300,000 square feet of office space at 1230 Avenue of the Americas, New York, New York, which lease runs to 2034. CBS Interactive leases approximately 283,000 square feet of space at 235 Second Street, San Francisco, California, under a lease which expires in 2022. CBS Interactive subleases approximately 90,000 square feet of this space to third parties. Network 10 leases approximately 100,000 square feet of space in the suburbs of Sydney, Australia at 1 Saunders Street, Pyrmont, New South Wales, Australia, under a lease which expires in December 2023. The Company and its subsidiaries also own and lease office, studio and warehouse space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420"/>
          </w:cols>
          <w:pgMar w:left="240" w:top="360" w:right="2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20"/>
          <w:szCs w:val="20"/>
          <w:color w:val="auto"/>
        </w:rPr>
        <w:t>broadcast, antenna and satellite transmission facilities throughout the U.S., Canada and several other foreign countries for its businesses. The Company considers its properties adequate for its present needs.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On an ongoing basis, the Company vigorously defends itself in numerous lawsuits and proceedings and responds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and inquiries from federal, state, local and international authorities (collectively, “litigation’’). Litigation may be brought against the Company without merit, is inherently uncertain and always difficult to predict. However, based on its understanding and evaluation of the relevant facts and circumstances, the Company believes that the below-described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Investigation-Related Matters</w:t>
      </w:r>
      <w:r>
        <w:rPr>
          <w:rFonts w:ascii="Arial" w:cs="Arial" w:eastAsia="Arial" w:hAnsi="Arial"/>
          <w:sz w:val="18"/>
          <w:szCs w:val="18"/>
          <w:color w:val="auto"/>
        </w:rPr>
        <w:t>. As announced on August 1, 2018, the Company’s Board of Directors (“Board”) retained two law firms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 full investigation of the allegations in recent press reports about the Company’s former Chairman of the Board, President and Chief Executive Officer, Mr. Leslie Moonves, CBS News and cultural issues at all levels of the Company. On December 17, 2018, the Board announced the completion of the investigation, certain findings of the investigation and the Board’s determination, discussed below, with respect to the termination of Mr. Moonves’s employment. The Company has received subpoenas from the New York County District Attorney’s Office and the New York City Commission on Human Rights regarding the subject matter of this investigation and related matters. The New York State Attorney General’s Office has also requested information about these matters. The Company may receive additional related regulatory and investigative inquiries from these and other entities in the future. The Company is cooperating with these inquiries.</w:t>
      </w:r>
    </w:p>
    <w:p>
      <w:pPr>
        <w:spacing w:after="0" w:line="183"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6"/>
          <w:szCs w:val="16"/>
          <w:color w:val="auto"/>
        </w:rPr>
        <w:t>On August 27, 2018 and on October 1, 2018, each of Gene Samit and John Lantz, respectively, filed putative class action 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the Company, certain current and former senior executives and members of the Board. The consolidated action is stated to be on behalf of purchasers of the Company’s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w:t>
      </w:r>
    </w:p>
    <w:p>
      <w:pPr>
        <w:spacing w:after="0" w:line="3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i w:val="1"/>
          <w:iCs w:val="1"/>
          <w:color w:val="auto"/>
        </w:rPr>
        <w:t>Separation Agreement</w:t>
      </w:r>
      <w:r>
        <w:rPr>
          <w:rFonts w:ascii="Arial" w:cs="Arial" w:eastAsia="Arial" w:hAnsi="Arial"/>
          <w:sz w:val="18"/>
          <w:szCs w:val="18"/>
          <w:color w:val="auto"/>
        </w:rPr>
        <w:t>. On September 9, 2018, the Company entered into a separation and settlement agreement and releases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Agreement”) with Mr. Leslie Moonves, pursuant to which Mr. Moonves resigned as a director and as Chairman of the Board, President and Chief Executive Officer of the Company. Pursuant to the Separation Agreement, the Company is contributing the aggregate amount of $20 million toward various charitable organizations that support the #MeToo movement and equality for women in the workplace, which organizations were mutually agreed by the Company and Mr. Moonves. The Company has recorded the contribution of $20 million in “Restructuring and other corporate matters” on the Consolidated Statements of Operations for the year ended December 31, 2018. In October 2018, the Company contributed $120 million to a grantor trust. On December 17, 2018, the Board announced that, following its consideration of the findings of the investigation referred to above, it had determined that there were grounds to terminate Mr. Moonves’s employment for cause under his employment agreement with the Company. Any dispute related to the Board’s determination is subject to binding arbitration as set forth in the Separation Agreement. On January 16, 2019, Mr. Moonves notified the Company of his election to demand binding arbitration with respect to this matter and the related Board investigation. The assets of the grantor trust will remain in the trust until a final determination in the arbitration. The Company is currently unable to determine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1420"/>
          </w:cols>
          <w:pgMar w:left="240" w:top="366" w:right="239" w:bottom="1440" w:gutter="0" w:footer="0" w:header="0"/>
        </w:sectPr>
      </w:pPr>
    </w:p>
    <w:bookmarkStart w:id="30" w:name="page31"/>
    <w:bookmarkEnd w:id="30"/>
    <w:p>
      <w:pPr>
        <w:jc w:val="both"/>
        <w:ind w:right="20"/>
        <w:spacing w:after="0" w:line="260" w:lineRule="auto"/>
        <w:rPr>
          <w:sz w:val="20"/>
          <w:szCs w:val="20"/>
          <w:color w:val="auto"/>
        </w:rPr>
      </w:pPr>
      <w:r>
        <w:rPr>
          <w:rFonts w:ascii="Arial" w:cs="Arial" w:eastAsia="Arial" w:hAnsi="Arial"/>
          <w:sz w:val="20"/>
          <w:szCs w:val="20"/>
          <w:color w:val="auto"/>
        </w:rPr>
        <w:t>outcome of the arbitration and the amount, if any, that may be awarded thereunder and, accordingly, no accrual for this matter has been made in the Company’s consolidated financial statements.</w:t>
      </w:r>
    </w:p>
    <w:p>
      <w:pPr>
        <w:spacing w:after="0" w:line="1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i w:val="1"/>
          <w:iCs w:val="1"/>
          <w:color w:val="auto"/>
        </w:rPr>
        <w:t xml:space="preserve">Claims Related to Former Businesses: Asbestos. </w:t>
      </w:r>
      <w:r>
        <w:rPr>
          <w:rFonts w:ascii="Arial" w:cs="Arial" w:eastAsia="Arial" w:hAnsi="Arial"/>
          <w:sz w:val="18"/>
          <w:szCs w:val="18"/>
          <w:color w:val="auto"/>
        </w:rPr>
        <w:t>The Company is a defendant in lawsuits claiming various personal injuries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asbestos and other materials, which 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most commonly relate to allegations of exposure to asbestos-containing insulating material used in conjunction with turbines.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that some jurisdictions have established for claimants who allege minimal or no impairment. As of December 31, 2018, the Company had pending approximately 31,570 asbestos claims, as compared with approximately 31,660 as of December 31, 2017 and 33,610 as of December 31, 2016. During 2018, the Company received approximately 3,290 new claims and closed or moved to an inactive docket approximately 3,380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claims, the quality of evidence supporting the claims and other factors. The Company’s total costs for the years 2018 and 2017 for settlement and defense of asbestos claims after insurance recoveries and net of tax were approximately $45 million and $57 million, respectively. The Company’s costs for settlement and defense of asbestos claims may vary year to year and insurance proceeds are not always recovered in the same period as the insured portion of the expenses.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the Company are non-cancer claims. The Company believes that its reserves and insurance are adequate to cover its asbestos liabilities. This belief is based upon many factors and assumptions, including the number of outstanding claims, estimated average cost per claim, the breakdown of claims by disease type, historic claim filings, costs per claim of resolution and the filing of new claims. While the number of asbestos claims filed against the Company has remained generally flat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i w:val="1"/>
          <w:iCs w:val="1"/>
          <w:color w:val="auto"/>
        </w:rPr>
        <w:t xml:space="preserve">Other. </w:t>
      </w:r>
      <w:r>
        <w:rPr>
          <w:rFonts w:ascii="Arial" w:cs="Arial" w:eastAsia="Arial" w:hAnsi="Arial"/>
          <w:sz w:val="19"/>
          <w:szCs w:val="19"/>
          <w:color w:val="auto"/>
        </w:rPr>
        <w:t>The Company from time to time receives claims from federal and state environmental regulatory agencies and other entities</w:t>
      </w:r>
      <w:r>
        <w:rPr>
          <w:rFonts w:ascii="Arial" w:cs="Arial" w:eastAsia="Arial" w:hAnsi="Arial"/>
          <w:sz w:val="19"/>
          <w:szCs w:val="19"/>
          <w:i w:val="1"/>
          <w:iCs w:val="1"/>
          <w:color w:val="auto"/>
        </w:rPr>
        <w:t xml:space="preserve"> </w:t>
      </w:r>
      <w:r>
        <w:rPr>
          <w:rFonts w:ascii="Arial" w:cs="Arial" w:eastAsia="Arial" w:hAnsi="Arial"/>
          <w:sz w:val="19"/>
          <w:szCs w:val="19"/>
          <w:color w:val="auto"/>
        </w:rPr>
        <w:t>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420"/>
          </w:cols>
          <w:pgMar w:left="240" w:top="366"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EXECUTIVE OFFICERS OF THE COMPANY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Set forth below is certain information concerning the executive officers of the Company as of February 13, 2019.</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800" w:type="dxa"/>
            <w:vAlign w:val="bottom"/>
            <w:gridSpan w:val="2"/>
          </w:tcPr>
          <w:p>
            <w:pPr>
              <w:ind w:left="20"/>
              <w:spacing w:after="0"/>
              <w:rPr>
                <w:sz w:val="20"/>
                <w:szCs w:val="20"/>
                <w:color w:val="auto"/>
              </w:rPr>
            </w:pPr>
            <w:r>
              <w:rPr>
                <w:rFonts w:ascii="Arial" w:cs="Arial" w:eastAsia="Arial" w:hAnsi="Arial"/>
                <w:sz w:val="20"/>
                <w:szCs w:val="20"/>
                <w:b w:val="1"/>
                <w:bCs w:val="1"/>
                <w:color w:val="auto"/>
              </w:rPr>
              <w:t>Name</w:t>
            </w:r>
          </w:p>
        </w:tc>
        <w:tc>
          <w:tcPr>
            <w:tcW w:w="100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4"/>
              </w:rPr>
              <w:t>Age</w:t>
            </w:r>
          </w:p>
        </w:tc>
        <w:tc>
          <w:tcPr>
            <w:tcW w:w="7400" w:type="dxa"/>
            <w:vAlign w:val="bottom"/>
          </w:tcPr>
          <w:p>
            <w:pPr>
              <w:ind w:left="3500"/>
              <w:spacing w:after="0"/>
              <w:rPr>
                <w:sz w:val="20"/>
                <w:szCs w:val="20"/>
                <w:color w:val="auto"/>
              </w:rPr>
            </w:pPr>
            <w:r>
              <w:rPr>
                <w:rFonts w:ascii="Arial" w:cs="Arial" w:eastAsia="Arial" w:hAnsi="Arial"/>
                <w:sz w:val="20"/>
                <w:szCs w:val="20"/>
                <w:b w:val="1"/>
                <w:bCs w:val="1"/>
                <w:color w:val="auto"/>
              </w:rPr>
              <w:t>Title</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54"/>
        </w:trPr>
        <w:tc>
          <w:tcPr>
            <w:tcW w:w="2800" w:type="dxa"/>
            <w:vAlign w:val="bottom"/>
            <w:gridSpan w:val="2"/>
          </w:tcPr>
          <w:p>
            <w:pPr>
              <w:spacing w:after="0"/>
              <w:rPr>
                <w:sz w:val="20"/>
                <w:szCs w:val="20"/>
                <w:color w:val="auto"/>
              </w:rPr>
            </w:pPr>
            <w:r>
              <w:rPr>
                <w:rFonts w:ascii="Arial" w:cs="Arial" w:eastAsia="Arial" w:hAnsi="Arial"/>
                <w:sz w:val="20"/>
                <w:szCs w:val="20"/>
                <w:color w:val="auto"/>
              </w:rPr>
              <w:t>Joseph R. Ianniello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51</w:t>
            </w:r>
          </w:p>
        </w:tc>
        <w:tc>
          <w:tcPr>
            <w:tcW w:w="320" w:type="dxa"/>
            <w:vAlign w:val="bottom"/>
          </w:tcPr>
          <w:p>
            <w:pPr>
              <w:spacing w:after="0"/>
              <w:rPr>
                <w:sz w:val="22"/>
                <w:szCs w:val="22"/>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President and Acting Chief Executive Officer</w:t>
            </w:r>
          </w:p>
        </w:tc>
      </w:tr>
      <w:tr>
        <w:trPr>
          <w:trHeight w:val="284"/>
        </w:trPr>
        <w:tc>
          <w:tcPr>
            <w:tcW w:w="2800" w:type="dxa"/>
            <w:vAlign w:val="bottom"/>
            <w:gridSpan w:val="2"/>
          </w:tcPr>
          <w:p>
            <w:pPr>
              <w:spacing w:after="0"/>
              <w:rPr>
                <w:sz w:val="20"/>
                <w:szCs w:val="20"/>
                <w:color w:val="auto"/>
              </w:rPr>
            </w:pPr>
            <w:r>
              <w:rPr>
                <w:rFonts w:ascii="Arial" w:cs="Arial" w:eastAsia="Arial" w:hAnsi="Arial"/>
                <w:sz w:val="20"/>
                <w:szCs w:val="20"/>
                <w:color w:val="auto"/>
              </w:rPr>
              <w:t>Jonathan H. Anschell</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3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Executive Vice President, Deputy General Counsel and Secretary</w:t>
            </w:r>
          </w:p>
        </w:tc>
      </w:tr>
      <w:tr>
        <w:trPr>
          <w:trHeight w:val="284"/>
        </w:trPr>
        <w:tc>
          <w:tcPr>
            <w:tcW w:w="2800" w:type="dxa"/>
            <w:vAlign w:val="bottom"/>
            <w:gridSpan w:val="2"/>
          </w:tcPr>
          <w:p>
            <w:pPr>
              <w:spacing w:after="0"/>
              <w:rPr>
                <w:sz w:val="20"/>
                <w:szCs w:val="20"/>
                <w:color w:val="auto"/>
              </w:rPr>
            </w:pPr>
            <w:r>
              <w:rPr>
                <w:rFonts w:ascii="Arial" w:cs="Arial" w:eastAsia="Arial" w:hAnsi="Arial"/>
                <w:sz w:val="20"/>
                <w:szCs w:val="20"/>
                <w:color w:val="auto"/>
              </w:rPr>
              <w:t>Richard M. Jones</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53</w:t>
            </w:r>
          </w:p>
        </w:tc>
        <w:tc>
          <w:tcPr>
            <w:tcW w:w="3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Executive Vice President and General Tax Counsel</w:t>
            </w:r>
          </w:p>
        </w:tc>
      </w:tr>
      <w:tr>
        <w:trPr>
          <w:trHeight w:val="284"/>
        </w:trPr>
        <w:tc>
          <w:tcPr>
            <w:tcW w:w="2800" w:type="dxa"/>
            <w:vAlign w:val="bottom"/>
            <w:gridSpan w:val="2"/>
          </w:tcPr>
          <w:p>
            <w:pPr>
              <w:spacing w:after="0"/>
              <w:rPr>
                <w:sz w:val="20"/>
                <w:szCs w:val="20"/>
                <w:color w:val="auto"/>
              </w:rPr>
            </w:pPr>
            <w:r>
              <w:rPr>
                <w:rFonts w:ascii="Arial" w:cs="Arial" w:eastAsia="Arial" w:hAnsi="Arial"/>
                <w:sz w:val="20"/>
                <w:szCs w:val="20"/>
                <w:color w:val="auto"/>
              </w:rPr>
              <w:t>Lawrence Liding</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3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Executive Vice President, Controller and Chief Accounting Officer</w:t>
            </w:r>
          </w:p>
        </w:tc>
      </w:tr>
      <w:tr>
        <w:trPr>
          <w:trHeight w:val="284"/>
        </w:trPr>
        <w:tc>
          <w:tcPr>
            <w:tcW w:w="2800" w:type="dxa"/>
            <w:vAlign w:val="bottom"/>
            <w:gridSpan w:val="2"/>
          </w:tcPr>
          <w:p>
            <w:pPr>
              <w:spacing w:after="0"/>
              <w:rPr>
                <w:sz w:val="20"/>
                <w:szCs w:val="20"/>
                <w:color w:val="auto"/>
              </w:rPr>
            </w:pPr>
            <w:r>
              <w:rPr>
                <w:rFonts w:ascii="Arial" w:cs="Arial" w:eastAsia="Arial" w:hAnsi="Arial"/>
                <w:sz w:val="20"/>
                <w:szCs w:val="20"/>
                <w:color w:val="auto"/>
              </w:rPr>
              <w:t>Christina Spade</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49</w:t>
            </w:r>
          </w:p>
        </w:tc>
        <w:tc>
          <w:tcPr>
            <w:tcW w:w="3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Executive Vice President, Chief Financial Officer</w:t>
            </w:r>
          </w:p>
        </w:tc>
      </w:tr>
      <w:tr>
        <w:trPr>
          <w:trHeight w:val="284"/>
        </w:trPr>
        <w:tc>
          <w:tcPr>
            <w:tcW w:w="2800" w:type="dxa"/>
            <w:vAlign w:val="bottom"/>
            <w:gridSpan w:val="2"/>
          </w:tcPr>
          <w:p>
            <w:pPr>
              <w:spacing w:after="0"/>
              <w:rPr>
                <w:sz w:val="20"/>
                <w:szCs w:val="20"/>
                <w:color w:val="auto"/>
              </w:rPr>
            </w:pPr>
            <w:r>
              <w:rPr>
                <w:rFonts w:ascii="Arial" w:cs="Arial" w:eastAsia="Arial" w:hAnsi="Arial"/>
                <w:sz w:val="20"/>
                <w:szCs w:val="20"/>
                <w:color w:val="auto"/>
              </w:rPr>
              <w:t>Lawrence P. Tu</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64</w:t>
            </w:r>
          </w:p>
        </w:tc>
        <w:tc>
          <w:tcPr>
            <w:tcW w:w="3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0"/>
                <w:szCs w:val="20"/>
                <w:color w:val="auto"/>
              </w:rPr>
              <w:t>Senior Executive Vice President and Chief Legal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37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None of the executive officers of the Company is related to any other executive officer or director by blood, marriage or adoption.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Mr. Ianniello has been President and Acting Chief Executive Officer of the Company since September 2018. Prior to that, Mr. Ianniello served as Chief Operating Officer of the Company since June 2013 and as Executive Vice President and Chief Financial Officer of the Company since August 2009. Previously, he served as Deputy Chief Financial Officer of the Company since November 2008, as Senior Vice President, Chief Development Officer and Treasurer of the Company since September 2007, as Senior Vice President, Finance and Treasurer of the Company since January 1, 2006, as Senior Vice President and Treasurer of Former Viacom since July 2005 and as Vice President, Corporate Development of Former Viacom from 2000 to 2005.</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Mr. Anschell has been Executive Vice President, Deputy General Counsel and Secretary of the Company since January 1, 2016. Mr. Anschell also serves as Executive Vice President and General Counsel of CBS Broadcasting Inc., a position he has held since joining the Company in 2004. Mr. Anschell previously was a partner with the law firm, White O’Connor Curry in Los Angeles, California.</w:t>
      </w:r>
    </w:p>
    <w:p>
      <w:pPr>
        <w:spacing w:after="0" w:line="18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Mr. Jones has been Executive Vice President and General Tax Counsel since August 2014. Previously, he served as Senior Vice President and General Tax Counsel of the Company since January 1, 2006 and for Former Viacom since December 2005. Prior to that, he served as Vice President of Tax, Assistant Treasurer and Tax Counsel for NBC Universal, Inc. since 2003 and he served 13 years with Ernst &amp; Young in its media &amp; entertainment and transaction advisory services practices. Mr. Jones also serves as the Company’s Chief Veteran Officer and served honorably as a non-commissioned officer in the U.S. Army’s 75th Ranger Regiment and 10th Mountain Division.</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Mr. Liding has been Executive Vice President, Controller and Chief Accounting Officer of the Company since August 2014. Previously, he served as Senior Vice President, Controller and Chief Accounting Officer of the Company since October 2011, as Vice President, Deputy Controller of the Company since March 2010 and as Vice President, Assistant Controller since January 1, 2006. Prior to that, Mr. Liding joined Former Viacom in 1995 and served as Vice President of Financial Reporting from 2002 through 2005. Effective February 20, 2019, Mr. Liding has been appointed to a newly created role as head of the Company’s operations in China.</w:t>
      </w:r>
    </w:p>
    <w:p>
      <w:pPr>
        <w:spacing w:after="0" w:line="1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Effective February 20, 2019, Mr. David Byrnes has been appointed to succeed Mr. Liding to serve as the Company’s Senior Vice President, Controller and Chief Accounting Officer. Prior to such appointment, Mr. Byrnes, age 48, served as the Company’s Senior Vice President, Internal Audit since 2015 and as Senior Vice President, Finance, CBS Information Solutions &amp; Technology since 2014. Previously, Mr. Byrnes served as Vice President, Finance at Simon &amp; Schuster since 2009 and as Vice President, Corporate Development of the Company since 2008. Prior to that, Mr. Byrnes served five years at Automatic Data Processing, Inc. in various financial positions, including divisional Chief Financial Officer and Vice President of Financial Reporting and Policy, and served 11 years with KPMG LLP in its audit practice.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420"/>
          </w:cols>
          <w:pgMar w:left="240" w:top="360" w:right="239" w:bottom="1440" w:gutter="0" w:footer="0" w:header="0"/>
        </w:sectPr>
      </w:pPr>
    </w:p>
    <w:bookmarkStart w:id="32" w:name="page33"/>
    <w:bookmarkEnd w:id="32"/>
    <w:p>
      <w:pPr>
        <w:jc w:val="both"/>
        <w:ind w:firstLine="324"/>
        <w:spacing w:after="0" w:line="282" w:lineRule="auto"/>
        <w:rPr>
          <w:sz w:val="20"/>
          <w:szCs w:val="20"/>
          <w:color w:val="auto"/>
        </w:rPr>
      </w:pPr>
      <w:r>
        <w:rPr>
          <w:rFonts w:ascii="Arial" w:cs="Arial" w:eastAsia="Arial" w:hAnsi="Arial"/>
          <w:sz w:val="18"/>
          <w:szCs w:val="18"/>
          <w:color w:val="auto"/>
        </w:rPr>
        <w:t>Ms. Spade has been Executive Vice President, Chief Financial Officer of the Company since October 2018. Previously, she served as Executive Vice President, Chief Financial Officer and Strategy for Showtime Networks Inc. (“Showtime”) since 2013. Prior to that, Ms. Spade served as Senior Vice President, Affiliate Finance and Business Operations for Showtime since 2003. Prior to joining Showtime in 1997, Ms. Spade was an Audit Manager with PricewaterhouseCoopers LLP in its Entertainment, Media and Communications practice.</w:t>
      </w:r>
    </w:p>
    <w:p>
      <w:pPr>
        <w:spacing w:after="0" w:line="17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Mr. Tu has been Senior Executive Vice President and Chief Legal Officer of the Company since January 1, 2014. Previously, Mr. Tu served as Senior Vice President, General Counsel and Secretary of Dell Inc. since July 2004. Prior to that, Mr. Tu served as Executive Vice President and General Counsel of NBC Universal since 2001. He previously was a partner with the law firm, O’Melveny &amp; Myers LLP, and also served five years as managing partner of the firm’s Hong Kong office. Mr. Tu’s prior experience also includes serving as General Counsel Asia-Pacific for Goldman Sachs, attorney for the U.S. State Department, and law clerk for U.S. Supreme Court Justice Thurgood Marshall.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420"/>
          </w:cols>
          <w:pgMar w:left="240" w:top="36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36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i w:val="1"/>
          <w:iCs w:val="1"/>
          <w:color w:val="auto"/>
        </w:rPr>
        <w:t>Market for CBS Corporation’s Common Equity, Related Stockholder Matters and Purchases of Equity Securities.</w:t>
      </w:r>
    </w:p>
    <w:p>
      <w:pPr>
        <w:spacing w:after="0" w:line="200" w:lineRule="exact"/>
        <w:rPr>
          <w:sz w:val="20"/>
          <w:szCs w:val="20"/>
          <w:color w:val="auto"/>
        </w:rPr>
      </w:pPr>
    </w:p>
    <w:p>
      <w:pPr>
        <w:spacing w:after="0" w:line="23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CBS Corporation (the “Company” or “CBS Corp.”) voting Class A Common Stock and CBS Corporation non-voting Class B Common Stock are listed and traded on the New York Stock Exchange under the symbols “CBS.A” and “CBS”, respectively.</w:t>
      </w:r>
    </w:p>
    <w:p>
      <w:pPr>
        <w:spacing w:after="0" w:line="2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On January 31, 2019, the Company announced a quarterly cash dividend of $.18 per share on its Class A and Class B Common Stock, payable on April 1, 2019. The Company declared a quarterly cash dividend on its Class A and Class B Common Stock during each of the four quarters of 2018 and 2017, resulting in total annual dividends of $274 million, or $.72 per share, for 2018 and $289 million, or $.72 per share, for 2017. CBS Corp. currently expects to continue to pay a regular cash dividend to its stockholders.</w:t>
      </w:r>
    </w:p>
    <w:p>
      <w:pPr>
        <w:spacing w:after="0" w:line="23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November 2010, the Company announced that its Board of Directors approved a program to repurchase $1.5 billion of the Company’s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Below is a summary of CBS Corp.’s purchases of its Class B Common Stock during the three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83185</wp:posOffset>
            </wp:positionV>
            <wp:extent cx="67233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Total Number of</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Shares Purchased</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6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Price Per</w:t>
            </w: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as Part of Publicly</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Remaining</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(in millions, except per share amounts)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46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Announced Programs</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Authorization</w:t>
            </w:r>
          </w:p>
        </w:tc>
      </w:tr>
      <w:tr>
        <w:trPr>
          <w:trHeight w:val="27"/>
        </w:trPr>
        <w:tc>
          <w:tcPr>
            <w:tcW w:w="4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October 1, 2018 - October 31, 2018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55.62</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2,521</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November 1, 2018 - November 30, 2018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57.48</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2,515</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December 1, 2018 - December 31, 2018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43.59</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2,457</w:t>
            </w:r>
          </w:p>
        </w:tc>
      </w:tr>
      <w:tr>
        <w:trPr>
          <w:trHeight w:val="27"/>
        </w:trPr>
        <w:tc>
          <w:tcPr>
            <w:tcW w:w="4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1"/>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2,457</w:t>
            </w:r>
          </w:p>
        </w:tc>
      </w:tr>
    </w:tbl>
    <w:p>
      <w:pPr>
        <w:spacing w:after="0" w:line="11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As of February 13, 2019, there were approximately 1,368 record holders of CBS Corp. Class A Common Stock and approximately 18,516 record holders of CBS Corp. Class B Common Stock.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9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9"/>
          <w:szCs w:val="19"/>
          <w:b w:val="1"/>
          <w:bCs w:val="1"/>
          <w:color w:val="auto"/>
        </w:rPr>
        <w:t>erformance Graph</w:t>
      </w:r>
    </w:p>
    <w:p>
      <w:pPr>
        <w:spacing w:after="0" w:line="15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graph compares the cumulative total stockholder return on CBS Corp. Class A and Class B Common Stock with the cumulative total return on the companies listed in the Standard &amp; Poor’s 500 Stock Index (“S&amp;P 500”) and a Peer Group of companies identified below.</w:t>
      </w:r>
    </w:p>
    <w:p>
      <w:pPr>
        <w:spacing w:after="0" w:line="240"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The performance graph assumes $100 invested on December 31, 2013 in each of the Class A and Class B Common Stock of CBS Corp., the S&amp;P 500 and the Peer Group identified below including reinvestment of dividends, through the calendar year ended December 31, 2018.</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Total Cumulative Stockholder Return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Five-Year Period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86360</wp:posOffset>
            </wp:positionV>
            <wp:extent cx="6860540" cy="4502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0540"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CBS Corp. Class A Common Stock</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$89</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$84</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$105</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$98</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$73</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rPr>
              <w:t>CBS Corp. Class B Common Stock</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$88</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$75</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$103</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$97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$73</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$115</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$129</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$157</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$150</w:t>
            </w:r>
          </w:p>
        </w:tc>
      </w:tr>
      <w:tr>
        <w:trPr>
          <w:trHeight w:val="344"/>
        </w:trPr>
        <w:tc>
          <w:tcPr>
            <w:tcW w:w="3640" w:type="dxa"/>
            <w:vAlign w:val="bottom"/>
          </w:tcPr>
          <w:p>
            <w:pPr>
              <w:ind w:left="20"/>
              <w:spacing w:after="0"/>
              <w:rPr>
                <w:sz w:val="20"/>
                <w:szCs w:val="20"/>
                <w:color w:val="auto"/>
              </w:rPr>
            </w:pPr>
            <w:r>
              <w:rPr>
                <w:rFonts w:ascii="Arial" w:cs="Arial" w:eastAsia="Arial" w:hAnsi="Arial"/>
                <w:sz w:val="18"/>
                <w:szCs w:val="18"/>
                <w:color w:val="auto"/>
              </w:rPr>
              <w:t xml:space="preserve">Peer Group </w:t>
            </w:r>
            <w:r>
              <w:rPr>
                <w:rFonts w:ascii="Arial" w:cs="Arial" w:eastAsia="Arial" w:hAnsi="Arial"/>
                <w:sz w:val="25"/>
                <w:szCs w:val="25"/>
                <w:color w:val="auto"/>
                <w:vertAlign w:val="superscript"/>
              </w:rPr>
              <w:t>(a)</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$113</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$126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-29210</wp:posOffset>
            </wp:positionV>
            <wp:extent cx="68605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ind w:left="580" w:hanging="248"/>
        <w:spacing w:after="0" w:line="293" w:lineRule="auto"/>
        <w:tabs>
          <w:tab w:leader="none" w:pos="538"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Peer Group consists of the following companies: The Walt Disney Company, Twenty-First Century Fox, Inc. and Time Warner Inc. (“Time Warner”). In June 2018, Time Warner was acquired by AT&amp;T Inc. and as a result, the peer group performance reflects the conversion of Time Warner common stock to AT&amp;T Inc. common stock as of the date of the merger.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5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56"/>
        </w:trPr>
        <w:tc>
          <w:tcPr>
            <w:tcW w:w="1140" w:type="dxa"/>
            <w:vAlign w:val="bottom"/>
          </w:tcPr>
          <w:p>
            <w:pPr>
              <w:ind w:left="40"/>
              <w:spacing w:after="0"/>
              <w:rPr>
                <w:sz w:val="20"/>
                <w:szCs w:val="20"/>
                <w:color w:val="auto"/>
              </w:rPr>
            </w:pPr>
            <w:r>
              <w:rPr>
                <w:rFonts w:ascii="Arial" w:cs="Arial" w:eastAsia="Arial" w:hAnsi="Arial"/>
                <w:sz w:val="20"/>
                <w:szCs w:val="20"/>
                <w:b w:val="1"/>
                <w:bCs w:val="1"/>
                <w:color w:val="auto"/>
              </w:rPr>
              <w:t>Item 6.</w:t>
            </w:r>
          </w:p>
        </w:tc>
        <w:tc>
          <w:tcPr>
            <w:tcW w:w="364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Selected Financial Data.</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73"/>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CBS CORPORATION AND SUBSIDIARIES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(In millions, except per share amounts)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38"/>
        </w:trPr>
        <w:tc>
          <w:tcPr>
            <w:tcW w:w="114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gridSpan w:val="5"/>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70"/>
        </w:trPr>
        <w:tc>
          <w:tcPr>
            <w:tcW w:w="11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5"/>
          </w:tcPr>
          <w:p>
            <w:pPr>
              <w:jc w:val="right"/>
              <w:ind w:right="812"/>
              <w:spacing w:after="0" w:line="270" w:lineRule="exact"/>
              <w:rPr>
                <w:sz w:val="20"/>
                <w:szCs w:val="20"/>
                <w:color w:val="auto"/>
              </w:rPr>
            </w:pPr>
            <w:r>
              <w:rPr>
                <w:rFonts w:ascii="Arial" w:cs="Arial" w:eastAsia="Arial" w:hAnsi="Arial"/>
                <w:sz w:val="18"/>
                <w:szCs w:val="18"/>
                <w:b w:val="1"/>
                <w:bCs w:val="1"/>
                <w:color w:val="auto"/>
              </w:rPr>
              <w:t xml:space="preserve">Year Ended December 31, </w:t>
            </w:r>
            <w:r>
              <w:rPr>
                <w:rFonts w:ascii="Arial" w:cs="Arial" w:eastAsia="Arial" w:hAnsi="Arial"/>
                <w:sz w:val="25"/>
                <w:szCs w:val="25"/>
                <w:b w:val="1"/>
                <w:bCs w:val="1"/>
                <w:color w:val="auto"/>
                <w:vertAlign w:val="superscript"/>
              </w:rPr>
              <w:t>(a) (b)</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64"/>
        </w:trPr>
        <w:tc>
          <w:tcPr>
            <w:tcW w:w="114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2"/>
              <w:spacing w:after="0" w:line="264" w:lineRule="exact"/>
              <w:rPr>
                <w:sz w:val="20"/>
                <w:szCs w:val="20"/>
                <w:color w:val="auto"/>
              </w:rPr>
            </w:pPr>
            <w:r>
              <w:rPr>
                <w:rFonts w:ascii="Arial" w:cs="Arial" w:eastAsia="Arial" w:hAnsi="Arial"/>
                <w:sz w:val="30"/>
                <w:szCs w:val="30"/>
                <w:b w:val="1"/>
                <w:bCs w:val="1"/>
                <w:color w:val="auto"/>
                <w:w w:val="98"/>
                <w:vertAlign w:val="subscript"/>
              </w:rPr>
              <w:t>2018</w:t>
            </w:r>
            <w:r>
              <w:rPr>
                <w:rFonts w:ascii="Arial" w:cs="Arial" w:eastAsia="Arial" w:hAnsi="Arial"/>
                <w:sz w:val="12"/>
                <w:szCs w:val="12"/>
                <w:b w:val="1"/>
                <w:bCs w:val="1"/>
                <w:color w:val="auto"/>
                <w:w w:val="98"/>
              </w:rPr>
              <w:t xml:space="preserve"> (c) (d)</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52"/>
              <w:spacing w:after="0" w:line="264" w:lineRule="exact"/>
              <w:rPr>
                <w:sz w:val="20"/>
                <w:szCs w:val="20"/>
                <w:color w:val="auto"/>
              </w:rPr>
            </w:pPr>
            <w:r>
              <w:rPr>
                <w:rFonts w:ascii="Arial" w:cs="Arial" w:eastAsia="Arial" w:hAnsi="Arial"/>
                <w:sz w:val="30"/>
                <w:szCs w:val="30"/>
                <w:b w:val="1"/>
                <w:bCs w:val="1"/>
                <w:color w:val="auto"/>
                <w:w w:val="99"/>
                <w:vertAlign w:val="subscript"/>
              </w:rPr>
              <w:t>2017</w:t>
            </w:r>
            <w:r>
              <w:rPr>
                <w:rFonts w:ascii="Arial" w:cs="Arial" w:eastAsia="Arial" w:hAnsi="Arial"/>
                <w:sz w:val="12"/>
                <w:szCs w:val="12"/>
                <w:b w:val="1"/>
                <w:bCs w:val="1"/>
                <w:color w:val="auto"/>
                <w:w w:val="99"/>
              </w:rPr>
              <w:t xml:space="preserve"> (e) (f) (g)</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2"/>
              <w:spacing w:after="0" w:line="264" w:lineRule="exact"/>
              <w:rPr>
                <w:sz w:val="20"/>
                <w:szCs w:val="20"/>
                <w:color w:val="auto"/>
              </w:rPr>
            </w:pPr>
            <w:r>
              <w:rPr>
                <w:rFonts w:ascii="Arial" w:cs="Arial" w:eastAsia="Arial" w:hAnsi="Arial"/>
                <w:sz w:val="30"/>
                <w:szCs w:val="30"/>
                <w:b w:val="1"/>
                <w:bCs w:val="1"/>
                <w:color w:val="auto"/>
                <w:w w:val="95"/>
                <w:vertAlign w:val="subscript"/>
              </w:rPr>
              <w:t>2016</w:t>
            </w:r>
            <w:r>
              <w:rPr>
                <w:rFonts w:ascii="Arial" w:cs="Arial" w:eastAsia="Arial" w:hAnsi="Arial"/>
                <w:sz w:val="12"/>
                <w:szCs w:val="12"/>
                <w:b w:val="1"/>
                <w:bCs w:val="1"/>
                <w:color w:val="auto"/>
                <w:w w:val="95"/>
              </w:rPr>
              <w:t xml:space="preserve"> (e) (f)</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2"/>
              <w:spacing w:after="0" w:line="264" w:lineRule="exact"/>
              <w:rPr>
                <w:sz w:val="20"/>
                <w:szCs w:val="20"/>
                <w:color w:val="auto"/>
              </w:rPr>
            </w:pPr>
            <w:r>
              <w:rPr>
                <w:rFonts w:ascii="Arial" w:cs="Arial" w:eastAsia="Arial" w:hAnsi="Arial"/>
                <w:sz w:val="30"/>
                <w:szCs w:val="30"/>
                <w:b w:val="1"/>
                <w:bCs w:val="1"/>
                <w:color w:val="auto"/>
                <w:w w:val="93"/>
                <w:vertAlign w:val="subscript"/>
              </w:rPr>
              <w:t>2015</w:t>
            </w:r>
            <w:r>
              <w:rPr>
                <w:rFonts w:ascii="Arial" w:cs="Arial" w:eastAsia="Arial" w:hAnsi="Arial"/>
                <w:sz w:val="12"/>
                <w:szCs w:val="12"/>
                <w:b w:val="1"/>
                <w:bCs w:val="1"/>
                <w:color w:val="auto"/>
                <w:w w:val="93"/>
              </w:rPr>
              <w:t xml:space="preserve"> (e) (h)</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2"/>
              <w:spacing w:after="0" w:line="264" w:lineRule="exact"/>
              <w:rPr>
                <w:sz w:val="20"/>
                <w:szCs w:val="20"/>
                <w:color w:val="auto"/>
              </w:rPr>
            </w:pPr>
            <w:r>
              <w:rPr>
                <w:rFonts w:ascii="Arial" w:cs="Arial" w:eastAsia="Arial" w:hAnsi="Arial"/>
                <w:sz w:val="30"/>
                <w:szCs w:val="30"/>
                <w:b w:val="1"/>
                <w:bCs w:val="1"/>
                <w:color w:val="auto"/>
                <w:w w:val="93"/>
                <w:vertAlign w:val="subscript"/>
              </w:rPr>
              <w:t>2014</w:t>
            </w:r>
            <w:r>
              <w:rPr>
                <w:rFonts w:ascii="Arial" w:cs="Arial" w:eastAsia="Arial" w:hAnsi="Arial"/>
                <w:sz w:val="12"/>
                <w:szCs w:val="12"/>
                <w:b w:val="1"/>
                <w:bCs w:val="1"/>
                <w:color w:val="auto"/>
                <w:w w:val="93"/>
              </w:rPr>
              <w:t xml:space="preserve"> (e) (i)</w:t>
            </w: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13,692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13,166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12,671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12,519</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2,902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2,631</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1,151</w:t>
            </w:r>
          </w:p>
        </w:tc>
      </w:tr>
      <w:tr>
        <w:trPr>
          <w:trHeight w:val="256"/>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Net earnings (loss) from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1,808</w:t>
            </w:r>
          </w:p>
        </w:tc>
      </w:tr>
      <w:tr>
        <w:trPr>
          <w:trHeight w:val="230"/>
        </w:trPr>
        <w:tc>
          <w:tcPr>
            <w:tcW w:w="114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2,959</w:t>
            </w:r>
          </w:p>
        </w:tc>
      </w:tr>
      <w:tr>
        <w:trPr>
          <w:trHeight w:val="405"/>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Basic net earnings (loss) per common share: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w:t>
            </w:r>
          </w:p>
        </w:tc>
      </w:tr>
      <w:tr>
        <w:trPr>
          <w:trHeight w:val="256"/>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earnings (loss) from discontinued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3.29</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w w:val="90"/>
              </w:rPr>
              <w:t>operations</w:t>
            </w: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1140" w:type="dxa"/>
            <w:vAlign w:val="bottom"/>
          </w:tcPr>
          <w:p>
            <w:pPr>
              <w:ind w:left="200"/>
              <w:spacing w:after="0"/>
              <w:rPr>
                <w:sz w:val="20"/>
                <w:szCs w:val="20"/>
                <w:color w:val="auto"/>
              </w:rPr>
            </w:pPr>
            <w:r>
              <w:rPr>
                <w:rFonts w:ascii="Arial" w:cs="Arial" w:eastAsia="Arial" w:hAnsi="Arial"/>
                <w:sz w:val="18"/>
                <w:szCs w:val="18"/>
                <w:color w:val="auto"/>
                <w:w w:val="90"/>
              </w:rPr>
              <w:t>Net earnings</w:t>
            </w:r>
          </w:p>
        </w:tc>
        <w:tc>
          <w:tcPr>
            <w:tcW w:w="3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5.38</w:t>
            </w:r>
          </w:p>
        </w:tc>
      </w:tr>
      <w:tr>
        <w:trPr>
          <w:trHeight w:val="392"/>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Diluted net earnings (loss) per common share: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56"/>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earnings (loss) from discontinued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w w:val="90"/>
              </w:rPr>
              <w:t>operations</w:t>
            </w: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1140" w:type="dxa"/>
            <w:vAlign w:val="bottom"/>
          </w:tcPr>
          <w:p>
            <w:pPr>
              <w:ind w:left="200"/>
              <w:spacing w:after="0"/>
              <w:rPr>
                <w:sz w:val="20"/>
                <w:szCs w:val="20"/>
                <w:color w:val="auto"/>
              </w:rPr>
            </w:pPr>
            <w:r>
              <w:rPr>
                <w:rFonts w:ascii="Arial" w:cs="Arial" w:eastAsia="Arial" w:hAnsi="Arial"/>
                <w:sz w:val="18"/>
                <w:szCs w:val="18"/>
                <w:color w:val="auto"/>
                <w:w w:val="90"/>
              </w:rPr>
              <w:t>Net earnings</w:t>
            </w:r>
          </w:p>
        </w:tc>
        <w:tc>
          <w:tcPr>
            <w:tcW w:w="3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392"/>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Dividends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At Year End:</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1140" w:type="dxa"/>
            <w:vAlign w:val="bottom"/>
          </w:tcPr>
          <w:p>
            <w:pPr>
              <w:ind w:left="200"/>
              <w:spacing w:after="0"/>
              <w:rPr>
                <w:sz w:val="20"/>
                <w:szCs w:val="20"/>
                <w:color w:val="auto"/>
              </w:rPr>
            </w:pPr>
            <w:r>
              <w:rPr>
                <w:rFonts w:ascii="Arial" w:cs="Arial" w:eastAsia="Arial" w:hAnsi="Arial"/>
                <w:sz w:val="18"/>
                <w:szCs w:val="18"/>
                <w:color w:val="auto"/>
                <w:w w:val="90"/>
              </w:rPr>
              <w:t>Total assets:</w:t>
            </w:r>
          </w:p>
        </w:tc>
        <w:tc>
          <w:tcPr>
            <w:tcW w:w="3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21,847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20,830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19,642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18,695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18,372</w:t>
            </w:r>
          </w:p>
        </w:tc>
      </w:tr>
      <w:tr>
        <w:trPr>
          <w:trHeight w:val="27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4,596</w:t>
            </w:r>
          </w:p>
        </w:tc>
        <w:tc>
          <w:tcPr>
            <w:tcW w:w="2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5,070</w:t>
            </w:r>
          </w:p>
        </w:tc>
        <w:tc>
          <w:tcPr>
            <w:tcW w:w="2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5,563</w:t>
            </w:r>
          </w:p>
        </w:tc>
      </w:tr>
      <w:tr>
        <w:trPr>
          <w:trHeight w:val="270"/>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21,859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20,843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23,765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23,935</w:t>
            </w:r>
          </w:p>
        </w:tc>
      </w:tr>
      <w:tr>
        <w:trPr>
          <w:trHeight w:val="270"/>
        </w:trPr>
        <w:tc>
          <w:tcPr>
            <w:tcW w:w="114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3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7,112</w:t>
            </w:r>
          </w:p>
        </w:tc>
      </w:tr>
      <w:tr>
        <w:trPr>
          <w:trHeight w:val="27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140" w:type="dxa"/>
            <w:vAlign w:val="bottom"/>
          </w:tcPr>
          <w:p>
            <w:pPr>
              <w:ind w:left="380"/>
              <w:spacing w:after="0"/>
              <w:rPr>
                <w:sz w:val="20"/>
                <w:szCs w:val="20"/>
                <w:color w:val="auto"/>
              </w:rPr>
            </w:pPr>
            <w:r>
              <w:rPr>
                <w:rFonts w:ascii="Arial" w:cs="Arial" w:eastAsia="Arial" w:hAnsi="Arial"/>
                <w:sz w:val="18"/>
                <w:szCs w:val="18"/>
                <w:color w:val="auto"/>
                <w:w w:val="92"/>
              </w:rPr>
              <w:t>Total debt</w:t>
            </w:r>
          </w:p>
        </w:tc>
        <w:tc>
          <w:tcPr>
            <w:tcW w:w="3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10,720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7,112</w:t>
            </w:r>
          </w:p>
        </w:tc>
      </w:tr>
      <w:tr>
        <w:trPr>
          <w:trHeight w:val="270"/>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3,689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5,563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6,970</w:t>
            </w:r>
          </w:p>
        </w:tc>
      </w:tr>
      <w:tr>
        <w:trPr>
          <w:trHeight w:val="34"/>
        </w:trPr>
        <w:tc>
          <w:tcPr>
            <w:tcW w:w="11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260" w:hanging="252"/>
        <w:spacing w:after="0" w:line="275" w:lineRule="auto"/>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During the first quarter of 2018, CBS Corporation (the “Company” or “CBS Corp.”) adopted amended Financial Accounting Standards Board guidance on the presentation of net periodic pension and postretirement benefit cost (“net benefit cost”). As a result, the components of net benefit cost other than the service cost component are presented in the statement of operations below the subtotal of operating income. All prior periods have been recast to conform to this presentation.</w:t>
      </w:r>
    </w:p>
    <w:p>
      <w:pPr>
        <w:spacing w:after="0" w:line="1" w:lineRule="exact"/>
        <w:rPr>
          <w:rFonts w:ascii="Arial" w:cs="Arial" w:eastAsia="Arial" w:hAnsi="Arial"/>
          <w:sz w:val="15"/>
          <w:szCs w:val="15"/>
          <w:color w:val="auto"/>
        </w:rPr>
      </w:pPr>
    </w:p>
    <w:p>
      <w:pPr>
        <w:jc w:val="both"/>
        <w:ind w:left="260" w:hanging="252"/>
        <w:spacing w:after="0" w:line="258" w:lineRule="auto"/>
        <w:tabs>
          <w:tab w:leader="none" w:pos="269"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16, 2017, the Company completed the disposition of CBS Radio Inc. (“CBS Radio”) through a tax-free split-off. CBS Radio has been presented as a discontinued operation in the Company’s consolidated financial statements for all periods presented. Also included in discontinued operations is CBS Outdoor Americas Inc., which was disposed of in 2014, and Outdoor Europe, which was sold in 2013.</w:t>
      </w:r>
    </w:p>
    <w:p>
      <w:pPr>
        <w:ind w:left="260" w:hanging="252"/>
        <w:spacing w:after="0" w:line="264"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2018, the Company recorded expenses of $128 million primarily for professional fees related to legal proceedings, recent investigations at the Company and the evaluation of a potential combination with Viacom Inc.</w:t>
      </w:r>
    </w:p>
    <w:p>
      <w:pPr>
        <w:ind w:left="260" w:hanging="252"/>
        <w:spacing w:after="0" w:line="264" w:lineRule="auto"/>
        <w:tabs>
          <w:tab w:leader="none" w:pos="253"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2018, the Company reversed a valuation allowance of $140 million relating to capital loss carryforwards that will be utilized in connection with the sale of CBS Television City, which is classified as held for sale on the Consolidated Balance Sheets.</w:t>
      </w:r>
    </w:p>
    <w:p>
      <w:pPr>
        <w:jc w:val="both"/>
        <w:ind w:left="260" w:hanging="252"/>
        <w:spacing w:after="0" w:line="252" w:lineRule="auto"/>
        <w:tabs>
          <w:tab w:leader="none" w:pos="25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2017, net loss from discontinued operations, net of tax, includes a loss on the split-off of CBS Radio of $105 million, or $.26 per diluted share, and a market value adjustment of $980 million, or $2.41 per diluted share, recorded prior to the split-off to reduce the carrying value of CBS Radio to the value indicated by the stock valuation of Entercom Communications Corp. (“Entercom”). Included in net loss from discontinued operations, net of tax, are noncash impairment charges of $444 million ($427 million, net of tax), or $.95 per diluted share, in 2016, and $484 million ($297 million, net of tax), or $.61 per diluted share, in 2015, in each case to reduce the carrying value of CBS Radio’s intangible assets. For 2014, net earnings from discontinued operations, net of tax, included a gain on the disposal of Outdoor Americas Inc. of $1.56 billion, or $2.78 per diluted share.</w:t>
      </w:r>
    </w:p>
    <w:p>
      <w:pPr>
        <w:spacing w:after="0" w:line="2" w:lineRule="exact"/>
        <w:rPr>
          <w:rFonts w:ascii="Arial" w:cs="Arial" w:eastAsia="Arial" w:hAnsi="Arial"/>
          <w:sz w:val="16"/>
          <w:szCs w:val="16"/>
          <w:color w:val="auto"/>
        </w:rPr>
      </w:pPr>
    </w:p>
    <w:p>
      <w:pPr>
        <w:ind w:left="260" w:hanging="252"/>
        <w:spacing w:after="0" w:line="264" w:lineRule="auto"/>
        <w:tabs>
          <w:tab w:leader="none" w:pos="23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2017, the Company recorded a pension settlement charge of $352 million ($237 million, net of tax), or $.58 per diluted share, and in 2016, the Company recorded a pension settlement charge of $211 million ($130 million, net of tax), or $.29 per diluted share.</w:t>
      </w: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2017, the Company recorded a provisional charge of $129 million, or $.32 per diluted share, resulting from the enactment of federal tax legislation in December 2017.</w:t>
      </w:r>
    </w:p>
    <w:p>
      <w:pPr>
        <w:spacing w:after="0" w:line="43" w:lineRule="exact"/>
        <w:rPr>
          <w:rFonts w:ascii="Arial" w:cs="Arial" w:eastAsia="Arial" w:hAnsi="Arial"/>
          <w:sz w:val="15"/>
          <w:szCs w:val="15"/>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2015, the Company recorded gains from the sales of internet businesses in China of $139 million ($131 million, net of tax), or $.27 per diluted share.</w:t>
      </w:r>
    </w:p>
    <w:p>
      <w:pPr>
        <w:spacing w:after="0" w:line="32" w:lineRule="exact"/>
        <w:rPr>
          <w:rFonts w:ascii="Arial" w:cs="Arial" w:eastAsia="Arial" w:hAnsi="Arial"/>
          <w:sz w:val="16"/>
          <w:szCs w:val="16"/>
          <w:color w:val="auto"/>
        </w:rPr>
      </w:pPr>
    </w:p>
    <w:p>
      <w:pPr>
        <w:ind w:left="260" w:hanging="252"/>
        <w:spacing w:after="0" w:line="275" w:lineRule="auto"/>
        <w:tabs>
          <w:tab w:leader="none" w:pos="22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2014, in connection with the early redemption of $1.07 billion of its debt, the Company recorded a pretax loss on early extinguishment of debt of $352 million ($219 million, net of tax), or $.39 per diluted share.</w:t>
      </w:r>
    </w:p>
    <w:p>
      <w:pPr>
        <w:sectPr>
          <w:pgSz w:w="11900" w:h="16838" w:orient="portrait"/>
          <w:cols w:equalWidth="0" w:num="1">
            <w:col w:w="11420"/>
          </w:cols>
          <w:pgMar w:left="240" w:top="792" w:right="239" w:bottom="1111"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792" w:right="239" w:bottom="1111" w:gutter="0" w:footer="0" w:header="0"/>
          <w:type w:val="continuous"/>
        </w:sectPr>
      </w:pPr>
    </w:p>
    <w:bookmarkStart w:id="36" w:name="page37"/>
    <w:bookmarkEnd w:id="36"/>
    <w:p>
      <w:pPr>
        <w:ind w:left="40"/>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Results of Operations and Financial Condition.</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(Tabular dollars in millions, except per share amounts)</w:t>
      </w:r>
    </w:p>
    <w:p>
      <w:pPr>
        <w:spacing w:after="0" w:line="173" w:lineRule="exact"/>
        <w:rPr>
          <w:sz w:val="20"/>
          <w:szCs w:val="20"/>
          <w:color w:val="auto"/>
        </w:rPr>
      </w:pPr>
    </w:p>
    <w:p>
      <w:pPr>
        <w:ind w:right="620" w:firstLine="324"/>
        <w:spacing w:after="0" w:line="250" w:lineRule="auto"/>
        <w:rPr>
          <w:sz w:val="20"/>
          <w:szCs w:val="20"/>
          <w:color w:val="auto"/>
        </w:rPr>
      </w:pPr>
      <w:r>
        <w:rPr>
          <w:rFonts w:ascii="Arial" w:cs="Arial" w:eastAsia="Arial" w:hAnsi="Arial"/>
          <w:sz w:val="20"/>
          <w:szCs w:val="20"/>
          <w:color w:val="auto"/>
        </w:rPr>
        <w:t>Management’s discussion and analysis of the results of operations and financial condition of CBS Corporation (together with its consolidated subsidiaries, unless the context otherwise requires, the “Company” or “CBS Corp.”) should be read in conjunction with the consolidated financial statements and related notes.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Overview and Strategy</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The Company operates businesses which span the media and entertainment industries, including the CBS Television Network, cable networks, content production and distribution, television stations, direct-to-consumer digital streaming services and other internet-based businesses, and consumer publishing. The Company’s principal strategy is to create and acquire premium content that is widely accepted by audiences and generate affiliate and subscription fee, licensing and advertising revenues from the distribution of this content on multiple media platforms and to various geographic locations. The Company plans to increase its investment in premium content to enhance its opportunities for revenue growth, which include exhibiting the Company’s content on its direct-to-consumer digital streaming services; expanding the distribution of its content internationally; and securing compensation from multichannel video programming distributors (“MVPDs”), third-party live television digital streaming offerings (“virtual MVPDs”), and television stations affiliated with the CBS Television Network. The Company also seeks to grow its advertising revenues by monetizing all content viewership as industry measurements evolve to reflect viewers’ changing habits. The Company’s continued ability to capitalize on these and other emerging opportunities will provide incremental revenues across all of the Company’s main revenue streams.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Matters</w:t>
      </w:r>
    </w:p>
    <w:p>
      <w:pPr>
        <w:spacing w:after="0" w:line="1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In August 2018, the Company’s Board of Directors (the “Board”) retained two law firms to conduct a full investigation of allegations in recent press reports about the Company’s former Chairman of the Board, President and Chief Executive Officer, Mr. Leslie Moonves, CBS News and cultural issues at all levels of the Company. In September 2018, Mr. Moonves resigned as a director and as Chairman of the Board, President and Chief Executive Officer of the Company, pursuant to a separation and settlement agreement and releases, and the Company appointed its then Chief Operating Officer, Mr. Joseph R. Ianniello, as President and Acting Chief Executive Officer of the Company. The Board is conducting a search for a permanent Chief Executive Officer and Mr. Ianniello is a candidate in this search. On December 17, 2018, the Board announced the completion of the investigation and certain findings of the investigation. Also during 2018, the Company was involved in legal proceedings with its controlling shareholder, National Amusements, Inc., among others, which concluded with the dismissal of all claims pursuant to a settlement and release agreement. Pursuant to this agreement, on September 9, 2018, seven members of the Board resigned and the Board appointed six new members to the Board. On September 23, 2018, two directors who had served as members of the Board prior to September 9, 2018 resigned to pursue other interests, and, on October 21, 2018, another director resigned for health-related reasons. In addition, in early 2018, a potential combination with Viacom Inc. was evaluated by a special committee established by the Board. The uncertainties arising from leadership changes at the Company may have an adverse effect on the Company’s business. In connection with the aforementioned matters, the Company incurred expenses of $128 million in 2018. See “Legal Matters” for certain related information.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52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Highlights 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Consolidated results of operations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GAAP:</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14,514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13,692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822</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2,768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2,861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(93)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Net earnings from continuing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1,960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1,309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651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1,960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357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1,603</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Diluted EPS from continuing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1.92</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60 %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Diluted EPS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4.26</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Net cash flow provided by operating activities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1,426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887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539</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61 %</w:t>
            </w:r>
          </w:p>
        </w:tc>
      </w:tr>
      <w:tr>
        <w:trPr>
          <w:trHeight w:val="485"/>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 xml:space="preserve">Non-GAAP: </w:t>
            </w:r>
            <w:r>
              <w:rPr>
                <w:rFonts w:ascii="Arial" w:cs="Arial" w:eastAsia="Arial" w:hAnsi="Arial"/>
                <w:sz w:val="25"/>
                <w:szCs w:val="25"/>
                <w:i w:val="1"/>
                <w:iCs w:val="1"/>
                <w:color w:val="auto"/>
                <w:vertAlign w:val="superscript"/>
              </w:rPr>
              <w:t>(a)</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Adjusted operating income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3,048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2,905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143</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Adjusted net earnings from continuing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1,979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1,705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274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Adjusted net earnings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1,979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1,791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188</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Adjusted diluted EPS from continuing operations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4.19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Adjusted diluted EPS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4.40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Adjusted free cash flow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1,260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989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271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27 %</w:t>
            </w:r>
          </w:p>
        </w:tc>
      </w:tr>
      <w:tr>
        <w:trPr>
          <w:trHeight w:val="34"/>
        </w:trPr>
        <w:tc>
          <w:tcPr>
            <w:tcW w:w="4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n/m - not meaningful</w:t>
      </w:r>
    </w:p>
    <w:p>
      <w:pPr>
        <w:spacing w:after="0" w:line="73" w:lineRule="exact"/>
        <w:rPr>
          <w:sz w:val="20"/>
          <w:szCs w:val="20"/>
          <w:color w:val="auto"/>
        </w:rPr>
      </w:pPr>
    </w:p>
    <w:p>
      <w:pPr>
        <w:ind w:left="820" w:right="20" w:hanging="245"/>
        <w:spacing w:after="0" w:line="275"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pages II-8, II-9, II-35 and II-36 for reconciliations of adjusted results to the most directly comparable financial measures in accordance with accounting principles generally accepted in the United States (“GAAP”).</w:t>
      </w:r>
    </w:p>
    <w:p>
      <w:pPr>
        <w:spacing w:after="0" w:line="2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For 2018, revenues reached an all-time high of $14.51 billion, an increase of 6% from 2017, driven by growth across each of the Company’s main revenue streams. Advertising revenues grew 8%, driven by record political advertising sales from the 2018 midterm elections and the Company’s acquisition of Network 10 in the fourth quarter of 2017. These increases were partially offset by the absence of the National Semifinals and National Championship games of the </w:t>
      </w:r>
      <w:r>
        <w:rPr>
          <w:rFonts w:ascii="Arial" w:cs="Arial" w:eastAsia="Arial" w:hAnsi="Arial"/>
          <w:sz w:val="18"/>
          <w:szCs w:val="18"/>
          <w:i w:val="1"/>
          <w:iCs w:val="1"/>
          <w:color w:val="auto"/>
        </w:rPr>
        <w:t>NCAA Division I Men’s Basketball Championship</w:t>
      </w:r>
      <w:r>
        <w:rPr>
          <w:rFonts w:ascii="Arial" w:cs="Arial" w:eastAsia="Arial" w:hAnsi="Arial"/>
          <w:sz w:val="18"/>
          <w:szCs w:val="18"/>
          <w:color w:val="auto"/>
        </w:rPr>
        <w:t xml:space="preserve"> (“NCAA Tournament”) and five </w:t>
      </w:r>
      <w:r>
        <w:rPr>
          <w:rFonts w:ascii="Arial" w:cs="Arial" w:eastAsia="Arial" w:hAnsi="Arial"/>
          <w:sz w:val="18"/>
          <w:szCs w:val="18"/>
          <w:i w:val="1"/>
          <w:iCs w:val="1"/>
          <w:color w:val="auto"/>
        </w:rPr>
        <w:t xml:space="preserve">Thursday Night Football </w:t>
      </w:r>
      <w:r>
        <w:rPr>
          <w:rFonts w:ascii="Arial" w:cs="Arial" w:eastAsia="Arial" w:hAnsi="Arial"/>
          <w:sz w:val="18"/>
          <w:szCs w:val="18"/>
          <w:color w:val="auto"/>
        </w:rPr>
        <w:t>games, which were broadcast by the CBS Television Network in 2017. During 2018, the Company experienced strong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demand for CBS Television Network advertising. Underlying CBS Television Network advertising revenues in 2018 were comparable with 2017, as higher pricing and higher ratings for Sunday National Football League (“NFL”) games were offset by lower ratings for the Company’s primetime programming. Affiliate and subscription fees increased 7%, driven by 62% growth from the Company’s direct-to-consumer digital streaming services, </w:t>
      </w:r>
      <w:r>
        <w:rPr>
          <w:rFonts w:ascii="Arial" w:cs="Arial" w:eastAsia="Arial" w:hAnsi="Arial"/>
          <w:sz w:val="18"/>
          <w:szCs w:val="18"/>
          <w:i w:val="1"/>
          <w:iCs w:val="1"/>
          <w:color w:val="auto"/>
        </w:rPr>
        <w:t>CBS All Access</w:t>
      </w:r>
      <w:r>
        <w:rPr>
          <w:rFonts w:ascii="Arial" w:cs="Arial" w:eastAsia="Arial" w:hAnsi="Arial"/>
          <w:sz w:val="18"/>
          <w:szCs w:val="18"/>
          <w:color w:val="auto"/>
        </w:rPr>
        <w:t xml:space="preserve"> and </w:t>
      </w:r>
      <w:r>
        <w:rPr>
          <w:rFonts w:ascii="Arial" w:cs="Arial" w:eastAsia="Arial" w:hAnsi="Arial"/>
          <w:sz w:val="18"/>
          <w:szCs w:val="18"/>
          <w:i w:val="1"/>
          <w:iCs w:val="1"/>
          <w:color w:val="auto"/>
        </w:rPr>
        <w:t>Showtime</w:t>
      </w:r>
      <w:r>
        <w:rPr>
          <w:rFonts w:ascii="Arial" w:cs="Arial" w:eastAsia="Arial" w:hAnsi="Arial"/>
          <w:sz w:val="18"/>
          <w:szCs w:val="18"/>
          <w:color w:val="auto"/>
        </w:rPr>
        <w:t>, and higher station affiliation fees and retransmission revenues, including from virtual MVPDs. These increases were partially offset by Showtime Networks’ distribution of the Floyd Mayweather/Conor McGregor pay-per-view boxing event in 2017, which reduced the affiliate and subscription fee comparison by eight percentage points. Content licensing and distribution revenues were up 3%, mainly from higher international licensing and the adoption of a new revenue recognition standard in 2018. This new standard resulted in revenues from the distribution of third-party content now being recognized based on the gross amount of consideration received from the customer, with an offsetting increase to participation expenses (see “Adoption of New Revenue Standard”). These increases were partially offset by lower domestic licensing compared with 2017.</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57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Operating income decreased 3% from 2017. This comparison was impacted by several discrete items, including restructuring charges, costs relating to corporate matters and programming charges resulting from changes in the Company’s programming strategy, primarily at CBS Films. Adjusted operating income increased 5%, primarily reflecting the revenue growth, which was partially offset by an increased investment in content, including a higher number of premium series produced for the Company’s direct-to-consumer digital streaming services, as well as for distribution on other platforms. Net earnings for 2018 were $1.96 billion, or $5.14 per diluted share, compared with $357 million, or $.88 per diluted share, for 2017. The net earnings comparison was impacted by the following discrete items: the reversal of a valuation allowance in 2018, charges in 2017 resulting from a pension settlement and the enactment of federal tax legislation in December 2017 (the “Tax Reform Act”); and, in discontinued operations for 2017, a net loss from the split-off of CBS Radio Inc. (“CBS Radio”) and a noncash charge to adjust the carrying value of CBS Radio. (See Note 17 to the consolidated financial statements.) Adjusted diluted earnings per share (“EPS”) increased 18% to $5.19 for 2018, driven by the higher adjusted operating income and a lower effective income tax rate in 2018, which resulted from the Tax Reform Act, as well as lower weighted average shares outstanding. Adjusted operating income and adjusted diluted EPS are non-GAAP financial measures. See pages II-8 and II-9 for details of the discrete items excluded from financial results, and reconciliations of adjusted results to the most directly comparable financial measures in accordance with GAAP.</w:t>
      </w:r>
    </w:p>
    <w:p>
      <w:pPr>
        <w:spacing w:after="0" w:line="14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 generated operating cash flow from continuing operations of $1.43 billion in 2018 compared with $793 million in 2017, which included discretionary pension contributions of $600 million to prefund the Company’s qualified pension plans. Adjusted free cash flow was $1.26 billion for 2018 compared with $989 million for 2017. These increases primarily reflected lower cash payments for income taxes and growth in affiliate and subscription fees, which were partially offset by the aforementioned increased investment in content. Adjusted free cash flow is a non-GAAP financial measure. See “Free Cash Flow and Adjusted Free Cash Flow” on pages II-35 and II-36 for a reconciliation of net cash flow provided by (used for) operating activities, the most directly comparable financial measure in accordance with GAAP, to adjusted free cash flow.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 Repurchases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is a summary of the Company’s purchases of its Class B Common Stock during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103505</wp:posOffset>
            </wp:positionV>
            <wp:extent cx="70319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56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Total Number</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tcPr>
          <w:p>
            <w:pPr>
              <w:ind w:left="440"/>
              <w:spacing w:after="0"/>
              <w:rPr>
                <w:sz w:val="20"/>
                <w:szCs w:val="20"/>
                <w:color w:val="auto"/>
              </w:rPr>
            </w:pPr>
            <w:r>
              <w:rPr>
                <w:rFonts w:ascii="Arial" w:cs="Arial" w:eastAsia="Arial" w:hAnsi="Arial"/>
                <w:sz w:val="18"/>
                <w:szCs w:val="18"/>
                <w:b w:val="1"/>
                <w:bCs w:val="1"/>
                <w:color w:val="auto"/>
              </w:rPr>
              <w:t>Dollar Value</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560" w:type="dxa"/>
            <w:vAlign w:val="bottom"/>
          </w:tcPr>
          <w:p>
            <w:pPr>
              <w:jc w:val="center"/>
              <w:ind w:left="570"/>
              <w:spacing w:after="0"/>
              <w:rPr>
                <w:sz w:val="20"/>
                <w:szCs w:val="20"/>
                <w:color w:val="auto"/>
              </w:rPr>
            </w:pPr>
            <w:r>
              <w:rPr>
                <w:rFonts w:ascii="Arial" w:cs="Arial" w:eastAsia="Arial" w:hAnsi="Arial"/>
                <w:sz w:val="18"/>
                <w:szCs w:val="18"/>
                <w:b w:val="1"/>
                <w:bCs w:val="1"/>
                <w:color w:val="auto"/>
                <w:w w:val="85"/>
              </w:rPr>
              <w:t>of Shares</w:t>
            </w: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56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w w:val="85"/>
              </w:rPr>
              <w:t>of Shares</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3000" w:type="dxa"/>
            <w:vAlign w:val="bottom"/>
          </w:tcPr>
          <w:p>
            <w:pPr>
              <w:spacing w:after="0"/>
              <w:rPr>
                <w:sz w:val="20"/>
                <w:szCs w:val="20"/>
                <w:color w:val="auto"/>
              </w:rPr>
            </w:pPr>
          </w:p>
        </w:tc>
        <w:tc>
          <w:tcPr>
            <w:tcW w:w="25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(in millions)</w:t>
            </w: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840" w:type="dxa"/>
            <w:vAlign w:val="bottom"/>
            <w:gridSpan w:val="2"/>
          </w:tcPr>
          <w:p>
            <w:pPr>
              <w:ind w:left="420"/>
              <w:spacing w:after="0"/>
              <w:rPr>
                <w:sz w:val="20"/>
                <w:szCs w:val="20"/>
                <w:color w:val="auto"/>
              </w:rPr>
            </w:pPr>
            <w:r>
              <w:rPr>
                <w:rFonts w:ascii="Arial" w:cs="Arial" w:eastAsia="Arial" w:hAnsi="Arial"/>
                <w:sz w:val="18"/>
                <w:szCs w:val="18"/>
                <w:b w:val="1"/>
                <w:bCs w:val="1"/>
                <w:color w:val="auto"/>
              </w:rPr>
              <w:t>Repurchased</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Authorization</w:t>
            </w:r>
          </w:p>
        </w:tc>
      </w:tr>
      <w:tr>
        <w:trPr>
          <w:trHeight w:val="27"/>
        </w:trPr>
        <w:tc>
          <w:tcPr>
            <w:tcW w:w="30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Share repurchase program</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11.5</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52.06</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600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2,457</w:t>
            </w:r>
          </w:p>
        </w:tc>
      </w:tr>
      <w:tr>
        <w:trPr>
          <w:trHeight w:val="34"/>
        </w:trPr>
        <w:tc>
          <w:tcPr>
            <w:tcW w:w="30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96520</wp:posOffset>
            </wp:positionV>
            <wp:extent cx="5282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167"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3"/>
                <w:szCs w:val="23"/>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3"/>
                <w:szCs w:val="23"/>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106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2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Dividends per share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 %</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Total dividends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289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34"/>
        </w:trPr>
        <w:tc>
          <w:tcPr>
            <w:tcW w:w="2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7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of New Revenue Standard</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the first quarter of 2018, the Company adopted Financial Accounting Standards Board (“FASB”) Accounting Standards Codification 606 (“ASC 606”) on the recognition of revenues which primarily resulted in two changes to the Company’s revenue recognition policies.</w:t>
      </w:r>
    </w:p>
    <w:p>
      <w:pPr>
        <w:spacing w:after="0" w:line="10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20"/>
          <w:szCs w:val="20"/>
          <w:i w:val="1"/>
          <w:iCs w:val="1"/>
          <w:color w:val="auto"/>
        </w:rPr>
      </w:pPr>
      <w:r>
        <w:rPr>
          <w:rFonts w:ascii="Arial" w:cs="Arial" w:eastAsia="Arial" w:hAnsi="Arial"/>
          <w:sz w:val="20"/>
          <w:szCs w:val="20"/>
          <w:i w:val="1"/>
          <w:iCs w:val="1"/>
          <w:color w:val="auto"/>
        </w:rPr>
        <w:t>Revenues from Distribution Arrangements</w:t>
      </w:r>
    </w:p>
    <w:p>
      <w:pPr>
        <w:spacing w:after="0" w:line="134" w:lineRule="exact"/>
        <w:rPr>
          <w:rFonts w:ascii="Arial" w:cs="Arial" w:eastAsia="Arial" w:hAnsi="Arial"/>
          <w:sz w:val="20"/>
          <w:szCs w:val="20"/>
          <w:i w:val="1"/>
          <w:iCs w:val="1"/>
          <w:color w:val="auto"/>
        </w:rPr>
      </w:pPr>
    </w:p>
    <w:p>
      <w:pPr>
        <w:jc w:val="both"/>
        <w:ind w:left="820"/>
        <w:spacing w:after="0" w:line="276" w:lineRule="auto"/>
        <w:rPr>
          <w:rFonts w:ascii="Arial" w:cs="Arial" w:eastAsia="Arial" w:hAnsi="Arial"/>
          <w:sz w:val="20"/>
          <w:szCs w:val="20"/>
          <w:i w:val="1"/>
          <w:iCs w:val="1"/>
          <w:color w:val="auto"/>
        </w:rPr>
      </w:pPr>
      <w:r>
        <w:rPr>
          <w:rFonts w:ascii="Arial" w:cs="Arial" w:eastAsia="Arial" w:hAnsi="Arial"/>
          <w:sz w:val="18"/>
          <w:szCs w:val="18"/>
          <w:color w:val="auto"/>
        </w:rPr>
        <w:t>Revenues from the Company’s distribution of third-party content are now recognized based on the gross amount of consideration received from the customer, with an offsetting participation expense recognized for the fees paid to the third party. Under previous accounting guidance, such revenues, which include content licensing and distribution revenues and advertising revenues, were recognized at the net amount retained by the Company after the payment of fees to the third party. For the year ended December 31, 2018, revenues and operating expenses relating to such distribution arrangements were each $279 million higher under ASC 606 than the amounts that would have been reported under previous accounting guidance, with no impact to operating income.</w:t>
      </w:r>
    </w:p>
    <w:p>
      <w:pPr>
        <w:spacing w:after="0" w:line="84" w:lineRule="exact"/>
        <w:rPr>
          <w:rFonts w:ascii="Arial" w:cs="Arial" w:eastAsia="Arial" w:hAnsi="Arial"/>
          <w:sz w:val="20"/>
          <w:szCs w:val="20"/>
          <w:i w:val="1"/>
          <w:iCs w:val="1"/>
          <w:color w:val="auto"/>
        </w:rPr>
      </w:pPr>
    </w:p>
    <w:p>
      <w:pPr>
        <w:ind w:left="820" w:hanging="326"/>
        <w:spacing w:after="0"/>
        <w:tabs>
          <w:tab w:leader="none" w:pos="820" w:val="left"/>
        </w:tabs>
        <w:numPr>
          <w:ilvl w:val="0"/>
          <w:numId w:val="9"/>
        </w:numPr>
        <w:rPr>
          <w:rFonts w:ascii="Arial" w:cs="Arial" w:eastAsia="Arial" w:hAnsi="Arial"/>
          <w:sz w:val="20"/>
          <w:szCs w:val="20"/>
          <w:i w:val="1"/>
          <w:iCs w:val="1"/>
          <w:color w:val="auto"/>
        </w:rPr>
      </w:pPr>
      <w:r>
        <w:rPr>
          <w:rFonts w:ascii="Arial" w:cs="Arial" w:eastAsia="Arial" w:hAnsi="Arial"/>
          <w:sz w:val="20"/>
          <w:szCs w:val="20"/>
          <w:i w:val="1"/>
          <w:iCs w:val="1"/>
          <w:color w:val="auto"/>
        </w:rPr>
        <w:t>Revenues from the Renewal of Licensing Agreements</w:t>
      </w:r>
    </w:p>
    <w:p>
      <w:pPr>
        <w:spacing w:after="0" w:line="134" w:lineRule="exact"/>
        <w:rPr>
          <w:rFonts w:ascii="Arial" w:cs="Arial" w:eastAsia="Arial" w:hAnsi="Arial"/>
          <w:sz w:val="20"/>
          <w:szCs w:val="20"/>
          <w:i w:val="1"/>
          <w:iCs w:val="1"/>
          <w:color w:val="auto"/>
        </w:rPr>
      </w:pPr>
    </w:p>
    <w:p>
      <w:pPr>
        <w:jc w:val="both"/>
        <w:ind w:left="820"/>
        <w:spacing w:after="0" w:line="276" w:lineRule="auto"/>
        <w:rPr>
          <w:rFonts w:ascii="Arial" w:cs="Arial" w:eastAsia="Arial" w:hAnsi="Arial"/>
          <w:sz w:val="20"/>
          <w:szCs w:val="20"/>
          <w:i w:val="1"/>
          <w:iCs w:val="1"/>
          <w:color w:val="auto"/>
        </w:rPr>
      </w:pPr>
      <w:r>
        <w:rPr>
          <w:rFonts w:ascii="Arial" w:cs="Arial" w:eastAsia="Arial" w:hAnsi="Arial"/>
          <w:sz w:val="18"/>
          <w:szCs w:val="18"/>
          <w:color w:val="auto"/>
        </w:rPr>
        <w:t>Revenues associated with the renewal of an existing license agreement are now recognized at the beginning of the renewal period. Under previous accounting guidance, these revenues were recognized upon the execution of such renewal. Content licensing and distribution revenue comparisons will continue to be impacted by fluctuations resulting from the timing of when Company-owned television series are made available for multiyear licensing agreements. Therefore, this change is not expected to have a material impact on the trend of the Company’s financial results. Additionally, historically, on an annual basis, revenues from renewals executed each year have approximated revenues associated with renewal periods that began in the same year.</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The Company applied the modified retrospective method of adoption and therefore, prior periods continue to be presented under previous accounting guidance. The following table presents the Company’s revenues, operating income, net earnings from continuing operations, and diluted EPS from continuing operations, as well as the corresponding year-over-year comparisons, as if results for the year ended December 31, 2017 were recognized under ASC 606. These amounts are non-GAAP financial measures and are reconciled below to the most directly comparable financial measures in accordance with GAAP. The Company believes that presenting its financial results for 2017 under ASC 606 is relevant and useful for investors because it allows investors to view results for 2017 on a basis consistent with the 2018 presentation, and makes it easier to compare the Company’s year-over-year results. If revenues were recognized under ASC 606 for 2017, the year-over-year comparisons to 2018 for operating income, net earnings from continuing operations and diluted EPS from continuing operations would have been similar to the comparisons on a reported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162560</wp:posOffset>
            </wp:positionV>
            <wp:extent cx="72377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60" w:type="dxa"/>
            <w:vAlign w:val="bottom"/>
            <w:gridSpan w:val="5"/>
          </w:tcPr>
          <w:p>
            <w:pPr>
              <w:ind w:left="180"/>
              <w:spacing w:after="0"/>
              <w:rPr>
                <w:sz w:val="20"/>
                <w:szCs w:val="20"/>
                <w:color w:val="auto"/>
              </w:rPr>
            </w:pPr>
            <w:r>
              <w:rPr>
                <w:rFonts w:ascii="Arial" w:cs="Arial" w:eastAsia="Arial" w:hAnsi="Arial"/>
                <w:sz w:val="18"/>
                <w:szCs w:val="18"/>
                <w:b w:val="1"/>
                <w:bCs w:val="1"/>
                <w:color w:val="auto"/>
                <w:w w:val="96"/>
              </w:rPr>
              <w:t>For the Year Ended December 31,</w:t>
            </w: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2017</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2018 Reported vs.</w:t>
            </w:r>
          </w:p>
        </w:tc>
      </w:tr>
      <w:tr>
        <w:trPr>
          <w:trHeight w:val="27"/>
        </w:trPr>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6"/>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ASC 606</w:t>
            </w:r>
          </w:p>
        </w:tc>
        <w:tc>
          <w:tcPr>
            <w:tcW w:w="1600" w:type="dxa"/>
            <w:vAlign w:val="bottom"/>
            <w:gridSpan w:val="3"/>
          </w:tcPr>
          <w:p>
            <w:pPr>
              <w:ind w:left="240"/>
              <w:spacing w:after="0"/>
              <w:rPr>
                <w:sz w:val="20"/>
                <w:szCs w:val="20"/>
                <w:color w:val="auto"/>
              </w:rPr>
            </w:pPr>
            <w:r>
              <w:rPr>
                <w:rFonts w:ascii="Arial" w:cs="Arial" w:eastAsia="Arial" w:hAnsi="Arial"/>
                <w:sz w:val="18"/>
                <w:szCs w:val="18"/>
                <w:b w:val="1"/>
                <w:bCs w:val="1"/>
                <w:color w:val="auto"/>
              </w:rPr>
              <w:t>Under ASC</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Under ASC</w:t>
            </w:r>
          </w:p>
        </w:tc>
      </w:tr>
      <w:tr>
        <w:trPr>
          <w:trHeight w:val="234"/>
        </w:trPr>
        <w:tc>
          <w:tcPr>
            <w:tcW w:w="330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1"/>
              </w:rPr>
              <w:t>2018 Reported</w:t>
            </w:r>
          </w:p>
        </w:tc>
        <w:tc>
          <w:tcPr>
            <w:tcW w:w="14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Reported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606</w:t>
            </w:r>
          </w:p>
        </w:tc>
        <w:tc>
          <w:tcPr>
            <w:tcW w:w="34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Reported</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606</w:t>
            </w:r>
          </w:p>
        </w:tc>
      </w:tr>
      <w:tr>
        <w:trPr>
          <w:trHeight w:val="27"/>
        </w:trPr>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13,692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239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13,931</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6 %</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4 %</w:t>
            </w:r>
          </w:p>
        </w:tc>
      </w:tr>
      <w:tr>
        <w:trPr>
          <w:trHeight w:val="392"/>
        </w:trPr>
        <w:tc>
          <w:tcPr>
            <w:tcW w:w="3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3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377"/>
        </w:trPr>
        <w:tc>
          <w:tcPr>
            <w:tcW w:w="3300" w:type="dxa"/>
            <w:vAlign w:val="bottom"/>
          </w:tcPr>
          <w:p>
            <w:pPr>
              <w:ind w:left="20"/>
              <w:spacing w:after="0"/>
              <w:rPr>
                <w:sz w:val="20"/>
                <w:szCs w:val="20"/>
                <w:color w:val="auto"/>
              </w:rPr>
            </w:pPr>
            <w:r>
              <w:rPr>
                <w:rFonts w:ascii="Arial" w:cs="Arial" w:eastAsia="Arial" w:hAnsi="Arial"/>
                <w:sz w:val="18"/>
                <w:szCs w:val="18"/>
                <w:color w:val="auto"/>
              </w:rPr>
              <w:t>Net earnings from</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1,309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1,305</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50 %</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50 %</w:t>
            </w:r>
          </w:p>
        </w:tc>
      </w:tr>
      <w:tr>
        <w:trPr>
          <w:trHeight w:val="377"/>
        </w:trPr>
        <w:tc>
          <w:tcPr>
            <w:tcW w:w="3300" w:type="dxa"/>
            <w:vAlign w:val="bottom"/>
          </w:tcPr>
          <w:p>
            <w:pPr>
              <w:ind w:left="20"/>
              <w:spacing w:after="0"/>
              <w:rPr>
                <w:sz w:val="20"/>
                <w:szCs w:val="20"/>
                <w:color w:val="auto"/>
              </w:rPr>
            </w:pPr>
            <w:r>
              <w:rPr>
                <w:rFonts w:ascii="Arial" w:cs="Arial" w:eastAsia="Arial" w:hAnsi="Arial"/>
                <w:sz w:val="18"/>
                <w:szCs w:val="18"/>
                <w:color w:val="auto"/>
              </w:rPr>
              <w:t>Diluted EPS from</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60 %</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60 %</w:t>
            </w:r>
          </w:p>
        </w:tc>
      </w:tr>
      <w:tr>
        <w:trPr>
          <w:trHeight w:val="34"/>
        </w:trPr>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57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Non-GAAP Measures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Results for the years ended December 31, 2018 and 2017 included discrete items that were not part of the normal course of operations. The following tables present non-GAAP financial measures, which exclude the impact of these discrete items, reconciled to the most directly comparable financial measures in accordance with GAAP. The Company believes that presenting its financial results adjusted for the impact of discrete items is relevant and useful for investors because it allows investors to view performance in a manner similar to the method used by the Company’s management and provides a clearer perspective on the underlying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98425</wp:posOffset>
            </wp:positionV>
            <wp:extent cx="48539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53940" cy="17145"/>
                    </a:xfrm>
                    <a:prstGeom prst="rect">
                      <a:avLst/>
                    </a:prstGeom>
                    <a:noFill/>
                  </pic:spPr>
                </pic:pic>
              </a:graphicData>
            </a:graphic>
          </wp:anchor>
        </w:drawing>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spacing w:after="0"/>
              <w:rPr>
                <w:sz w:val="20"/>
                <w:szCs w:val="20"/>
                <w:color w:val="auto"/>
              </w:rPr>
            </w:pPr>
          </w:p>
        </w:tc>
      </w:tr>
      <w:tr>
        <w:trPr>
          <w:trHeight w:val="27"/>
        </w:trPr>
        <w:tc>
          <w:tcPr>
            <w:tcW w:w="144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2,768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2,861</w:t>
            </w:r>
          </w:p>
        </w:tc>
        <w:tc>
          <w:tcPr>
            <w:tcW w:w="1440" w:type="dxa"/>
            <w:vAlign w:val="bottom"/>
          </w:tcPr>
          <w:p>
            <w:pPr>
              <w:spacing w:after="0"/>
              <w:rPr>
                <w:sz w:val="20"/>
                <w:szCs w:val="20"/>
                <w:color w:val="auto"/>
              </w:rPr>
            </w:pPr>
          </w:p>
        </w:tc>
      </w:tr>
      <w:tr>
        <w:trPr>
          <w:trHeight w:val="270"/>
        </w:trPr>
        <w:tc>
          <w:tcPr>
            <w:tcW w:w="144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Discrete items:</w:t>
            </w:r>
          </w:p>
        </w:tc>
        <w:tc>
          <w:tcPr>
            <w:tcW w:w="1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88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Corporate matters</w:t>
            </w:r>
          </w:p>
        </w:tc>
        <w:tc>
          <w:tcPr>
            <w:tcW w:w="188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Programming charges</w:t>
            </w:r>
          </w:p>
        </w:tc>
        <w:tc>
          <w:tcPr>
            <w:tcW w:w="188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3"/>
                <w:szCs w:val="23"/>
                <w:color w:val="auto"/>
              </w:rPr>
            </w:pPr>
          </w:p>
        </w:tc>
      </w:tr>
      <w:tr>
        <w:trPr>
          <w:trHeight w:val="297"/>
        </w:trPr>
        <w:tc>
          <w:tcPr>
            <w:tcW w:w="1440" w:type="dxa"/>
            <w:vAlign w:val="bottom"/>
          </w:tcPr>
          <w:p>
            <w:pPr>
              <w:spacing w:after="0"/>
              <w:rPr>
                <w:sz w:val="24"/>
                <w:szCs w:val="24"/>
                <w:color w:val="auto"/>
              </w:rPr>
            </w:pP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Other operating items, net </w:t>
            </w:r>
            <w:r>
              <w:rPr>
                <w:rFonts w:ascii="Arial" w:cs="Arial" w:eastAsia="Arial" w:hAnsi="Arial"/>
                <w:sz w:val="25"/>
                <w:szCs w:val="25"/>
                <w:color w:val="auto"/>
                <w:vertAlign w:val="superscript"/>
              </w:rPr>
              <w:t>(a)</w:t>
            </w:r>
          </w:p>
        </w:tc>
        <w:tc>
          <w:tcPr>
            <w:tcW w:w="1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40" w:type="dxa"/>
            <w:vAlign w:val="bottom"/>
          </w:tcPr>
          <w:p>
            <w:pPr>
              <w:spacing w:after="0"/>
              <w:rPr>
                <w:sz w:val="24"/>
                <w:szCs w:val="24"/>
                <w:color w:val="auto"/>
              </w:rPr>
            </w:pPr>
          </w:p>
        </w:tc>
      </w:tr>
      <w:tr>
        <w:trPr>
          <w:trHeight w:val="237"/>
        </w:trPr>
        <w:tc>
          <w:tcPr>
            <w:tcW w:w="1440" w:type="dxa"/>
            <w:vAlign w:val="bottom"/>
          </w:tcPr>
          <w:p>
            <w:pPr>
              <w:spacing w:after="0"/>
              <w:rPr>
                <w:sz w:val="20"/>
                <w:szCs w:val="20"/>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Adjusted operating income</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2,905</w:t>
            </w:r>
          </w:p>
        </w:tc>
        <w:tc>
          <w:tcPr>
            <w:tcW w:w="1440" w:type="dxa"/>
            <w:vAlign w:val="bottom"/>
          </w:tcPr>
          <w:p>
            <w:pPr>
              <w:spacing w:after="0"/>
              <w:rPr>
                <w:sz w:val="20"/>
                <w:szCs w:val="20"/>
                <w:color w:val="auto"/>
              </w:rPr>
            </w:pPr>
          </w:p>
        </w:tc>
      </w:tr>
      <w:tr>
        <w:trPr>
          <w:trHeight w:val="34"/>
        </w:trPr>
        <w:tc>
          <w:tcPr>
            <w:tcW w:w="144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142"/>
        </w:trPr>
        <w:tc>
          <w:tcPr>
            <w:tcW w:w="144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Net Earnings from</w:t>
            </w:r>
          </w:p>
        </w:tc>
        <w:tc>
          <w:tcPr>
            <w:tcW w:w="140" w:type="dxa"/>
            <w:vAlign w:val="bottom"/>
          </w:tcPr>
          <w:p>
            <w:pPr>
              <w:spacing w:after="0"/>
              <w:rPr>
                <w:sz w:val="18"/>
                <w:szCs w:val="18"/>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Diluted EPS from</w:t>
            </w:r>
          </w:p>
        </w:tc>
      </w:tr>
      <w:tr>
        <w:trPr>
          <w:trHeight w:val="261"/>
        </w:trPr>
        <w:tc>
          <w:tcPr>
            <w:tcW w:w="5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Continuing Operations</w:t>
            </w:r>
          </w:p>
        </w:tc>
        <w:tc>
          <w:tcPr>
            <w:tcW w:w="140" w:type="dxa"/>
            <w:vAlign w:val="bottom"/>
          </w:tcPr>
          <w:p>
            <w:pPr>
              <w:spacing w:after="0"/>
              <w:rPr>
                <w:sz w:val="22"/>
                <w:szCs w:val="22"/>
                <w:color w:val="auto"/>
              </w:rPr>
            </w:pPr>
          </w:p>
        </w:tc>
        <w:tc>
          <w:tcPr>
            <w:tcW w:w="2180" w:type="dxa"/>
            <w:vAlign w:val="bottom"/>
            <w:gridSpan w:val="4"/>
          </w:tcPr>
          <w:p>
            <w:pPr>
              <w:jc w:val="center"/>
              <w:ind w:right="220"/>
              <w:spacing w:after="0" w:line="262" w:lineRule="exact"/>
              <w:rPr>
                <w:sz w:val="20"/>
                <w:szCs w:val="20"/>
                <w:color w:val="auto"/>
              </w:rPr>
            </w:pPr>
            <w:r>
              <w:rPr>
                <w:rFonts w:ascii="Arial" w:cs="Arial" w:eastAsia="Arial" w:hAnsi="Arial"/>
                <w:sz w:val="18"/>
                <w:szCs w:val="18"/>
                <w:b w:val="1"/>
                <w:bCs w:val="1"/>
                <w:color w:val="auto"/>
                <w:w w:val="90"/>
              </w:rPr>
              <w:t xml:space="preserve">Continuing Operations </w:t>
            </w:r>
            <w:r>
              <w:rPr>
                <w:rFonts w:ascii="Arial" w:cs="Arial" w:eastAsia="Arial" w:hAnsi="Arial"/>
                <w:sz w:val="25"/>
                <w:szCs w:val="25"/>
                <w:color w:val="auto"/>
                <w:w w:val="90"/>
                <w:vertAlign w:val="superscript"/>
              </w:rPr>
              <w:t>(f)</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1,960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r>
      <w:tr>
        <w:trPr>
          <w:trHeight w:val="270"/>
        </w:trPr>
        <w:tc>
          <w:tcPr>
            <w:tcW w:w="5780" w:type="dxa"/>
            <w:vAlign w:val="bottom"/>
          </w:tcPr>
          <w:p>
            <w:pPr>
              <w:ind w:left="20"/>
              <w:spacing w:after="0"/>
              <w:rPr>
                <w:sz w:val="20"/>
                <w:szCs w:val="20"/>
                <w:color w:val="auto"/>
              </w:rPr>
            </w:pPr>
            <w:r>
              <w:rPr>
                <w:rFonts w:ascii="Arial" w:cs="Arial" w:eastAsia="Arial" w:hAnsi="Arial"/>
                <w:sz w:val="18"/>
                <w:szCs w:val="18"/>
                <w:color w:val="auto"/>
              </w:rPr>
              <w:t>Discrete items: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$17 million in 2018 and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$24 million in 2017)</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Corporate matters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$29 million)</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Programming charges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$21 million)</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Other operating items, net</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of a tax benefit of $4 million) </w:t>
            </w:r>
            <w:r>
              <w:rPr>
                <w:rFonts w:ascii="Arial" w:cs="Arial" w:eastAsia="Arial" w:hAnsi="Arial"/>
                <w:sz w:val="25"/>
                <w:szCs w:val="25"/>
                <w:color w:val="auto"/>
                <w:vertAlign w:val="superscript"/>
              </w:rPr>
              <w:t>(a)</w:t>
            </w:r>
          </w:p>
        </w:tc>
        <w:tc>
          <w:tcPr>
            <w:tcW w:w="1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$18 million)</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Pension settlement charge</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$115 million)</w:t>
            </w: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Write-down of investment</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of a tax benefit of $3 million) </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5"/>
                <w:szCs w:val="25"/>
                <w:color w:val="auto"/>
                <w:vertAlign w:val="superscript"/>
              </w:rPr>
              <w:t>(c)</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r>
      <w:tr>
        <w:trPr>
          <w:trHeight w:val="257"/>
        </w:trPr>
        <w:tc>
          <w:tcPr>
            <w:tcW w:w="5780" w:type="dxa"/>
            <w:vAlign w:val="bottom"/>
            <w:tcBorders>
              <w:bottom w:val="single" w:sz="8" w:color="auto"/>
            </w:tcBorders>
          </w:tcPr>
          <w:p>
            <w:pPr>
              <w:ind w:left="160"/>
              <w:spacing w:after="0" w:line="257" w:lineRule="exact"/>
              <w:rPr>
                <w:sz w:val="20"/>
                <w:szCs w:val="20"/>
                <w:color w:val="auto"/>
              </w:rPr>
            </w:pPr>
            <w:r>
              <w:rPr>
                <w:rFonts w:ascii="Arial" w:cs="Arial" w:eastAsia="Arial" w:hAnsi="Arial"/>
                <w:sz w:val="18"/>
                <w:szCs w:val="18"/>
                <w:color w:val="auto"/>
              </w:rPr>
              <w:t xml:space="preserve">Other tax items </w:t>
            </w:r>
            <w:r>
              <w:rPr>
                <w:rFonts w:ascii="Arial" w:cs="Arial" w:eastAsia="Arial" w:hAnsi="Arial"/>
                <w:sz w:val="25"/>
                <w:szCs w:val="25"/>
                <w:color w:val="auto"/>
                <w:vertAlign w:val="superscript"/>
              </w:rPr>
              <w:t>(d)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auto"/>
            </w:tcBorders>
          </w:tcPr>
          <w:p>
            <w:pPr>
              <w:spacing w:after="0"/>
              <w:rPr>
                <w:sz w:val="22"/>
                <w:szCs w:val="22"/>
                <w:color w:val="auto"/>
              </w:rPr>
            </w:pPr>
          </w:p>
        </w:tc>
      </w:tr>
      <w:tr>
        <w:trPr>
          <w:trHeight w:val="237"/>
        </w:trPr>
        <w:tc>
          <w:tcPr>
            <w:tcW w:w="5780" w:type="dxa"/>
            <w:vAlign w:val="bottom"/>
          </w:tcPr>
          <w:p>
            <w:pPr>
              <w:ind w:left="240"/>
              <w:spacing w:after="0"/>
              <w:rPr>
                <w:sz w:val="20"/>
                <w:szCs w:val="20"/>
                <w:color w:val="auto"/>
              </w:rPr>
            </w:pPr>
            <w:r>
              <w:rPr>
                <w:rFonts w:ascii="Arial" w:cs="Arial" w:eastAsia="Arial" w:hAnsi="Arial"/>
                <w:sz w:val="18"/>
                <w:szCs w:val="18"/>
                <w:color w:val="auto"/>
              </w:rPr>
              <w:t>Adjusted (Non-GAAP)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1,979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r>
      <w:tr>
        <w:trPr>
          <w:trHeight w:val="34"/>
        </w:trPr>
        <w:tc>
          <w:tcPr>
            <w:tcW w:w="5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57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386080</wp:posOffset>
            </wp:positionV>
            <wp:extent cx="66808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0835"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460" w:type="dxa"/>
        <w:tblCellMar>
          <w:top w:w="0" w:type="dxa"/>
          <w:left w:w="0" w:type="dxa"/>
          <w:bottom w:w="0" w:type="dxa"/>
          <w:right w:w="0" w:type="dxa"/>
        </w:tblCellMar>
      </w:tblPr>
      <w:tr>
        <w:trPr>
          <w:trHeight w:val="287"/>
        </w:trPr>
        <w:tc>
          <w:tcPr>
            <w:tcW w:w="5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ind w:left="34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Pr>
          <w:p>
            <w:pPr>
              <w:spacing w:after="0"/>
              <w:rPr>
                <w:sz w:val="24"/>
                <w:szCs w:val="24"/>
                <w:color w:val="auto"/>
              </w:rPr>
            </w:pPr>
          </w:p>
        </w:tc>
        <w:tc>
          <w:tcPr>
            <w:tcW w:w="2080" w:type="dxa"/>
            <w:vAlign w:val="bottom"/>
            <w:gridSpan w:val="4"/>
          </w:tcPr>
          <w:p>
            <w:pPr>
              <w:ind w:left="320"/>
              <w:spacing w:after="0"/>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25"/>
                <w:szCs w:val="25"/>
                <w:color w:val="auto"/>
                <w:vertAlign w:val="superscript"/>
              </w:rPr>
              <w:t>(f)</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1,960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r>
      <w:tr>
        <w:trPr>
          <w:trHeight w:val="270"/>
        </w:trPr>
        <w:tc>
          <w:tcPr>
            <w:tcW w:w="5780" w:type="dxa"/>
            <w:vAlign w:val="bottom"/>
          </w:tcPr>
          <w:p>
            <w:pPr>
              <w:ind w:left="20"/>
              <w:spacing w:after="0"/>
              <w:rPr>
                <w:sz w:val="20"/>
                <w:szCs w:val="20"/>
                <w:color w:val="auto"/>
              </w:rPr>
            </w:pPr>
            <w:r>
              <w:rPr>
                <w:rFonts w:ascii="Arial" w:cs="Arial" w:eastAsia="Arial" w:hAnsi="Arial"/>
                <w:sz w:val="18"/>
                <w:szCs w:val="18"/>
                <w:color w:val="auto"/>
              </w:rPr>
              <w:t>Discrete items:</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$17 million in 2018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$24 million in 2017)</w:t>
            </w:r>
          </w:p>
        </w:tc>
        <w:tc>
          <w:tcPr>
            <w:tcW w:w="2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Corporate matters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$29 million)</w:t>
            </w:r>
          </w:p>
        </w:tc>
        <w:tc>
          <w:tcPr>
            <w:tcW w:w="2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Programming charges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$21 million)</w:t>
            </w:r>
          </w:p>
        </w:tc>
        <w:tc>
          <w:tcPr>
            <w:tcW w:w="2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Other operating items, net</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of a tax benefit of $4 million)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$18 million)</w:t>
            </w:r>
          </w:p>
        </w:tc>
        <w:tc>
          <w:tcPr>
            <w:tcW w:w="2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Pension settlement charge</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 of a tax benefit of $115 million)</w:t>
            </w:r>
          </w:p>
        </w:tc>
        <w:tc>
          <w:tcPr>
            <w:tcW w:w="2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8"/>
                <w:szCs w:val="18"/>
                <w:color w:val="auto"/>
              </w:rPr>
              <w:t>Write-down of investment</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of a tax benefit of $3 million)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r>
      <w:tr>
        <w:trPr>
          <w:trHeight w:val="270"/>
        </w:trPr>
        <w:tc>
          <w:tcPr>
            <w:tcW w:w="5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Other tax items </w:t>
            </w:r>
            <w:r>
              <w:rPr>
                <w:rFonts w:ascii="Arial" w:cs="Arial" w:eastAsia="Arial" w:hAnsi="Arial"/>
                <w:sz w:val="25"/>
                <w:szCs w:val="25"/>
                <w:color w:val="auto"/>
                <w:vertAlign w:val="superscript"/>
              </w:rPr>
              <w:t>(d)</w:t>
            </w:r>
          </w:p>
        </w:tc>
        <w:tc>
          <w:tcPr>
            <w:tcW w:w="2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r>
      <w:tr>
        <w:trPr>
          <w:trHeight w:val="257"/>
        </w:trPr>
        <w:tc>
          <w:tcPr>
            <w:tcW w:w="5780" w:type="dxa"/>
            <w:vAlign w:val="bottom"/>
            <w:tcBorders>
              <w:bottom w:val="single" w:sz="8" w:color="auto"/>
            </w:tcBorders>
          </w:tcPr>
          <w:p>
            <w:pPr>
              <w:ind w:left="160"/>
              <w:spacing w:after="0" w:line="257" w:lineRule="exact"/>
              <w:rPr>
                <w:sz w:val="20"/>
                <w:szCs w:val="20"/>
                <w:color w:val="auto"/>
              </w:rPr>
            </w:pPr>
            <w:r>
              <w:rPr>
                <w:rFonts w:ascii="Arial" w:cs="Arial" w:eastAsia="Arial" w:hAnsi="Arial"/>
                <w:sz w:val="18"/>
                <w:szCs w:val="18"/>
                <w:color w:val="auto"/>
              </w:rPr>
              <w:t xml:space="preserve">Discontinued operations items </w:t>
            </w:r>
            <w:r>
              <w:rPr>
                <w:rFonts w:ascii="Arial" w:cs="Arial" w:eastAsia="Arial" w:hAnsi="Arial"/>
                <w:sz w:val="25"/>
                <w:szCs w:val="25"/>
                <w:color w:val="auto"/>
                <w:vertAlign w:val="superscript"/>
              </w:rPr>
              <w:t>(e)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auto"/>
            </w:tcBorders>
          </w:tcPr>
          <w:p>
            <w:pPr>
              <w:spacing w:after="0"/>
              <w:rPr>
                <w:sz w:val="22"/>
                <w:szCs w:val="22"/>
                <w:color w:val="auto"/>
              </w:rPr>
            </w:pPr>
          </w:p>
        </w:tc>
      </w:tr>
      <w:tr>
        <w:trPr>
          <w:trHeight w:val="237"/>
        </w:trPr>
        <w:tc>
          <w:tcPr>
            <w:tcW w:w="5780" w:type="dxa"/>
            <w:vAlign w:val="bottom"/>
          </w:tcPr>
          <w:p>
            <w:pPr>
              <w:ind w:left="240"/>
              <w:spacing w:after="0"/>
              <w:rPr>
                <w:sz w:val="20"/>
                <w:szCs w:val="20"/>
                <w:color w:val="auto"/>
              </w:rPr>
            </w:pPr>
            <w:r>
              <w:rPr>
                <w:rFonts w:ascii="Arial" w:cs="Arial" w:eastAsia="Arial" w:hAnsi="Arial"/>
                <w:sz w:val="18"/>
                <w:szCs w:val="18"/>
                <w:color w:val="auto"/>
              </w:rPr>
              <w:t>Adjusted (Non-GAAP)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1,979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1,791</w:t>
            </w:r>
          </w:p>
        </w:tc>
        <w:tc>
          <w:tcPr>
            <w:tcW w:w="3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66808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0835" cy="17145"/>
                    </a:xfrm>
                    <a:prstGeom prst="rect">
                      <a:avLst/>
                    </a:prstGeom>
                    <a:noFill/>
                  </pic:spPr>
                </pic:pic>
              </a:graphicData>
            </a:graphic>
          </wp:anchor>
        </w:drawing>
      </w:r>
    </w:p>
    <w:p>
      <w:pPr>
        <w:spacing w:after="0" w:line="38" w:lineRule="exact"/>
        <w:rPr>
          <w:sz w:val="20"/>
          <w:szCs w:val="20"/>
          <w:color w:val="auto"/>
        </w:rPr>
      </w:pPr>
    </w:p>
    <w:p>
      <w:pPr>
        <w:ind w:left="640" w:hanging="227"/>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 net gain relating to the disposition of property and equipment.</w:t>
      </w:r>
    </w:p>
    <w:p>
      <w:pPr>
        <w:spacing w:after="0" w:line="45" w:lineRule="exact"/>
        <w:rPr>
          <w:rFonts w:ascii="Arial" w:cs="Arial" w:eastAsia="Arial" w:hAnsi="Arial"/>
          <w:sz w:val="16"/>
          <w:szCs w:val="16"/>
          <w:color w:val="auto"/>
        </w:rPr>
      </w:pPr>
    </w:p>
    <w:p>
      <w:pPr>
        <w:ind w:left="640" w:hanging="227"/>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the write-down of an investment to its fair value.</w:t>
      </w:r>
    </w:p>
    <w:p>
      <w:pPr>
        <w:spacing w:after="0" w:line="45" w:lineRule="exact"/>
        <w:rPr>
          <w:rFonts w:ascii="Arial" w:cs="Arial" w:eastAsia="Arial" w:hAnsi="Arial"/>
          <w:sz w:val="16"/>
          <w:szCs w:val="16"/>
          <w:color w:val="auto"/>
        </w:rPr>
      </w:pPr>
    </w:p>
    <w:p>
      <w:pPr>
        <w:ind w:left="660" w:hanging="247"/>
        <w:spacing w:after="0" w:line="273" w:lineRule="auto"/>
        <w:tabs>
          <w:tab w:leader="none" w:pos="6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2018, reflects a net tax benefit associated with changes in tax law and for 2017, reflects a provisional charge resulting from the enactment of the Tax Reform Act in December 2017.</w:t>
      </w:r>
    </w:p>
    <w:p>
      <w:pPr>
        <w:ind w:left="660" w:hanging="247"/>
        <w:spacing w:after="0" w:line="270"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2018, reflects the reversal of a valuation allowance relating to capital loss carryforwards that will be utilized in connection with the sale of CBS Television City in the first quarter of 2019. For 2017, primarily reflects a tax benefit from the resolution of certain state income tax matters.</w:t>
      </w:r>
    </w:p>
    <w:p>
      <w:pPr>
        <w:jc w:val="both"/>
        <w:ind w:left="660" w:hanging="247"/>
        <w:spacing w:after="0" w:line="301" w:lineRule="auto"/>
        <w:tabs>
          <w:tab w:leader="none" w:pos="6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a loss on the split-off of CBS Radio of $105 million, or $.26 per diluted share; a market value adjustment of $980 million</w:t>
      </w:r>
      <w:r>
        <w:rPr>
          <w:rFonts w:ascii="Arial" w:cs="Arial" w:eastAsia="Arial" w:hAnsi="Arial"/>
          <w:sz w:val="17"/>
          <w:szCs w:val="17"/>
          <w:color w:val="auto"/>
        </w:rPr>
        <w:t>, or</w:t>
      </w:r>
      <w:r>
        <w:rPr>
          <w:rFonts w:ascii="Arial" w:cs="Arial" w:eastAsia="Arial" w:hAnsi="Arial"/>
          <w:sz w:val="15"/>
          <w:szCs w:val="15"/>
          <w:color w:val="auto"/>
        </w:rPr>
        <w:t xml:space="preserve"> $2.41 per diluted share, recorded prior to the split-off to reduce the carrying value of CBS Radio to the value indicated by the stock valuation of Entercom Communications Corp. (“Entercom”); adjustments to the loss on disposal of the Company’s Outdoor advertising business; restructuring charges at CBS Radio of $7 million ($4 million, net of tax); and a tax benefit of $45 million from the resolution of a tax matter in a foreign jurisdiction relating to a previously disposed business.</w:t>
      </w:r>
    </w:p>
    <w:p>
      <w:pPr>
        <w:spacing w:after="0" w:line="1" w:lineRule="exact"/>
        <w:rPr>
          <w:rFonts w:ascii="Arial" w:cs="Arial" w:eastAsia="Arial" w:hAnsi="Arial"/>
          <w:sz w:val="15"/>
          <w:szCs w:val="15"/>
          <w:color w:val="auto"/>
        </w:rPr>
      </w:pPr>
    </w:p>
    <w:p>
      <w:pPr>
        <w:ind w:left="620" w:hanging="2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may not sum as a result of rounding.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Operations—2018 vs. 2017</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Increase/(Decrease)</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3"/>
                <w:szCs w:val="23"/>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w:t>
            </w: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6,195</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5,753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442</w:t>
            </w:r>
          </w:p>
        </w:tc>
        <w:tc>
          <w:tcPr>
            <w:tcW w:w="1040" w:type="dxa"/>
            <w:vAlign w:val="bottom"/>
          </w:tcPr>
          <w:p>
            <w:pPr>
              <w:ind w:left="660"/>
              <w:spacing w:after="0"/>
              <w:rPr>
                <w:sz w:val="20"/>
                <w:szCs w:val="20"/>
                <w:color w:val="auto"/>
              </w:rPr>
            </w:pPr>
            <w:r>
              <w:rPr>
                <w:rFonts w:ascii="Arial" w:cs="Arial" w:eastAsia="Arial" w:hAnsi="Arial"/>
                <w:sz w:val="18"/>
                <w:szCs w:val="18"/>
                <w:color w:val="auto"/>
              </w:rPr>
              <w:t>8%</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Content licensing and distribution</w:t>
            </w:r>
          </w:p>
        </w:tc>
        <w:tc>
          <w:tcPr>
            <w:tcW w:w="50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4,081</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3,952</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129</w:t>
            </w:r>
          </w:p>
        </w:tc>
        <w:tc>
          <w:tcPr>
            <w:tcW w:w="1040" w:type="dxa"/>
            <w:vAlign w:val="bottom"/>
          </w:tcPr>
          <w:p>
            <w:pPr>
              <w:ind w:left="660"/>
              <w:spacing w:after="0"/>
              <w:rPr>
                <w:sz w:val="20"/>
                <w:szCs w:val="20"/>
                <w:color w:val="auto"/>
              </w:rPr>
            </w:pPr>
            <w:r>
              <w:rPr>
                <w:rFonts w:ascii="Arial" w:cs="Arial" w:eastAsia="Arial" w:hAnsi="Arial"/>
                <w:sz w:val="18"/>
                <w:szCs w:val="18"/>
                <w:color w:val="auto"/>
              </w:rPr>
              <w:t>3</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Affiliate and subscription fees</w:t>
            </w:r>
          </w:p>
        </w:tc>
        <w:tc>
          <w:tcPr>
            <w:tcW w:w="50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4,003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3,758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245</w:t>
            </w:r>
          </w:p>
        </w:tc>
        <w:tc>
          <w:tcPr>
            <w:tcW w:w="1040" w:type="dxa"/>
            <w:vAlign w:val="bottom"/>
          </w:tcPr>
          <w:p>
            <w:pPr>
              <w:ind w:left="660"/>
              <w:spacing w:after="0"/>
              <w:rPr>
                <w:sz w:val="20"/>
                <w:szCs w:val="20"/>
                <w:color w:val="auto"/>
              </w:rPr>
            </w:pPr>
            <w:r>
              <w:rPr>
                <w:rFonts w:ascii="Arial" w:cs="Arial" w:eastAsia="Arial" w:hAnsi="Arial"/>
                <w:sz w:val="18"/>
                <w:szCs w:val="18"/>
                <w:color w:val="auto"/>
              </w:rPr>
              <w:t>7</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229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1040" w:type="dxa"/>
            <w:vAlign w:val="bottom"/>
          </w:tcPr>
          <w:p>
            <w:pPr>
              <w:ind w:left="660"/>
              <w:spacing w:after="0"/>
              <w:rPr>
                <w:sz w:val="20"/>
                <w:szCs w:val="20"/>
                <w:color w:val="auto"/>
              </w:rPr>
            </w:pPr>
            <w:r>
              <w:rPr>
                <w:rFonts w:ascii="Arial" w:cs="Arial" w:eastAsia="Arial" w:hAnsi="Arial"/>
                <w:sz w:val="18"/>
                <w:szCs w:val="18"/>
                <w:color w:val="auto"/>
              </w:rPr>
              <w:t>3</w:t>
            </w:r>
          </w:p>
        </w:tc>
      </w:tr>
      <w:tr>
        <w:trPr>
          <w:trHeight w:val="27"/>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14,514</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13,692</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822</w:t>
            </w:r>
          </w:p>
        </w:tc>
        <w:tc>
          <w:tcPr>
            <w:tcW w:w="1040" w:type="dxa"/>
            <w:vAlign w:val="bottom"/>
          </w:tcPr>
          <w:p>
            <w:pPr>
              <w:ind w:left="660"/>
              <w:spacing w:after="0"/>
              <w:rPr>
                <w:sz w:val="20"/>
                <w:szCs w:val="20"/>
                <w:color w:val="auto"/>
              </w:rPr>
            </w:pPr>
            <w:r>
              <w:rPr>
                <w:rFonts w:ascii="Arial" w:cs="Arial" w:eastAsia="Arial" w:hAnsi="Arial"/>
                <w:sz w:val="18"/>
                <w:szCs w:val="18"/>
                <w:color w:val="auto"/>
              </w:rPr>
              <w:t>6%</w:t>
            </w:r>
          </w:p>
        </w:tc>
      </w:tr>
      <w:tr>
        <w:trPr>
          <w:trHeight w:val="34"/>
        </w:trPr>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II-9</w:t>
      </w:r>
    </w:p>
    <w:p>
      <w:pPr>
        <w:sectPr>
          <w:pgSz w:w="11900" w:h="16838" w:orient="portrait"/>
          <w:cols w:equalWidth="0" w:num="1">
            <w:col w:w="11420"/>
          </w:cols>
          <w:pgMar w:left="240" w:top="576"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For 2018, the 8% increase in advertising revenues was driven by the Company’s acquisition of Network 10 in the fourth quarter of 2017 and record political advertising sales in 2018 associated with the U.S. midterm elections. Underlying CBS Television Network advertising revenues for 2018 were comparable with 2017, as higher pricing and higher ratings for Sunday NFL games were offset by lower ratings for the Company’s primetime programming.</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Advertising revenues for 2018 also benefited from higher revenues from the distribution of third-party content, resulting from such revenues now being recognized at the gross amount of consideration received from the customer, with an offsetting increase to operating expenses, as a result of the adoption of a new revenue recognition standard (see “Adoption of New Revenue Standard”). Under previous guidance such distribution revenues were recognized at the net amount retained by the Company after the payment of fees to the third party. These increases were partially offset by the absence of the broadcast of five </w:t>
      </w:r>
      <w:r>
        <w:rPr>
          <w:rFonts w:ascii="Arial" w:cs="Arial" w:eastAsia="Arial" w:hAnsi="Arial"/>
          <w:sz w:val="18"/>
          <w:szCs w:val="18"/>
          <w:i w:val="1"/>
          <w:iCs w:val="1"/>
          <w:color w:val="auto"/>
        </w:rPr>
        <w:t>Thursday Night Football</w:t>
      </w:r>
      <w:r>
        <w:rPr>
          <w:rFonts w:ascii="Arial" w:cs="Arial" w:eastAsia="Arial" w:hAnsi="Arial"/>
          <w:sz w:val="18"/>
          <w:szCs w:val="18"/>
          <w:color w:val="auto"/>
        </w:rPr>
        <w:t xml:space="preserve"> games and the National Semifinals and National Championship games of the NCAA Tournament, which were broadcast on the CBS Television Network in 2017. The National Semifinals and National Championship games of the NCAA Tournament are broadcast by the CBS Television Network every other year through 2032 under the current agreements with the NCAA and Turner Broadcasting System, Inc. (“Turner”).</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In 2019, advertising revenues will benefit from the CBS Television Network’s broadcast of the Super Bowl, which airs on the CBS Television Network on a rotating basis with other networks through 2022 under the current contract with the NFL, and the National Semifinals and National Championship games of the NCAA Tournament. However, the advertising revenue comparison in 2019 will be negatively affected by the benefit in 2018 from record political advertising sales. The CBS Television Network’s upfront advertising sales (“Upfront”) for the 2018/2019 television broadcast season, which runs from the middle of September 2018 through the middle of September 2019, resulted in pricing and volume increases compared with the prior broadcast season, which are expected to benefit the Company’s advertising revenues during the 2018/2019 broadcast season. (See page I-2 for a description of the Upfront market.) However, overall advertising revenues for the Company will be dependent on ratings for its programming and market conditions, including demand in the scatter advertising market, in which advertisers purchase the remaining advertising spots closer to the broadcast of the related programming.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 and Distribution</w:t>
      </w:r>
    </w:p>
    <w:p>
      <w:pPr>
        <w:spacing w:after="0" w:line="13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Content licensing and distribution revenues are principally comprised of fees from the licensing of internally-produced television programming; fees from the distribution of third-party programming; and revenues from the publishing and distribution of consumer books. For 2018, content licensing and distribution revenues increased 3%, benefiting from higher revenues from the distribution of third-party content, resulting from such revenues now being recognized at the gross amount of consideration received from the customer, with an offsetting increase to participation expense, as a result of the adoption of a new revenue recognition standard (see “Adoption of New Revenue Standard”). Under previous guidance such distribution revenues were recognized at the net amount retained by the Company after the payment of fees to the third party. Content licensing and distribution revenues also reflected growth in international licensing, offset by lower domestic licensing, mainly resulting from several large sales in 2017, including </w:t>
      </w:r>
      <w:r>
        <w:rPr>
          <w:rFonts w:ascii="Arial" w:cs="Arial" w:eastAsia="Arial" w:hAnsi="Arial"/>
          <w:sz w:val="16"/>
          <w:szCs w:val="16"/>
          <w:i w:val="1"/>
          <w:iCs w:val="1"/>
          <w:color w:val="auto"/>
        </w:rPr>
        <w:t>NCIS: New Orleans</w:t>
      </w:r>
      <w:r>
        <w:rPr>
          <w:rFonts w:ascii="Arial" w:cs="Arial" w:eastAsia="Arial" w:hAnsi="Arial"/>
          <w:sz w:val="16"/>
          <w:szCs w:val="16"/>
          <w:color w:val="auto"/>
        </w:rPr>
        <w:t xml:space="preserve">, </w:t>
      </w:r>
      <w:r>
        <w:rPr>
          <w:rFonts w:ascii="Arial" w:cs="Arial" w:eastAsia="Arial" w:hAnsi="Arial"/>
          <w:sz w:val="16"/>
          <w:szCs w:val="16"/>
          <w:i w:val="1"/>
          <w:iCs w:val="1"/>
          <w:color w:val="auto"/>
        </w:rPr>
        <w:t>Madam Secretary</w:t>
      </w:r>
      <w:r>
        <w:rPr>
          <w:rFonts w:ascii="Arial" w:cs="Arial" w:eastAsia="Arial" w:hAnsi="Arial"/>
          <w:sz w:val="16"/>
          <w:szCs w:val="16"/>
          <w:color w:val="auto"/>
        </w:rPr>
        <w:t xml:space="preserve"> and titles from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franchise.</w:t>
      </w:r>
    </w:p>
    <w:p>
      <w:pPr>
        <w:spacing w:after="0" w:line="15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Content licensing and distribution revenue comparisons are impacted by fluctuations resulting from the timing of the availability of Company-owned television series for multiyear licensing agreements. Television license fee revenues are recognized at the beginning of the license period in which programs are made available to the licensee for exhibition. Unrecognized revenues attributable to signed license agreements for produced programming that is not yet available for exhibition were $1.08 billion at December 31, 2018 and $670 million at December 31,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57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which increased to $1.33 billion on January 1, 2018 upon the adoption of ASC 606. At December 31, 2018, the Company had approximately 800 episodes of scripted original programming that had not yet been made available in the secondary domestic marketplace (See page II-59 for a description of the secondary marketplace).</w:t>
      </w:r>
    </w:p>
    <w:p>
      <w:pPr>
        <w:spacing w:after="0" w:line="200"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8"/>
          <w:szCs w:val="18"/>
          <w:color w:val="auto"/>
        </w:rPr>
        <w:t>Total outstanding receivables attributable to revenues recognized under licensing agreements were $3.57 billion at December 31, 2018, $4.06 billion at December 31, 2017 and $3.45 billion at January 1, 2018. At December 31, 2018, the total amount due from these receivables was $1.96 billion in 2019, $771 million in 2020, $430 million in 2021, $236 million in 2022, and $181 million in 2023 and thereafter.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 and Subscription Fees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 xml:space="preserve">Affiliate and subscription fees are principally comprised of revenues received from MVPDs and virtual MVPDs for carriage of the Company’s cable networks (“cable affiliate fees”), as well as fees received from television stations affiliated with the CBS Television Network (“station affiliation fees”); fees for authorizing the MVPDs’ and virtual MVPDs’ carriage of the Company’s owned television stations (“retransmission fees”); subscription fees for the Company’s direct-to-consumer digital streaming services; and revenues received for the distribution of pay-per-view boxing events. For 2018, the 7% increase in affiliate and subscription fees reflects 22% growth in station affiliation and retransmission fees and 62% growth from the Company’s direct-to-consumer digital streaming services,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and </w:t>
      </w:r>
      <w:r>
        <w:rPr>
          <w:rFonts w:ascii="Arial" w:cs="Arial" w:eastAsia="Arial" w:hAnsi="Arial"/>
          <w:sz w:val="19"/>
          <w:szCs w:val="19"/>
          <w:i w:val="1"/>
          <w:iCs w:val="1"/>
          <w:color w:val="auto"/>
        </w:rPr>
        <w:t>Showtime</w:t>
      </w:r>
      <w:r>
        <w:rPr>
          <w:rFonts w:ascii="Arial" w:cs="Arial" w:eastAsia="Arial" w:hAnsi="Arial"/>
          <w:sz w:val="19"/>
          <w:szCs w:val="19"/>
          <w:color w:val="auto"/>
        </w:rPr>
        <w:t>. These increases were partially offset by Showtime Networks’ distribution of the Floyd Mayweather/Conor McGregor pay-per-view boxing event in 2017, which reduced the comparison by eight percentage points.</w:t>
      </w:r>
    </w:p>
    <w:p>
      <w:pPr>
        <w:spacing w:after="0" w:line="19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Over the next two years, agreements with MVPDs and virtual MVPDs, representing approximately 85% of the Company’s total subscribers to these services, and agreements with station affiliates representing approximately 60% of the Company’s total subscribers under its station affiliation agreements, will come up for renewal. Historically, renewals of these agreements have resulted in increases in the rates received by the Company and therefore, the Company expects to benefit from these renewals over the next few years. In addition, the Company’s existing agreements with station affiliates, MVPDs and virtual MVPDs include annual contractual increases. Together, these factors are expected to result in continued growth in affiliate and subscription fees over the next several years.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Other revenues are principally comprised of revenues from the rental of production facilities and ancillary digital revenues.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International Revenues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2018, international revenues increased 26% primarily driven by the Company’s acquisition of Network 10 in the fourth quarter of 2017.</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Company generated approximately 17% </w:t>
      </w:r>
      <w:r>
        <w:rPr>
          <w:rFonts w:ascii="Arial" w:cs="Arial" w:eastAsia="Arial" w:hAnsi="Arial"/>
          <w:sz w:val="17"/>
          <w:szCs w:val="17"/>
          <w:color w:val="auto"/>
        </w:rPr>
        <w:t>and</w:t>
      </w:r>
      <w:r>
        <w:rPr>
          <w:rFonts w:ascii="Arial" w:cs="Arial" w:eastAsia="Arial" w:hAnsi="Arial"/>
          <w:sz w:val="19"/>
          <w:szCs w:val="19"/>
          <w:color w:val="auto"/>
        </w:rPr>
        <w:t xml:space="preserve"> 15% of its total revenues from international regions in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93345</wp:posOffset>
            </wp:positionV>
            <wp:extent cx="65258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 of</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 of</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480" w:type="dxa"/>
            <w:vAlign w:val="bottom"/>
          </w:tcPr>
          <w:p>
            <w:pPr>
              <w:spacing w:after="0"/>
              <w:rPr>
                <w:sz w:val="23"/>
                <w:szCs w:val="23"/>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International</w:t>
            </w:r>
          </w:p>
        </w:tc>
      </w:tr>
      <w:tr>
        <w:trPr>
          <w:trHeight w:val="27"/>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328</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15%</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Other Europe</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735</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37</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Canada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279</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14</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Asia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210</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10</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166</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8</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327</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16</w:t>
            </w:r>
          </w:p>
        </w:tc>
      </w:tr>
      <w:tr>
        <w:trPr>
          <w:trHeight w:val="27"/>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160"/>
              <w:spacing w:after="0"/>
              <w:rPr>
                <w:sz w:val="20"/>
                <w:szCs w:val="20"/>
                <w:color w:val="auto"/>
              </w:rPr>
            </w:pPr>
            <w:r>
              <w:rPr>
                <w:rFonts w:ascii="Arial" w:cs="Arial" w:eastAsia="Arial" w:hAnsi="Arial"/>
                <w:sz w:val="18"/>
                <w:szCs w:val="18"/>
                <w:b w:val="1"/>
                <w:bCs w:val="1"/>
                <w:color w:val="auto"/>
              </w:rPr>
              <w:t>Total International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2,535</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100%</w:t>
            </w:r>
          </w:p>
        </w:tc>
      </w:tr>
      <w:tr>
        <w:trPr>
          <w:trHeight w:val="34"/>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729"/>
        </w:trPr>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w w:val="99"/>
              </w:rPr>
              <w:t>II-11</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 by Type</w:t>
            </w: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400" w:type="dxa"/>
            <w:vAlign w:val="bottom"/>
          </w:tcPr>
          <w:p>
            <w:pPr>
              <w:spacing w:after="0"/>
              <w:rPr>
                <w:sz w:val="23"/>
                <w:szCs w:val="23"/>
                <w:color w:val="auto"/>
              </w:rPr>
            </w:pPr>
          </w:p>
        </w:tc>
        <w:tc>
          <w:tcPr>
            <w:tcW w:w="20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Pr>
          <w:p>
            <w:pPr>
              <w:spacing w:after="0"/>
              <w:rPr>
                <w:sz w:val="23"/>
                <w:szCs w:val="23"/>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34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Expenses</w:t>
            </w:r>
          </w:p>
        </w:tc>
        <w:tc>
          <w:tcPr>
            <w:tcW w:w="400" w:type="dxa"/>
            <w:vAlign w:val="bottom"/>
          </w:tcPr>
          <w:p>
            <w:pPr>
              <w:spacing w:after="0"/>
              <w:rPr>
                <w:sz w:val="23"/>
                <w:szCs w:val="23"/>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Programming</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2,858</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3,156</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(298)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64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3,402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2,873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529</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18</w:t>
            </w:r>
          </w:p>
        </w:tc>
      </w:tr>
      <w:tr>
        <w:trPr>
          <w:trHeight w:val="256"/>
        </w:trPr>
        <w:tc>
          <w:tcPr>
            <w:tcW w:w="2680" w:type="dxa"/>
            <w:vAlign w:val="bottom"/>
          </w:tcPr>
          <w:p>
            <w:pPr>
              <w:ind w:left="20"/>
              <w:spacing w:after="0"/>
              <w:rPr>
                <w:sz w:val="20"/>
                <w:szCs w:val="20"/>
                <w:color w:val="auto"/>
              </w:rPr>
            </w:pPr>
            <w:r>
              <w:rPr>
                <w:rFonts w:ascii="Arial" w:cs="Arial" w:eastAsia="Arial" w:hAnsi="Arial"/>
                <w:sz w:val="18"/>
                <w:szCs w:val="18"/>
                <w:color w:val="auto"/>
              </w:rPr>
              <w:t>Participation, distribution and</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2680" w:type="dxa"/>
            <w:vAlign w:val="bottom"/>
          </w:tcPr>
          <w:p>
            <w:pPr>
              <w:ind w:left="180"/>
              <w:spacing w:after="0"/>
              <w:rPr>
                <w:sz w:val="20"/>
                <w:szCs w:val="20"/>
                <w:color w:val="auto"/>
              </w:rPr>
            </w:pPr>
            <w:r>
              <w:rPr>
                <w:rFonts w:ascii="Arial" w:cs="Arial" w:eastAsia="Arial" w:hAnsi="Arial"/>
                <w:sz w:val="18"/>
                <w:szCs w:val="18"/>
                <w:color w:val="auto"/>
              </w:rPr>
              <w:t>royalty</w:t>
            </w:r>
          </w:p>
        </w:tc>
        <w:tc>
          <w:tcPr>
            <w:tcW w:w="6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1,368</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1,050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318</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30</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1,483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1,359</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9</w:t>
            </w:r>
          </w:p>
        </w:tc>
      </w:tr>
      <w:tr>
        <w:trPr>
          <w:trHeight w:val="27"/>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9,111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8,438</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673</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8 %</w:t>
            </w:r>
          </w:p>
        </w:tc>
      </w:tr>
      <w:tr>
        <w:trPr>
          <w:trHeight w:val="34"/>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Programming expenses reflect the amortization of acquired programs exhibited on television broadcast and cable networks, and television stations. For 2018, the 9% decrease in programming expenses was primarily driven by lower sports programming costs, resulting from Showtime Networks’ distribution of the Floyd Mayweather/Conor McGregor pay-per-view boxing event in 2017 and the absence of </w:t>
      </w:r>
      <w:r>
        <w:rPr>
          <w:rFonts w:ascii="Arial" w:cs="Arial" w:eastAsia="Arial" w:hAnsi="Arial"/>
          <w:sz w:val="20"/>
          <w:szCs w:val="20"/>
          <w:i w:val="1"/>
          <w:iCs w:val="1"/>
          <w:color w:val="auto"/>
        </w:rPr>
        <w:t>Thursday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Night Football </w:t>
      </w:r>
      <w:r>
        <w:rPr>
          <w:rFonts w:ascii="Arial" w:cs="Arial" w:eastAsia="Arial" w:hAnsi="Arial"/>
          <w:sz w:val="20"/>
          <w:szCs w:val="20"/>
          <w:color w:val="auto"/>
        </w:rPr>
        <w:t>and the National Semifinals and National Championship games of the NCAA Tournament, which were broadcast on the CBS</w:t>
      </w:r>
      <w:r>
        <w:rPr>
          <w:rFonts w:ascii="Arial" w:cs="Arial" w:eastAsia="Arial" w:hAnsi="Arial"/>
          <w:sz w:val="20"/>
          <w:szCs w:val="20"/>
          <w:i w:val="1"/>
          <w:iCs w:val="1"/>
          <w:color w:val="auto"/>
        </w:rPr>
        <w:t xml:space="preserve"> </w:t>
      </w:r>
      <w:r>
        <w:rPr>
          <w:rFonts w:ascii="Arial" w:cs="Arial" w:eastAsia="Arial" w:hAnsi="Arial"/>
          <w:sz w:val="20"/>
          <w:szCs w:val="20"/>
          <w:color w:val="auto"/>
        </w:rPr>
        <w:t>Television Network in 2017. These decreases were partially offset by costs for programming on Network 10, which was acquired in the fourth quarter of 2017.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Production</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Production expenses reflect the amortization of direct costs of internally-developed television and theatrical film content as well as other television production costs, including on-air talent. For 2018, the 18% increase in production expenses reflected an increased investment in content, including a 17% increase in the number of series produced for distribution on multiple platforms, and the acquisition of Network 10 in the fourth quarter of 2017.</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During the fourth quarter of 2018, in connection with recent management changes, the Company implemented changes to its programming strategy, primarily at CBS Films, which will shift its focus from theatrical films to developing content for the Company’s direct-to-consumer digital streaming services. As a result, the Company recorded programming charges of $85 million in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Participation, Distribution and Royalty</w:t>
      </w:r>
    </w:p>
    <w:p>
      <w:pPr>
        <w:spacing w:after="0" w:line="13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Participation, distribution and royalty costs primarily include participation and residual expenses for television programming, royalty costs for Publishing content and other distribution expenses incurred with respect to television content, such as print and advertising. For 2018, the 30% increase in participation, distribution and royalty costs was primarily driven by the adoption of new revenue recognition guidance, which resulted in revenues from the Company’s distribution of third-party content now being recognized based on the gross amount of consideration received from the customer, with an offsetting participation expense recognized for the fees paid to the third party. Under previous accounting guidance, such revenues were recognized at the net amount retained by the Company after the payment of fees to the third party. This change resulted in an increase to both revenues and participation expenses of $279 million for 2018, with no impact to the Company’s operating income.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Other operating expenses primarily include compensation and costs associated with book sales, including printing and warehousing. For 2018, the 9% increase in other operating expenses mainly reflected higher costs associated with growth in the Company’s direct-to-consumer digital streaming services and expenses of Network 10, which was acquired in the fourth quarter of 2017.</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11420"/>
          </w:cols>
          <w:pgMar w:left="240" w:top="57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96520</wp:posOffset>
            </wp:positionV>
            <wp:extent cx="67494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420" w:type="dxa"/>
            <w:vAlign w:val="bottom"/>
          </w:tcPr>
          <w:p>
            <w:pPr>
              <w:spacing w:after="0"/>
              <w:rPr>
                <w:sz w:val="20"/>
                <w:szCs w:val="20"/>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Revenues</w:t>
            </w:r>
          </w:p>
        </w:tc>
        <w:tc>
          <w:tcPr>
            <w:tcW w:w="420" w:type="dxa"/>
            <w:vAlign w:val="bottom"/>
          </w:tcPr>
          <w:p>
            <w:pPr>
              <w:spacing w:after="0"/>
              <w:rPr>
                <w:sz w:val="23"/>
                <w:szCs w:val="23"/>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   2,217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   2,126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34"/>
        </w:trPr>
        <w:tc>
          <w:tcPr>
            <w:tcW w:w="3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Selling, general and administrative (“SG&amp;A”) expenses include expenses incurred for selling and marketing costs, occupancy and back office support. The 4% increase in SG&amp;A expenses primarily reflected the Company’s acquisition of Network 10 in the fourth quarter of 2017 and higher advertising and marketing costs associated with an increased number of original programs, including for the Company’s direct-to-consumer digital streaming services.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4"/>
        </w:trPr>
        <w:tc>
          <w:tcPr>
            <w:tcW w:w="3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and Other Corporate Matters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During the year ended December 31, 2018, in a continued effort to reduce its cost structure, the Company initiated restructuring plans across several of its businesses, primarily for the reorganization and closure of certain business operations. As a result, the Company recorded restructuring charges of $67 million, reflecting $57 million of severance costs and $10 million of costs associated with exiting contractual obligations and other related costs. These restructuring activities are expected to reduce the Company’s annual cost structure by approximately $70 million.</w:t>
      </w:r>
    </w:p>
    <w:p>
      <w:pPr>
        <w:spacing w:after="0" w:line="20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year ended December 31, 2017, the Company recorded restructuring charges of $63 million, reflecting $54 million of severance costs and $9 million of costs associated with exiting contractual obligations and other related costs. During the year ended December 31, 2016, the Company recorded restructuring charges of $30 million, reflecting $19 million of severance costs and $11 million of costs associated with exiting contractual obligations and other related costs.</w:t>
      </w:r>
    </w:p>
    <w:p>
      <w:pPr>
        <w:spacing w:after="0" w:line="192"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As of December 31, 2018, the cumulative settlements for the 2018, 2017, and 2016 restructuring charges were $88 million, of which $74 million was for severance costs and $14 million related to costs associated with exiting contractual obligations and other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3976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1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w w:val="88"/>
              </w:rPr>
              <w:t>Balance at</w:t>
            </w:r>
          </w:p>
        </w:tc>
        <w:tc>
          <w:tcPr>
            <w:tcW w:w="4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1940" w:type="dxa"/>
            <w:vAlign w:val="bottom"/>
          </w:tcPr>
          <w:p>
            <w:pPr>
              <w:spacing w:after="0"/>
              <w:rPr>
                <w:sz w:val="23"/>
                <w:szCs w:val="23"/>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2017</w:t>
            </w:r>
          </w:p>
        </w:tc>
        <w:tc>
          <w:tcPr>
            <w:tcW w:w="46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Charges</w:t>
            </w:r>
          </w:p>
        </w:tc>
        <w:tc>
          <w:tcPr>
            <w:tcW w:w="18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Settlements</w:t>
            </w: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45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34</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Local Media</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23</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13</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66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72</w:t>
            </w:r>
          </w:p>
        </w:tc>
      </w:tr>
      <w:tr>
        <w:trPr>
          <w:trHeight w:val="34"/>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94"/>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2"/>
          </w:tcPr>
          <w:p>
            <w:pPr>
              <w:jc w:val="right"/>
              <w:ind w:right="770"/>
              <w:spacing w:after="0"/>
              <w:rPr>
                <w:sz w:val="20"/>
                <w:szCs w:val="20"/>
                <w:color w:val="auto"/>
              </w:rPr>
            </w:pPr>
            <w:r>
              <w:rPr>
                <w:rFonts w:ascii="Arial" w:cs="Arial" w:eastAsia="Arial" w:hAnsi="Arial"/>
                <w:sz w:val="18"/>
                <w:szCs w:val="18"/>
                <w:color w:val="auto"/>
              </w:rPr>
              <w:t>II-13</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386080</wp:posOffset>
            </wp:positionV>
            <wp:extent cx="63976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w w:val="88"/>
              </w:rPr>
              <w:t>Balance at</w:t>
            </w:r>
          </w:p>
        </w:tc>
        <w:tc>
          <w:tcPr>
            <w:tcW w:w="4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1940" w:type="dxa"/>
            <w:vAlign w:val="bottom"/>
          </w:tcPr>
          <w:p>
            <w:pPr>
              <w:spacing w:after="0"/>
              <w:rPr>
                <w:sz w:val="23"/>
                <w:szCs w:val="23"/>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2016</w:t>
            </w:r>
          </w:p>
        </w:tc>
        <w:tc>
          <w:tcPr>
            <w:tcW w:w="46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Charges</w:t>
            </w:r>
          </w:p>
        </w:tc>
        <w:tc>
          <w:tcPr>
            <w:tcW w:w="18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Settlements</w:t>
            </w: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45</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Local Media</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14</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66</w:t>
            </w:r>
          </w:p>
        </w:tc>
      </w:tr>
      <w:tr>
        <w:trPr>
          <w:trHeight w:val="34"/>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2018, the Company recorded expenses of $128 million primarily for professional fees related to legal proceedings, recent investigations at the Company (see “Legal Matters”) and the evaluation of a potential combination with Viacom Inc.</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February 2019, the Company initiated a restructuring plan under which severance payments will be provided to certain eligible employees who voluntarily elect to participate. As a result, the Company expects to record a restructuring charge in the first quarter of 2019. The amount of this charge and the associated future savings will be based on the number of eligible employees who elect to participate in the restructuring plan and therefore cannot currently be determined.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Items, Net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For 2017, other operating items, net reflected a net gain relating to the disposition of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and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(457)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34"/>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right="200" w:firstLine="324"/>
        <w:spacing w:after="0" w:line="260" w:lineRule="auto"/>
        <w:rPr>
          <w:sz w:val="20"/>
          <w:szCs w:val="20"/>
          <w:color w:val="auto"/>
        </w:rPr>
      </w:pPr>
      <w:r>
        <w:rPr>
          <w:rFonts w:ascii="Arial" w:cs="Arial" w:eastAsia="Arial" w:hAnsi="Arial"/>
          <w:sz w:val="20"/>
          <w:szCs w:val="20"/>
          <w:color w:val="auto"/>
        </w:rPr>
        <w:t>The following table presents the Company’s outstanding debt balances, excluding capital leases, and the weighted average interest rate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157480</wp:posOffset>
            </wp:positionV>
            <wp:extent cx="64833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26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 Average</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Weighted Average</w:t>
            </w: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50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2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 Rate</w:t>
            </w:r>
          </w:p>
        </w:tc>
        <w:tc>
          <w:tcPr>
            <w:tcW w:w="36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2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9,435</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4.26%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9,426</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4.26%</w:t>
            </w: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3.02%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679</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1.88%</w:t>
            </w:r>
          </w:p>
        </w:tc>
      </w:tr>
      <w:tr>
        <w:trPr>
          <w:trHeight w:val="34"/>
        </w:trPr>
        <w:tc>
          <w:tcPr>
            <w:tcW w:w="2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Early Extinguishment of Debt</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2017, the loss on early extinguishment of debt of $49 million reflected a pretax loss associated with the Company’s redemption of $800 million of its long-term debt.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Settlement Charges</w:t>
      </w:r>
    </w:p>
    <w:p>
      <w:pPr>
        <w:spacing w:after="0" w:line="135"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20"/>
          <w:szCs w:val="20"/>
          <w:color w:val="auto"/>
        </w:rPr>
        <w:t>During 2017, the Company purchased a group annuity contract under which an insurance company permanently assumed the Company’s obligation to pay and administer pension benefits to certain of the Company’s pension plan participants, or their designated beneficiaries, who had been receiving pension benefits. The purchase of this group annuity contract was funded with pension plan assets. As a result, the Company’s outstanding pension benefit obligation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420"/>
          </w:cols>
          <w:pgMar w:left="240" w:top="57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was reduced by approximately $800 million, which represented approximately 20% of the total obligations of the Company’s qualified pension plans. In connection with this transaction, the Company recorded a settlement charge of $352 million in 2017, reflecting the accelerated recognition of a portion of unamortized actuarial losses in the plan. Additionally, during 2017, the Company made discretionary contributions totaling $600 million to prefund its qualified pension plans.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Items, Net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following table presents the components of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96520</wp:posOffset>
            </wp:positionV>
            <wp:extent cx="48710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71085" cy="17145"/>
                    </a:xfrm>
                    <a:prstGeom prst="rect">
                      <a:avLst/>
                    </a:prstGeom>
                    <a:noFill/>
                  </pic:spPr>
                </pic:pic>
              </a:graphicData>
            </a:graphic>
          </wp:anchor>
        </w:drawing>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Foreign exchange (losses) gains</w:t>
            </w:r>
          </w:p>
        </w:tc>
        <w:tc>
          <w:tcPr>
            <w:tcW w:w="1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Net loss from investments</w:t>
            </w:r>
          </w:p>
        </w:tc>
        <w:tc>
          <w:tcPr>
            <w:tcW w:w="1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4"/>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1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provision for income taxes represents federal, state and local, and foreign taxes on earnings from continuing operations before income taxes and equity in loss of investee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157480</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4"/>
              </w:rPr>
              <w:t>Increase/(Decrease)</w:t>
            </w:r>
          </w:p>
        </w:tc>
      </w:tr>
      <w:tr>
        <w:trPr>
          <w:trHeight w:val="27"/>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76"/>
        </w:trPr>
        <w:tc>
          <w:tcPr>
            <w:tcW w:w="5620" w:type="dxa"/>
            <w:vAlign w:val="bottom"/>
          </w:tcPr>
          <w:p>
            <w:pPr>
              <w:ind w:left="20"/>
              <w:spacing w:after="0" w:line="276" w:lineRule="exact"/>
              <w:rPr>
                <w:sz w:val="20"/>
                <w:szCs w:val="20"/>
                <w:color w:val="auto"/>
              </w:rPr>
            </w:pPr>
            <w:r>
              <w:rPr>
                <w:rFonts w:ascii="Arial" w:cs="Arial" w:eastAsia="Arial" w:hAnsi="Arial"/>
                <w:sz w:val="18"/>
                <w:szCs w:val="18"/>
                <w:color w:val="auto"/>
              </w:rPr>
              <w:t xml:space="preserve">Provision for income taxes before discrete items </w:t>
            </w:r>
            <w:r>
              <w:rPr>
                <w:rFonts w:ascii="Arial" w:cs="Arial" w:eastAsia="Arial" w:hAnsi="Arial"/>
                <w:sz w:val="25"/>
                <w:szCs w:val="25"/>
                <w:color w:val="auto"/>
                <w:vertAlign w:val="superscript"/>
              </w:rPr>
              <w:t>(a)</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469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560</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0"/>
        </w:trPr>
        <w:tc>
          <w:tcPr>
            <w:tcW w:w="56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Impact of tax law changes </w:t>
            </w:r>
            <w:r>
              <w:rPr>
                <w:rFonts w:ascii="Arial" w:cs="Arial" w:eastAsia="Arial" w:hAnsi="Arial"/>
                <w:sz w:val="25"/>
                <w:szCs w:val="25"/>
                <w:color w:val="auto"/>
                <w:vertAlign w:val="superscript"/>
              </w:rPr>
              <w:t>(b)</w:t>
            </w:r>
          </w:p>
        </w:tc>
        <w:tc>
          <w:tcPr>
            <w:tcW w:w="17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129</w:t>
            </w:r>
          </w:p>
        </w:tc>
        <w:tc>
          <w:tcPr>
            <w:tcW w:w="1700" w:type="dxa"/>
            <w:vAlign w:val="bottom"/>
          </w:tcPr>
          <w:p>
            <w:pPr>
              <w:spacing w:after="0"/>
              <w:rPr>
                <w:sz w:val="23"/>
                <w:szCs w:val="23"/>
                <w:color w:val="auto"/>
              </w:rPr>
            </w:pPr>
          </w:p>
        </w:tc>
      </w:tr>
      <w:tr>
        <w:trPr>
          <w:trHeight w:val="270"/>
        </w:trPr>
        <w:tc>
          <w:tcPr>
            <w:tcW w:w="56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Reversal of valuation allowance </w:t>
            </w:r>
            <w:r>
              <w:rPr>
                <w:rFonts w:ascii="Arial" w:cs="Arial" w:eastAsia="Arial" w:hAnsi="Arial"/>
                <w:sz w:val="25"/>
                <w:szCs w:val="25"/>
                <w:color w:val="auto"/>
                <w:vertAlign w:val="superscript"/>
              </w:rPr>
              <w:t>(c)</w:t>
            </w:r>
          </w:p>
        </w:tc>
        <w:tc>
          <w:tcPr>
            <w:tcW w:w="17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3"/>
                <w:szCs w:val="23"/>
                <w:color w:val="auto"/>
              </w:rPr>
            </w:pPr>
          </w:p>
        </w:tc>
      </w:tr>
      <w:tr>
        <w:trPr>
          <w:trHeight w:val="270"/>
        </w:trPr>
        <w:tc>
          <w:tcPr>
            <w:tcW w:w="56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Excess tax benefits from stock-based compensation </w:t>
            </w:r>
            <w:r>
              <w:rPr>
                <w:rFonts w:ascii="Arial" w:cs="Arial" w:eastAsia="Arial" w:hAnsi="Arial"/>
                <w:sz w:val="25"/>
                <w:szCs w:val="25"/>
                <w:color w:val="auto"/>
                <w:vertAlign w:val="superscript"/>
              </w:rPr>
              <w:t>(d)</w:t>
            </w:r>
          </w:p>
        </w:tc>
        <w:tc>
          <w:tcPr>
            <w:tcW w:w="17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700" w:type="dxa"/>
            <w:vAlign w:val="bottom"/>
          </w:tcPr>
          <w:p>
            <w:pPr>
              <w:spacing w:after="0"/>
              <w:rPr>
                <w:sz w:val="23"/>
                <w:szCs w:val="23"/>
                <w:color w:val="auto"/>
              </w:rPr>
            </w:pPr>
          </w:p>
        </w:tc>
      </w:tr>
      <w:tr>
        <w:trPr>
          <w:trHeight w:val="230"/>
        </w:trPr>
        <w:tc>
          <w:tcPr>
            <w:tcW w:w="5620" w:type="dxa"/>
            <w:vAlign w:val="bottom"/>
          </w:tcPr>
          <w:p>
            <w:pPr>
              <w:ind w:left="160"/>
              <w:spacing w:after="0"/>
              <w:rPr>
                <w:sz w:val="20"/>
                <w:szCs w:val="20"/>
                <w:color w:val="auto"/>
              </w:rPr>
            </w:pPr>
            <w:r>
              <w:rPr>
                <w:rFonts w:ascii="Arial" w:cs="Arial" w:eastAsia="Arial" w:hAnsi="Arial"/>
                <w:sz w:val="18"/>
                <w:szCs w:val="18"/>
                <w:color w:val="auto"/>
              </w:rPr>
              <w:t>Other discrete items</w:t>
            </w:r>
          </w:p>
        </w:tc>
        <w:tc>
          <w:tcPr>
            <w:tcW w:w="17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700" w:type="dxa"/>
            <w:vAlign w:val="bottom"/>
          </w:tcPr>
          <w:p>
            <w:pPr>
              <w:spacing w:after="0"/>
              <w:rPr>
                <w:sz w:val="20"/>
                <w:szCs w:val="20"/>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273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633</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(57)%</w:t>
            </w:r>
          </w:p>
        </w:tc>
      </w:tr>
      <w:tr>
        <w:trPr>
          <w:trHeight w:val="34"/>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7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700" w:type="dxa"/>
            <w:vAlign w:val="bottom"/>
          </w:tcPr>
          <w:p>
            <w:pPr>
              <w:spacing w:after="0"/>
              <w:rPr>
                <w:sz w:val="21"/>
                <w:szCs w:val="21"/>
                <w:color w:val="auto"/>
              </w:rPr>
            </w:pPr>
          </w:p>
        </w:tc>
      </w:tr>
      <w:tr>
        <w:trPr>
          <w:trHeight w:val="34"/>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340" w:hanging="251"/>
        <w:spacing w:after="0" w:line="275"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lower tax provision for the year ended December 31, 2018 primarily reflects a reduction in the federal corporate income tax rate from 35% to 21% as a result of the Tax Reform Act.</w:t>
      </w:r>
    </w:p>
    <w:p>
      <w:pPr>
        <w:spacing w:after="0" w:line="10" w:lineRule="exact"/>
        <w:rPr>
          <w:rFonts w:ascii="Arial" w:cs="Arial" w:eastAsia="Arial" w:hAnsi="Arial"/>
          <w:sz w:val="16"/>
          <w:szCs w:val="16"/>
          <w:color w:val="auto"/>
        </w:rPr>
      </w:pPr>
    </w:p>
    <w:p>
      <w:pPr>
        <w:jc w:val="both"/>
        <w:ind w:left="340" w:hanging="251"/>
        <w:spacing w:after="0" w:line="290"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third quarter of 2018, in connection with the preparation of its 2017 federal tax return, the Company elected to utilize a federal tax law provision that was retroactively renewed in 2018. This tax law provision allowed the Company to immediately expense certain qualified production costs on its 2017 tax return. As a result, during the third quarter of 2018, the Company established a deferred tax liability associated with this deduction at the 2017 federal tax rate of 35%, and concurrently recorded a net tax benefit of $69 million, primarily reflecting the re-measurement of this deferred tax liability at the reduced federal corporate tax rate of 21% under the Tax Reform Act. This benefit was partially offset by a charge of $15 million to adjust the provisional amount of transition tax on cumulative foreign earnings and profits that resulted from the enactment of the Tax Reform Act. (See Note 13 to the consolidated financial statements.) 2017 reflects the impact of the enactment of the Tax Reform Act in December 2017. As a result of this tax law, the Company recorded a net provisional charge of $129 million for the year ended December 31, 2017, reflecting an estimated tax impact of $407 million on the Company’s historical accumulated foreign earnings and profits, partially offset by an estimated benefit of $278 million to adjust the Company’s deferred income tax balances as a result of the reduction in the federal corporate income tax rate from 35% to 21%.</w:t>
      </w:r>
    </w:p>
    <w:p>
      <w:pPr>
        <w:spacing w:after="0" w:line="4" w:lineRule="exact"/>
        <w:rPr>
          <w:rFonts w:ascii="Arial" w:cs="Arial" w:eastAsia="Arial" w:hAnsi="Arial"/>
          <w:sz w:val="14"/>
          <w:szCs w:val="14"/>
          <w:color w:val="auto"/>
        </w:rPr>
      </w:pPr>
    </w:p>
    <w:p>
      <w:pPr>
        <w:ind w:left="340" w:hanging="251"/>
        <w:spacing w:after="0" w:line="275"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the reversal of a valuation allowance relating to capital loss carryforwards that will be utilized in connection with the sale of CBS Television City in the first quarter of 2019.</w:t>
      </w:r>
    </w:p>
    <w:p>
      <w:pPr>
        <w:spacing w:after="0" w:line="10" w:lineRule="exact"/>
        <w:rPr>
          <w:rFonts w:ascii="Arial" w:cs="Arial" w:eastAsia="Arial" w:hAnsi="Arial"/>
          <w:sz w:val="16"/>
          <w:szCs w:val="16"/>
          <w:color w:val="auto"/>
        </w:rPr>
      </w:pPr>
    </w:p>
    <w:p>
      <w:pPr>
        <w:jc w:val="both"/>
        <w:ind w:left="340" w:hanging="251"/>
        <w:spacing w:after="0" w:line="261"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the difference between the tax benefit from stock-based compensation expense and the deduction on the tax return associated with the exercise of stock options and vesting of RSUs. This difference occurs because stock-based compensation expense is recorded based on the grant-date fair value of the award, whereas the tax deduction is based on the fair value on the date the stock option is exercised or the RSU vests.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1420"/>
          </w:cols>
          <w:pgMar w:left="240" w:top="57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For 2019, the Company’s annual effective income tax rate is expected to be approximately 21% before any potential discrete items, including the tax impacts from stock-based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Loss of Investee Companies, Net of Tax</w:t>
      </w:r>
    </w:p>
    <w:p>
      <w:pPr>
        <w:spacing w:after="0" w:line="135" w:lineRule="exact"/>
        <w:rPr>
          <w:sz w:val="20"/>
          <w:szCs w:val="20"/>
          <w:color w:val="auto"/>
        </w:rPr>
      </w:pPr>
    </w:p>
    <w:p>
      <w:pPr>
        <w:ind w:right="840" w:firstLine="324"/>
        <w:spacing w:after="0" w:line="260" w:lineRule="auto"/>
        <w:rPr>
          <w:sz w:val="20"/>
          <w:szCs w:val="20"/>
          <w:color w:val="auto"/>
        </w:rPr>
      </w:pPr>
      <w:r>
        <w:rPr>
          <w:rFonts w:ascii="Arial" w:cs="Arial" w:eastAsia="Arial" w:hAnsi="Arial"/>
          <w:sz w:val="20"/>
          <w:szCs w:val="20"/>
          <w:color w:val="auto"/>
        </w:rPr>
        <w:t>The following table presents equity in earnings (loss) of investee companies for the Company’s domestic and international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71755</wp:posOffset>
            </wp:positionV>
            <wp:extent cx="64833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620" w:type="dxa"/>
            <w:vAlign w:val="bottom"/>
          </w:tcPr>
          <w:p>
            <w:pPr>
              <w:spacing w:after="0"/>
              <w:rPr>
                <w:sz w:val="23"/>
                <w:szCs w:val="23"/>
                <w:color w:val="auto"/>
              </w:rPr>
            </w:pPr>
          </w:p>
        </w:tc>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3"/>
                <w:szCs w:val="23"/>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6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0"/>
        </w:trPr>
        <w:tc>
          <w:tcPr>
            <w:tcW w:w="620" w:type="dxa"/>
            <w:vAlign w:val="bottom"/>
          </w:tcPr>
          <w:p>
            <w:pPr>
              <w:spacing w:after="0"/>
              <w:rPr>
                <w:sz w:val="23"/>
                <w:szCs w:val="23"/>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3"/>
                <w:szCs w:val="23"/>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tcPr>
          <w:p>
            <w:pPr>
              <w:spacing w:after="0"/>
              <w:rPr>
                <w:sz w:val="23"/>
                <w:szCs w:val="23"/>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14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3"/>
                <w:szCs w:val="23"/>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(14)</w:t>
            </w:r>
          </w:p>
        </w:tc>
      </w:tr>
      <w:tr>
        <w:trPr>
          <w:trHeight w:val="27"/>
        </w:trPr>
        <w:tc>
          <w:tcPr>
            <w:tcW w:w="6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w:t>
            </w:r>
          </w:p>
        </w:tc>
      </w:tr>
      <w:tr>
        <w:trPr>
          <w:trHeight w:val="34"/>
        </w:trPr>
        <w:tc>
          <w:tcPr>
            <w:tcW w:w="620" w:type="dxa"/>
            <w:vAlign w:val="bottom"/>
          </w:tcPr>
          <w:p>
            <w:pPr>
              <w:spacing w:after="0"/>
              <w:rPr>
                <w:sz w:val="2"/>
                <w:szCs w:val="2"/>
                <w:color w:val="auto"/>
              </w:rPr>
            </w:pPr>
          </w:p>
        </w:tc>
        <w:tc>
          <w:tcPr>
            <w:tcW w:w="64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69"/>
        </w:trPr>
        <w:tc>
          <w:tcPr>
            <w:tcW w:w="7080" w:type="dxa"/>
            <w:vAlign w:val="bottom"/>
            <w:gridSpan w:val="4"/>
          </w:tcPr>
          <w:p>
            <w:pPr>
              <w:jc w:val="right"/>
              <w:spacing w:after="0"/>
              <w:rPr>
                <w:sz w:val="20"/>
                <w:szCs w:val="20"/>
                <w:color w:val="auto"/>
              </w:rPr>
            </w:pPr>
            <w:r>
              <w:rPr>
                <w:rFonts w:ascii="Arial" w:cs="Arial" w:eastAsia="Arial" w:hAnsi="Arial"/>
                <w:sz w:val="20"/>
                <w:szCs w:val="20"/>
                <w:i w:val="1"/>
                <w:iCs w:val="1"/>
                <w:color w:val="auto"/>
                <w:w w:val="91"/>
              </w:rPr>
              <w:t>Net Earnings from Continuing Operations and Diluted EPS from Continuing Operations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83185</wp:posOffset>
            </wp:positionV>
            <wp:extent cx="64833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4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1,960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1,309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651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1.92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34"/>
        </w:trPr>
        <w:tc>
          <w:tcPr>
            <w:tcW w:w="4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For 2018, the increase in net earnings from continuing operations of 50% was primarily driven by the lower effective income tax rate in 2018 and a pension settlement charge of $352 million ($237 million, net of tax) in 2017. Diluted EPS from continuing operations grew 60% reflecting higher earnings and lower weighted average shares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from Discontinued Operations, Net of Tax</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On November 16, 2017, the Company completed the split-off of CBS Radio through an exchange offer, in which the Company accepted 17.9 million shares of CBS Corp. Class B Common Stock from its stockholders in exchange for the 101.4 million shares of CBS Radio common stock that it owned. Immediately following the exchange offer, each share of CBS Radio common stock was converted into one share of Entercom Class A common stock upon completion of the merger of CBS Radio and Entercom. CBS Radio has been presented as a discontinued operation in the consolidated financial statements for all periods presented.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420"/>
          </w:cols>
          <w:pgMar w:left="240" w:top="57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sets forth details of net earnings (loss) from discontinued operations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103505</wp:posOffset>
            </wp:positionV>
            <wp:extent cx="71608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CBS Radio</w:t>
            </w:r>
          </w:p>
        </w:tc>
        <w:tc>
          <w:tcPr>
            <w:tcW w:w="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Market value adjustment</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780" w:type="dxa"/>
            <w:vAlign w:val="bottom"/>
          </w:tcPr>
          <w:p>
            <w:pPr>
              <w:jc w:val="right"/>
              <w:ind w:right="525"/>
              <w:spacing w:after="0"/>
              <w:rPr>
                <w:sz w:val="20"/>
                <w:szCs w:val="20"/>
                <w:color w:val="auto"/>
              </w:rPr>
            </w:pPr>
            <w:r>
              <w:rPr>
                <w:rFonts w:ascii="Arial" w:cs="Arial" w:eastAsia="Arial" w:hAnsi="Arial"/>
                <w:sz w:val="9"/>
                <w:szCs w:val="9"/>
                <w:color w:val="auto"/>
              </w:rPr>
              <w:t>(a)</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980</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4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1,795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Pr>
          <w:p>
            <w:pPr>
              <w:ind w:left="40"/>
              <w:spacing w:after="0"/>
              <w:rPr>
                <w:sz w:val="20"/>
                <w:szCs w:val="20"/>
                <w:color w:val="auto"/>
              </w:rPr>
            </w:pPr>
            <w:r>
              <w:rPr>
                <w:rFonts w:ascii="Arial" w:cs="Arial" w:eastAsia="Arial" w:hAnsi="Arial"/>
                <w:sz w:val="9"/>
                <w:szCs w:val="9"/>
                <w:color w:val="auto"/>
              </w:rPr>
              <w:t>(b)</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Pr>
          <w:p>
            <w:pPr>
              <w:ind w:left="4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34"/>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420" w:hanging="250"/>
        <w:spacing w:after="0" w:line="286" w:lineRule="auto"/>
        <w:tabs>
          <w:tab w:leader="none" w:pos="4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During 2017, prior to the split-off, CBS Radio was measured each reporting period at the lower of its carrying amount or fair value less cost to sell. The value of the transaction with Entercom was determined based on Entercom’s stock price at the closing of the transaction and therefore, the Company recorded a market value adjustment of $980 million in 2017 to adjust the carrying value of CBS Radio to the value indicated by the stock valuation of Entercom.</w:t>
      </w:r>
    </w:p>
    <w:p>
      <w:pPr>
        <w:spacing w:after="0" w:line="4" w:lineRule="exact"/>
        <w:rPr>
          <w:rFonts w:ascii="Arial" w:cs="Arial" w:eastAsia="Arial" w:hAnsi="Arial"/>
          <w:sz w:val="15"/>
          <w:szCs w:val="15"/>
          <w:color w:val="auto"/>
        </w:rPr>
      </w:pPr>
    </w:p>
    <w:p>
      <w:pPr>
        <w:ind w:left="420" w:hanging="250"/>
        <w:spacing w:after="0" w:line="275" w:lineRule="auto"/>
        <w:tabs>
          <w:tab w:leader="none" w:pos="4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a tax benefit from the resolution of a tax matter in a foreign jurisdiction relating to a previously disposed business that was accounted for as a discontinued operation.</w:t>
      </w:r>
    </w:p>
    <w:p>
      <w:pPr>
        <w:spacing w:after="0" w:line="10" w:lineRule="exact"/>
        <w:rPr>
          <w:rFonts w:ascii="Arial" w:cs="Arial" w:eastAsia="Arial" w:hAnsi="Arial"/>
          <w:sz w:val="16"/>
          <w:szCs w:val="16"/>
          <w:color w:val="auto"/>
        </w:rPr>
      </w:pPr>
    </w:p>
    <w:p>
      <w:pPr>
        <w:ind w:left="420" w:hanging="250"/>
        <w:spacing w:after="0" w:line="275" w:lineRule="auto"/>
        <w:tabs>
          <w:tab w:leader="none" w:pos="4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adjustments to the loss on disposal of the Company’s outdoor advertising businesses, primarily from a decrease to the guarantee liability associated with the 2013 disposal of the Company’s outdoor advertising business in Europe.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c>
          <w:tcPr>
            <w:tcW w:w="4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3"/>
                <w:szCs w:val="23"/>
                <w:color w:val="auto"/>
              </w:rPr>
            </w:pPr>
          </w:p>
        </w:tc>
      </w:tr>
      <w:tr>
        <w:trPr>
          <w:trHeight w:val="27"/>
        </w:trPr>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1,603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4.26</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3"/>
                <w:szCs w:val="23"/>
                <w:color w:val="auto"/>
              </w:rPr>
            </w:pPr>
          </w:p>
        </w:tc>
      </w:tr>
      <w:tr>
        <w:trPr>
          <w:trHeight w:val="34"/>
        </w:trPr>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360" w:type="dxa"/>
            <w:vAlign w:val="bottom"/>
            <w:gridSpan w:val="3"/>
          </w:tcPr>
          <w:p>
            <w:pPr>
              <w:ind w:left="580"/>
              <w:spacing w:after="0"/>
              <w:rPr>
                <w:sz w:val="20"/>
                <w:szCs w:val="20"/>
                <w:color w:val="auto"/>
              </w:rPr>
            </w:pPr>
            <w:r>
              <w:rPr>
                <w:rFonts w:ascii="Arial" w:cs="Arial" w:eastAsia="Arial" w:hAnsi="Arial"/>
                <w:sz w:val="18"/>
                <w:szCs w:val="18"/>
                <w:color w:val="auto"/>
              </w:rPr>
              <w:t>n/m - not meaningful</w:t>
            </w: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69"/>
        </w:trPr>
        <w:tc>
          <w:tcPr>
            <w:tcW w:w="4660" w:type="dxa"/>
            <w:vAlign w:val="bottom"/>
            <w:gridSpan w:val="5"/>
          </w:tcPr>
          <w:p>
            <w:pPr>
              <w:spacing w:after="0"/>
              <w:rPr>
                <w:sz w:val="20"/>
                <w:szCs w:val="20"/>
                <w:color w:val="auto"/>
              </w:rPr>
            </w:pPr>
            <w:r>
              <w:rPr>
                <w:rFonts w:ascii="Arial" w:cs="Arial" w:eastAsia="Arial" w:hAnsi="Arial"/>
                <w:sz w:val="20"/>
                <w:szCs w:val="20"/>
                <w:b w:val="1"/>
                <w:bCs w:val="1"/>
                <w:color w:val="auto"/>
                <w:w w:val="94"/>
              </w:rPr>
              <w:t>Consolidated Results of Operations— 2017 vs. 2016</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3360" w:type="dxa"/>
            <w:vAlign w:val="bottom"/>
            <w:gridSpan w:val="3"/>
          </w:tcPr>
          <w:p>
            <w:pPr>
              <w:spacing w:after="0"/>
              <w:rPr>
                <w:sz w:val="20"/>
                <w:szCs w:val="20"/>
                <w:color w:val="auto"/>
              </w:rPr>
            </w:pPr>
            <w:r>
              <w:rPr>
                <w:rFonts w:ascii="Arial" w:cs="Arial" w:eastAsia="Arial" w:hAnsi="Arial"/>
                <w:sz w:val="20"/>
                <w:szCs w:val="20"/>
                <w:i w:val="1"/>
                <w:iCs w:val="1"/>
                <w:color w:val="auto"/>
              </w:rPr>
              <w:t>Revenues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580" w:type="dxa"/>
            <w:vAlign w:val="bottom"/>
          </w:tcPr>
          <w:p>
            <w:pPr>
              <w:spacing w:after="0"/>
              <w:rPr>
                <w:sz w:val="12"/>
                <w:szCs w:val="12"/>
                <w:color w:val="auto"/>
              </w:rPr>
            </w:pPr>
          </w:p>
        </w:tc>
        <w:tc>
          <w:tcPr>
            <w:tcW w:w="278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243"/>
        </w:trPr>
        <w:tc>
          <w:tcPr>
            <w:tcW w:w="58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Type</w:t>
            </w: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 of Total</w:t>
            </w:r>
          </w:p>
        </w:tc>
        <w:tc>
          <w:tcPr>
            <w:tcW w:w="380" w:type="dxa"/>
            <w:vAlign w:val="bottom"/>
          </w:tcPr>
          <w:p>
            <w:pPr>
              <w:spacing w:after="0"/>
              <w:rPr>
                <w:sz w:val="21"/>
                <w:szCs w:val="21"/>
                <w:color w:val="auto"/>
              </w:rPr>
            </w:pPr>
          </w:p>
        </w:tc>
        <w:tc>
          <w:tcPr>
            <w:tcW w:w="20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Increase/(Decrease)</w:t>
            </w:r>
          </w:p>
        </w:tc>
        <w:tc>
          <w:tcPr>
            <w:tcW w:w="4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3"/>
                <w:szCs w:val="23"/>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Revenues</w:t>
            </w:r>
          </w:p>
        </w:tc>
        <w:tc>
          <w:tcPr>
            <w:tcW w:w="380" w:type="dxa"/>
            <w:vAlign w:val="bottom"/>
          </w:tcPr>
          <w:p>
            <w:pPr>
              <w:spacing w:after="0"/>
              <w:rPr>
                <w:sz w:val="23"/>
                <w:szCs w:val="23"/>
                <w:color w:val="auto"/>
              </w:rPr>
            </w:pPr>
          </w:p>
        </w:tc>
        <w:tc>
          <w:tcPr>
            <w:tcW w:w="102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3"/>
                <w:szCs w:val="23"/>
                <w:color w:val="auto"/>
              </w:rPr>
            </w:pPr>
          </w:p>
        </w:tc>
      </w:tr>
      <w:tr>
        <w:trPr>
          <w:trHeight w:val="27"/>
        </w:trPr>
        <w:tc>
          <w:tcPr>
            <w:tcW w:w="580" w:type="dxa"/>
            <w:vAlign w:val="bottom"/>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5,753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6,288</w:t>
            </w:r>
          </w:p>
        </w:tc>
        <w:tc>
          <w:tcPr>
            <w:tcW w:w="26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(535)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Content licensing and distribution</w:t>
            </w:r>
          </w:p>
        </w:tc>
        <w:tc>
          <w:tcPr>
            <w:tcW w:w="50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3,952</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3,673</w:t>
            </w:r>
          </w:p>
        </w:tc>
        <w:tc>
          <w:tcPr>
            <w:tcW w:w="26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279</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Affiliate and subscription fees</w:t>
            </w:r>
          </w:p>
        </w:tc>
        <w:tc>
          <w:tcPr>
            <w:tcW w:w="50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3,758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2,978</w:t>
            </w:r>
          </w:p>
        </w:tc>
        <w:tc>
          <w:tcPr>
            <w:tcW w:w="26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780</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3"/>
                <w:szCs w:val="23"/>
                <w:color w:val="auto"/>
              </w:rPr>
            </w:pPr>
          </w:p>
        </w:tc>
      </w:tr>
      <w:tr>
        <w:trPr>
          <w:trHeight w:val="27"/>
        </w:trPr>
        <w:tc>
          <w:tcPr>
            <w:tcW w:w="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120"/>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13,692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13,166</w:t>
            </w:r>
          </w:p>
        </w:tc>
        <w:tc>
          <w:tcPr>
            <w:tcW w:w="26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526</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r>
      <w:tr>
        <w:trPr>
          <w:trHeight w:val="34"/>
        </w:trPr>
        <w:tc>
          <w:tcPr>
            <w:tcW w:w="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II-17</w:t>
      </w:r>
    </w:p>
    <w:p>
      <w:pPr>
        <w:sectPr>
          <w:pgSz w:w="11900" w:h="16838" w:orient="portrait"/>
          <w:cols w:equalWidth="0" w:num="1">
            <w:col w:w="11420"/>
          </w:cols>
          <w:pgMar w:left="240" w:top="576"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For 2017, the 9% decrease in advertising revenues primarily reflects the benefit to 2016 from CBS’s broadcast of the Super Bowl, which is broadcast on the CBS Television Network on a rotating basis with other networks. The decline also reflects the benefit in 2016 from political advertising sales during the 2016 Presidential election cycle. Underlying CBS Television Network advertising revenues declined 2% in 2017, mainly as a result of lower ratings for the Company’s programming, which was partially offset by higher pricing.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 and Distribution</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For 2017, the 8% increase in content licensing and distribution revenues reflected growth in both international and domestic licensing sales. The increase in domestic licensing sales was primarily driven by sales of </w:t>
      </w:r>
      <w:r>
        <w:rPr>
          <w:rFonts w:ascii="Arial" w:cs="Arial" w:eastAsia="Arial" w:hAnsi="Arial"/>
          <w:sz w:val="20"/>
          <w:szCs w:val="20"/>
          <w:i w:val="1"/>
          <w:iCs w:val="1"/>
          <w:color w:val="auto"/>
        </w:rPr>
        <w:t>NCIS: New Orleans</w:t>
      </w:r>
      <w:r>
        <w:rPr>
          <w:rFonts w:ascii="Arial" w:cs="Arial" w:eastAsia="Arial" w:hAnsi="Arial"/>
          <w:sz w:val="20"/>
          <w:szCs w:val="20"/>
          <w:color w:val="auto"/>
        </w:rPr>
        <w:t xml:space="preserve">, </w:t>
      </w:r>
      <w:r>
        <w:rPr>
          <w:rFonts w:ascii="Arial" w:cs="Arial" w:eastAsia="Arial" w:hAnsi="Arial"/>
          <w:sz w:val="20"/>
          <w:szCs w:val="20"/>
          <w:i w:val="1"/>
          <w:iCs w:val="1"/>
          <w:color w:val="auto"/>
        </w:rPr>
        <w:t>Madam Secretary</w:t>
      </w:r>
      <w:r>
        <w:rPr>
          <w:rFonts w:ascii="Arial" w:cs="Arial" w:eastAsia="Arial" w:hAnsi="Arial"/>
          <w:sz w:val="20"/>
          <w:szCs w:val="20"/>
          <w:color w:val="auto"/>
        </w:rPr>
        <w:t xml:space="preserve"> and several titles from the </w:t>
      </w:r>
      <w:r>
        <w:rPr>
          <w:rFonts w:ascii="Arial" w:cs="Arial" w:eastAsia="Arial" w:hAnsi="Arial"/>
          <w:sz w:val="20"/>
          <w:szCs w:val="20"/>
          <w:i w:val="1"/>
          <w:iCs w:val="1"/>
          <w:color w:val="auto"/>
        </w:rPr>
        <w:t>CSI</w:t>
      </w:r>
      <w:r>
        <w:rPr>
          <w:rFonts w:ascii="Arial" w:cs="Arial" w:eastAsia="Arial" w:hAnsi="Arial"/>
          <w:sz w:val="20"/>
          <w:szCs w:val="20"/>
          <w:color w:val="auto"/>
        </w:rPr>
        <w:t xml:space="preserve"> franchise. Internationally, the Company benefited from strong demand for its content during 2017, reflecting additional titles available for sale as a result of the Company’s increased investment in internally-produced series.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 and Subscription Fees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For 2017, the 26% increase in affiliate and subscription fees reflects revenues from Showtime Networks’ distribution of the Floyd Mayweather/Conor McGregor pay-per-view boxing event, which contributed nine points of the growth. Underlying affiliate and subscription fee revenues increased 17%, led by 27% growth in station affiliation fees and retransmission fees, and 98% growth from digital initiatives, including the Company’s owned streaming subscription services, </w:t>
      </w:r>
      <w:r>
        <w:rPr>
          <w:rFonts w:ascii="Arial" w:cs="Arial" w:eastAsia="Arial" w:hAnsi="Arial"/>
          <w:sz w:val="20"/>
          <w:szCs w:val="20"/>
          <w:i w:val="1"/>
          <w:iCs w:val="1"/>
          <w:color w:val="auto"/>
        </w:rPr>
        <w:t>CBS All Access</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direct-to-consumer digital streaming subscription offering, and virtual MVPDs.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International Revenues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2017, international revenues increased 9% primarily as a result of higher television licensing sales. The Company generated approximately 15% </w:t>
      </w:r>
      <w:r>
        <w:rPr>
          <w:rFonts w:ascii="Arial" w:cs="Arial" w:eastAsia="Arial" w:hAnsi="Arial"/>
          <w:sz w:val="18"/>
          <w:szCs w:val="18"/>
          <w:color w:val="auto"/>
        </w:rPr>
        <w:t>and 14%</w:t>
      </w:r>
      <w:r>
        <w:rPr>
          <w:rFonts w:ascii="Arial" w:cs="Arial" w:eastAsia="Arial" w:hAnsi="Arial"/>
          <w:sz w:val="20"/>
          <w:szCs w:val="20"/>
          <w:color w:val="auto"/>
        </w:rPr>
        <w:t xml:space="preserve"> of its total revenues from international regions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157480</wp:posOffset>
            </wp:positionV>
            <wp:extent cx="65258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 of</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 of</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480" w:type="dxa"/>
            <w:vAlign w:val="bottom"/>
          </w:tcPr>
          <w:p>
            <w:pPr>
              <w:spacing w:after="0"/>
              <w:rPr>
                <w:sz w:val="23"/>
                <w:szCs w:val="23"/>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International</w:t>
            </w:r>
          </w:p>
        </w:tc>
      </w:tr>
      <w:tr>
        <w:trPr>
          <w:trHeight w:val="27"/>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279</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15%</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Other Europe</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717</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39</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Canada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256</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14</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Asia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190</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10</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167</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9</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240</w:t>
            </w: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13</w:t>
            </w:r>
          </w:p>
        </w:tc>
      </w:tr>
      <w:tr>
        <w:trPr>
          <w:trHeight w:val="27"/>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160"/>
              <w:spacing w:after="0"/>
              <w:rPr>
                <w:sz w:val="20"/>
                <w:szCs w:val="20"/>
                <w:color w:val="auto"/>
              </w:rPr>
            </w:pPr>
            <w:r>
              <w:rPr>
                <w:rFonts w:ascii="Arial" w:cs="Arial" w:eastAsia="Arial" w:hAnsi="Arial"/>
                <w:sz w:val="18"/>
                <w:szCs w:val="18"/>
                <w:b w:val="1"/>
                <w:bCs w:val="1"/>
                <w:color w:val="auto"/>
              </w:rPr>
              <w:t>Total International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2,017</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1,849</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100%</w:t>
            </w:r>
          </w:p>
        </w:tc>
      </w:tr>
      <w:tr>
        <w:trPr>
          <w:trHeight w:val="34"/>
        </w:trPr>
        <w:tc>
          <w:tcPr>
            <w:tcW w:w="3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729"/>
        </w:trPr>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w w:val="99"/>
              </w:rPr>
              <w:t>II-18</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 by Type</w:t>
            </w: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400" w:type="dxa"/>
            <w:vAlign w:val="bottom"/>
          </w:tcPr>
          <w:p>
            <w:pPr>
              <w:spacing w:after="0"/>
              <w:rPr>
                <w:sz w:val="23"/>
                <w:szCs w:val="23"/>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3"/>
                <w:szCs w:val="23"/>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40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Programming</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3,156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2,941</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215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7 %</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62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2,873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2,658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215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8</w:t>
            </w:r>
          </w:p>
        </w:tc>
      </w:tr>
      <w:tr>
        <w:trPr>
          <w:trHeight w:val="256"/>
        </w:trPr>
        <w:tc>
          <w:tcPr>
            <w:tcW w:w="2680" w:type="dxa"/>
            <w:vAlign w:val="bottom"/>
          </w:tcPr>
          <w:p>
            <w:pPr>
              <w:ind w:left="20"/>
              <w:spacing w:after="0"/>
              <w:rPr>
                <w:sz w:val="20"/>
                <w:szCs w:val="20"/>
                <w:color w:val="auto"/>
              </w:rPr>
            </w:pPr>
            <w:r>
              <w:rPr>
                <w:rFonts w:ascii="Arial" w:cs="Arial" w:eastAsia="Arial" w:hAnsi="Arial"/>
                <w:sz w:val="18"/>
                <w:szCs w:val="18"/>
                <w:color w:val="auto"/>
              </w:rPr>
              <w:t>Participation, distribution and</w:t>
            </w: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2680" w:type="dxa"/>
            <w:vAlign w:val="bottom"/>
          </w:tcPr>
          <w:p>
            <w:pPr>
              <w:ind w:left="180"/>
              <w:spacing w:after="0"/>
              <w:rPr>
                <w:sz w:val="20"/>
                <w:szCs w:val="20"/>
                <w:color w:val="auto"/>
              </w:rPr>
            </w:pPr>
            <w:r>
              <w:rPr>
                <w:rFonts w:ascii="Arial" w:cs="Arial" w:eastAsia="Arial" w:hAnsi="Arial"/>
                <w:sz w:val="18"/>
                <w:szCs w:val="18"/>
                <w:color w:val="auto"/>
              </w:rPr>
              <w:t>royalty</w:t>
            </w:r>
          </w:p>
        </w:tc>
        <w:tc>
          <w:tcPr>
            <w:tcW w:w="6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1,050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1,058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1,359</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1,299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7"/>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8,438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7,956</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482</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6 %</w:t>
            </w:r>
          </w:p>
        </w:tc>
      </w:tr>
      <w:tr>
        <w:trPr>
          <w:trHeight w:val="34"/>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For 2017, the 7% increase in programming expenses was driven by costs associated with Showtime Networks’ distribution of the Floyd Mayweather/Conor McGregor pay-per-view boxing event; CBS’s broadcast of the National Semifinals and National Championship games of the NCAA Tournament, and an increased investment in cable programming. Costs in 2016 associated with CBS’s broadcast of </w:t>
      </w:r>
      <w:r>
        <w:rPr>
          <w:rFonts w:ascii="Arial" w:cs="Arial" w:eastAsia="Arial" w:hAnsi="Arial"/>
          <w:sz w:val="20"/>
          <w:szCs w:val="20"/>
          <w:i w:val="1"/>
          <w:iCs w:val="1"/>
          <w:color w:val="auto"/>
        </w:rPr>
        <w:t>Super Bowl 50</w:t>
      </w:r>
      <w:r>
        <w:rPr>
          <w:rFonts w:ascii="Arial" w:cs="Arial" w:eastAsia="Arial" w:hAnsi="Arial"/>
          <w:sz w:val="20"/>
          <w:szCs w:val="20"/>
          <w:color w:val="auto"/>
        </w:rPr>
        <w:t xml:space="preserve"> partially offset these increases.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Production</w:t>
      </w:r>
    </w:p>
    <w:p>
      <w:pPr>
        <w:spacing w:after="0" w:line="13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For 2017, the 8% increase in production expenses reflected an increased investment in internally-developed television series and higher costs associated with the increase in television licensing revenues.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Participation, Distribution and Royalty</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2017, the 1% decrease in participation, distribution and royalty costs was primarily driven by the mix of titles sold under television licensing arrangements.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For 2017, the 5% increase in other operating expenses mainly reflected higher compensation costs associated with the Company’s growth initiatives and increased costs resulting from a higher volume of book sales.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380" w:type="dxa"/>
            <w:vAlign w:val="bottom"/>
          </w:tcPr>
          <w:p>
            <w:pPr>
              <w:spacing w:after="0"/>
              <w:rPr>
                <w:sz w:val="20"/>
                <w:szCs w:val="20"/>
                <w:color w:val="auto"/>
              </w:rPr>
            </w:pPr>
          </w:p>
        </w:tc>
        <w:tc>
          <w:tcPr>
            <w:tcW w:w="20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380" w:type="dxa"/>
            <w:vAlign w:val="bottom"/>
          </w:tcPr>
          <w:p>
            <w:pPr>
              <w:spacing w:after="0"/>
              <w:rPr>
                <w:sz w:val="23"/>
                <w:szCs w:val="23"/>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2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28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   2,126</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   2,054</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72</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34"/>
        </w:trPr>
        <w:tc>
          <w:tcPr>
            <w:tcW w:w="2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For 2017, the 4% increase in SG&amp;A expenses primarily reflected higher advertising and marketing costs, mainly to support the Company’s growth initiatives.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4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4"/>
        </w:trPr>
        <w:tc>
          <w:tcPr>
            <w:tcW w:w="3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II-19</w:t>
      </w:r>
    </w:p>
    <w:p>
      <w:pPr>
        <w:sectPr>
          <w:pgSz w:w="11900" w:h="16838" w:orient="portrait"/>
          <w:cols w:equalWidth="0" w:num="1">
            <w:col w:w="11420"/>
          </w:cols>
          <w:pgMar w:left="240" w:top="576"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and Other Corporate Matters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 ended December 31, 2017, the Company recorded restructuring charges of $63 million, reflecting $54 million of severance costs and $9 million of costs associated with exiting contractual obligations and other related costs.</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 ended December 31, 2016, the Company recorded restructuring charges of $30 million, reflecting $19 million of severance costs and $11 million of costs associated with exiting contractual obligations and other related costs.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2016, the Company incurred professional fees of $8 million associated with merger and acquisition-related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Items, Net</w:t>
      </w:r>
    </w:p>
    <w:p>
      <w:pPr>
        <w:spacing w:after="0" w:line="135"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For 2017, other operating items, net reflected a net gain relating to the disposition of property and equipment. For 2016, other operating items, net included a gain from the disposition of an internet business in China and a multiyear, retroactive impact of a new operating tax.</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and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0"/>
        </w:trPr>
        <w:tc>
          <w:tcPr>
            <w:tcW w:w="3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34"/>
        </w:trPr>
        <w:tc>
          <w:tcPr>
            <w:tcW w:w="3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following table presents the Company’s outstanding debt balances, excluding capital leases and discontinued operations debt, and the weighted average interest rate 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71755</wp:posOffset>
            </wp:positionV>
            <wp:extent cx="64490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49060" cy="17145"/>
                    </a:xfrm>
                    <a:prstGeom prst="rect">
                      <a:avLst/>
                    </a:prstGeom>
                    <a:noFill/>
                  </pic:spPr>
                </pic:pic>
              </a:graphicData>
            </a:graphic>
          </wp:anchor>
        </w:drawing>
      </w:r>
    </w:p>
    <w:p>
      <w:pPr>
        <w:spacing w:after="0" w:line="128"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40" w:type="dxa"/>
            <w:vAlign w:val="bottom"/>
          </w:tcPr>
          <w:p>
            <w:pPr>
              <w:jc w:val="right"/>
              <w:ind w:right="370"/>
              <w:spacing w:after="0"/>
              <w:rPr>
                <w:sz w:val="20"/>
                <w:szCs w:val="20"/>
                <w:color w:val="auto"/>
              </w:rPr>
            </w:pPr>
            <w:r>
              <w:rPr>
                <w:rFonts w:ascii="Arial" w:cs="Arial" w:eastAsia="Arial" w:hAnsi="Arial"/>
                <w:sz w:val="18"/>
                <w:szCs w:val="18"/>
                <w:b w:val="1"/>
                <w:bCs w:val="1"/>
                <w:color w:val="auto"/>
              </w:rPr>
              <w:t>Weighted Average</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28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rPr>
              <w:t>Interest Rate</w:t>
            </w:r>
          </w:p>
        </w:tc>
        <w:tc>
          <w:tcPr>
            <w:tcW w:w="400" w:type="dxa"/>
            <w:vAlign w:val="bottom"/>
          </w:tcPr>
          <w:p>
            <w:pPr>
              <w:spacing w:after="0"/>
              <w:rPr>
                <w:sz w:val="23"/>
                <w:szCs w:val="23"/>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140" w:type="dxa"/>
            <w:vAlign w:val="bottom"/>
          </w:tcPr>
          <w:p>
            <w:pPr>
              <w:jc w:val="right"/>
              <w:ind w:right="57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2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9,426</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4.26%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8,850</w:t>
            </w:r>
          </w:p>
        </w:tc>
        <w:tc>
          <w:tcPr>
            <w:tcW w:w="2140" w:type="dxa"/>
            <w:vAlign w:val="bottom"/>
          </w:tcPr>
          <w:p>
            <w:pPr>
              <w:jc w:val="right"/>
              <w:ind w:right="670"/>
              <w:spacing w:after="0"/>
              <w:rPr>
                <w:sz w:val="20"/>
                <w:szCs w:val="20"/>
                <w:color w:val="auto"/>
              </w:rPr>
            </w:pPr>
            <w:r>
              <w:rPr>
                <w:rFonts w:ascii="Arial" w:cs="Arial" w:eastAsia="Arial" w:hAnsi="Arial"/>
                <w:sz w:val="18"/>
                <w:szCs w:val="18"/>
                <w:color w:val="auto"/>
              </w:rPr>
              <w:t>4.47%</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679</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1.88%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450</w:t>
            </w:r>
          </w:p>
        </w:tc>
        <w:tc>
          <w:tcPr>
            <w:tcW w:w="2140" w:type="dxa"/>
            <w:vAlign w:val="bottom"/>
          </w:tcPr>
          <w:p>
            <w:pPr>
              <w:jc w:val="right"/>
              <w:ind w:right="670"/>
              <w:spacing w:after="0"/>
              <w:rPr>
                <w:sz w:val="20"/>
                <w:szCs w:val="20"/>
                <w:color w:val="auto"/>
              </w:rPr>
            </w:pPr>
            <w:r>
              <w:rPr>
                <w:rFonts w:ascii="Arial" w:cs="Arial" w:eastAsia="Arial" w:hAnsi="Arial"/>
                <w:sz w:val="18"/>
                <w:szCs w:val="18"/>
                <w:color w:val="auto"/>
              </w:rPr>
              <w:t>0.98%</w:t>
            </w:r>
          </w:p>
        </w:tc>
      </w:tr>
      <w:tr>
        <w:trPr>
          <w:trHeight w:val="34"/>
        </w:trPr>
        <w:tc>
          <w:tcPr>
            <w:tcW w:w="2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Early Extinguishment of Debt</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2017, the loss on early extinguishment of debt of $49 million reflected a pretax loss associated with the Company’s redemption of $800 million of its long-term debt.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Settlement Charges</w:t>
      </w:r>
    </w:p>
    <w:p>
      <w:pPr>
        <w:spacing w:after="0" w:line="13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During 2017, the Company purchased a group annuity contract under which an insurance company permanently assumed the Company’s obligation to pay and administer pension benefits to certain of the Company’s pension plan participants, or their designated beneficiaries, who had been receiving pension benefits. The purchase of this group annuity contract was funded with pension plan assets. As a result, the Company’s outstanding pension benefit obligation was reduced by approximately $800 million, which represented approximately 20% of the total obligations of the Company’s qualified pension plans. In connection with this transaction, the Company recorded a settlement charge of $352 million in 2017, reflecting the accelerated recognition of a portion of unamortized actuarial losses in the plan. Additionally, during 2017, the Company made discretionary contributions totaling $600 million to prefund its qualified pension plans.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420"/>
          </w:cols>
          <w:pgMar w:left="240" w:top="57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9"/>
          <w:szCs w:val="19"/>
          <w:color w:val="auto"/>
        </w:rPr>
        <w:t>During 2016, the Company offered eligible former employees who had not yet initiated pension benefit payments the option to make a one-time election to receive the present value of their pension benefits as a lump-sum distribution or to commence an immediate monthly annuity benefit. As a result, the Company paid a total of $518 million of lump-sum distributions in 2016 using its pension plan assets, which represented 12% of the total obligations of its qualified pension plans. Accordingly, the Company recorded a settlement charge of $211 million reflecting the accelerated recognition of a portion of unamortized actuarial losses in the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Items, Net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following table presents the components of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267970</wp:posOffset>
            </wp:positionV>
            <wp:extent cx="487108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71085"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7"/>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Foreign exchange gains (losses)</w:t>
            </w:r>
          </w:p>
        </w:tc>
        <w:tc>
          <w:tcPr>
            <w:tcW w:w="146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Net loss from investments</w:t>
            </w:r>
          </w:p>
        </w:tc>
        <w:tc>
          <w:tcPr>
            <w:tcW w:w="14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4"/>
        </w:trPr>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1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provision for income taxes represents federal, state and local, and foreign taxes on earnings from continuing operations before income taxes and equity in loss of investee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157480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4"/>
              </w:rPr>
              <w:t>Increase/(Decrease)</w:t>
            </w:r>
          </w:p>
        </w:tc>
      </w:tr>
      <w:tr>
        <w:trPr>
          <w:trHeight w:val="27"/>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Provision for income taxes before discrete items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560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681</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310"/>
        </w:trPr>
        <w:tc>
          <w:tcPr>
            <w:tcW w:w="5620" w:type="dxa"/>
            <w:vAlign w:val="bottom"/>
          </w:tcPr>
          <w:p>
            <w:pPr>
              <w:ind w:left="160"/>
              <w:spacing w:after="0"/>
              <w:rPr>
                <w:sz w:val="20"/>
                <w:szCs w:val="20"/>
                <w:color w:val="auto"/>
              </w:rPr>
            </w:pPr>
            <w:r>
              <w:rPr>
                <w:rFonts w:ascii="Arial" w:cs="Arial" w:eastAsia="Arial" w:hAnsi="Arial"/>
                <w:sz w:val="18"/>
                <w:szCs w:val="18"/>
                <w:color w:val="auto"/>
              </w:rPr>
              <w:t xml:space="preserve">Impact of tax law changes </w:t>
            </w:r>
            <w:r>
              <w:rPr>
                <w:rFonts w:ascii="Arial" w:cs="Arial" w:eastAsia="Arial" w:hAnsi="Arial"/>
                <w:sz w:val="25"/>
                <w:szCs w:val="25"/>
                <w:color w:val="auto"/>
                <w:vertAlign w:val="superscript"/>
              </w:rPr>
              <w:t>(a)</w:t>
            </w:r>
          </w:p>
        </w:tc>
        <w:tc>
          <w:tcPr>
            <w:tcW w:w="176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r>
      <w:tr>
        <w:trPr>
          <w:trHeight w:val="270"/>
        </w:trPr>
        <w:tc>
          <w:tcPr>
            <w:tcW w:w="56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Excess tax benefits from stock-based compensation </w:t>
            </w:r>
            <w:r>
              <w:rPr>
                <w:rFonts w:ascii="Arial" w:cs="Arial" w:eastAsia="Arial" w:hAnsi="Arial"/>
                <w:sz w:val="25"/>
                <w:szCs w:val="25"/>
                <w:color w:val="auto"/>
                <w:vertAlign w:val="superscript"/>
              </w:rPr>
              <w:t>(b)</w:t>
            </w:r>
          </w:p>
        </w:tc>
        <w:tc>
          <w:tcPr>
            <w:tcW w:w="17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3"/>
                <w:szCs w:val="23"/>
                <w:color w:val="auto"/>
              </w:rPr>
            </w:pPr>
          </w:p>
        </w:tc>
      </w:tr>
      <w:tr>
        <w:trPr>
          <w:trHeight w:val="257"/>
        </w:trPr>
        <w:tc>
          <w:tcPr>
            <w:tcW w:w="5620" w:type="dxa"/>
            <w:vAlign w:val="bottom"/>
            <w:tcBorders>
              <w:bottom w:val="single" w:sz="8" w:color="auto"/>
            </w:tcBorders>
          </w:tcPr>
          <w:p>
            <w:pPr>
              <w:ind w:left="160"/>
              <w:spacing w:after="0" w:line="257" w:lineRule="exact"/>
              <w:rPr>
                <w:sz w:val="20"/>
                <w:szCs w:val="20"/>
                <w:color w:val="auto"/>
              </w:rPr>
            </w:pPr>
            <w:r>
              <w:rPr>
                <w:rFonts w:ascii="Arial" w:cs="Arial" w:eastAsia="Arial" w:hAnsi="Arial"/>
                <w:sz w:val="18"/>
                <w:szCs w:val="18"/>
                <w:color w:val="auto"/>
              </w:rPr>
              <w:t xml:space="preserve">Other discrete items </w:t>
            </w:r>
            <w:r>
              <w:rPr>
                <w:rFonts w:ascii="Arial" w:cs="Arial" w:eastAsia="Arial" w:hAnsi="Arial"/>
                <w:sz w:val="25"/>
                <w:szCs w:val="25"/>
                <w:color w:val="auto"/>
                <w:vertAlign w:val="superscript"/>
              </w:rPr>
              <w:t>(c)</w:t>
            </w:r>
          </w:p>
        </w:tc>
        <w:tc>
          <w:tcPr>
            <w:tcW w:w="17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1700" w:type="dxa"/>
            <w:vAlign w:val="bottom"/>
            <w:tcBorders>
              <w:bottom w:val="single" w:sz="8" w:color="auto"/>
            </w:tcBorders>
          </w:tcPr>
          <w:p>
            <w:pPr>
              <w:spacing w:after="0"/>
              <w:rPr>
                <w:sz w:val="22"/>
                <w:szCs w:val="2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633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628</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1 %</w:t>
            </w:r>
          </w:p>
        </w:tc>
      </w:tr>
      <w:tr>
        <w:trPr>
          <w:trHeight w:val="34"/>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7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700" w:type="dxa"/>
            <w:vAlign w:val="bottom"/>
          </w:tcPr>
          <w:p>
            <w:pPr>
              <w:spacing w:after="0"/>
              <w:rPr>
                <w:sz w:val="21"/>
                <w:szCs w:val="21"/>
                <w:color w:val="auto"/>
              </w:rPr>
            </w:pPr>
          </w:p>
        </w:tc>
      </w:tr>
      <w:tr>
        <w:trPr>
          <w:trHeight w:val="34"/>
        </w:trPr>
        <w:tc>
          <w:tcPr>
            <w:tcW w:w="5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40" w:hanging="251"/>
        <w:spacing w:after="0" w:line="251"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impact of the enactment of the Tax Reform Act in December 2017. As a result of this tax law, the Company recorded a net provisional charge of $129 million for the year ended December 31, 2017, reflecting an estimated tax impact of $407 million on the Company’s historical accumulated foreign earnings and profits, partially offset by an estimated benefit of $278 million to adjust the Company’s deferred income tax balances as a result of the reduction in the federal corporate income tax rate from 35% to 21%.</w:t>
      </w:r>
    </w:p>
    <w:p>
      <w:pPr>
        <w:jc w:val="both"/>
        <w:ind w:left="340" w:hanging="251"/>
        <w:spacing w:after="0" w:line="248"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excess tax benefits associated with the exercise of stock options and vesting of RSUs. During the first quarter of 2017, the Company adopted FASB guidance which requires that the difference between the tax benefit from stock-based compensation expense and the deduction on the tax return be recognized within the income tax provision on the statement of operations. Previously, such difference was recognized in stockholders’ equity on the balance sheet. This difference occurs because stock-based compensation expense is determined based on the grant-date fair value of the award, whereas the tax deduction is based on the fair value on the date the stock option is exercised or the RSU vests. This guidance requires the income statement classification to be applied prospectively, and therefore, excess tax benefits for prior periods remain classified in stockholders’ equity.</w:t>
      </w:r>
    </w:p>
    <w:p>
      <w:pPr>
        <w:spacing w:after="0" w:line="33" w:lineRule="exact"/>
        <w:rPr>
          <w:rFonts w:ascii="Arial" w:cs="Arial" w:eastAsia="Arial" w:hAnsi="Arial"/>
          <w:sz w:val="16"/>
          <w:szCs w:val="16"/>
          <w:color w:val="auto"/>
        </w:rPr>
      </w:pPr>
    </w:p>
    <w:p>
      <w:pPr>
        <w:jc w:val="both"/>
        <w:ind w:left="340" w:hanging="251"/>
        <w:spacing w:after="0" w:line="261"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year ended December 31, 2017, primarily reflects tax benefits from the resolution of certain state income tax matters. For the year ended December 31, 2016, primarily reflects a one-time tax benefit of $47 million associated with a multiyear adjustment to a tax deduction, which was approved by the IRS during the third quarter of 2016.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57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Loss of Investee Companies, Net of Tax</w:t>
      </w:r>
    </w:p>
    <w:p>
      <w:pPr>
        <w:spacing w:after="0" w:line="108" w:lineRule="exact"/>
        <w:rPr>
          <w:sz w:val="20"/>
          <w:szCs w:val="20"/>
          <w:color w:val="auto"/>
        </w:rPr>
      </w:pPr>
    </w:p>
    <w:p>
      <w:pPr>
        <w:ind w:right="840" w:firstLine="324"/>
        <w:spacing w:after="0" w:line="260" w:lineRule="auto"/>
        <w:rPr>
          <w:sz w:val="20"/>
          <w:szCs w:val="20"/>
          <w:color w:val="auto"/>
        </w:rPr>
      </w:pPr>
      <w:r>
        <w:rPr>
          <w:rFonts w:ascii="Arial" w:cs="Arial" w:eastAsia="Arial" w:hAnsi="Arial"/>
          <w:sz w:val="20"/>
          <w:szCs w:val="20"/>
          <w:color w:val="auto"/>
        </w:rPr>
        <w:t>The following table presents equity in earnings (loss) of investee companies for the Company’s domestic and international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71755</wp:posOffset>
            </wp:positionV>
            <wp:extent cx="64833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3"/>
                <w:szCs w:val="23"/>
                <w:color w:val="auto"/>
              </w:rPr>
            </w:pPr>
          </w:p>
        </w:tc>
        <w:tc>
          <w:tcPr>
            <w:tcW w:w="106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9 %</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125</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1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(12)</w:t>
            </w:r>
          </w:p>
        </w:tc>
      </w:tr>
      <w:tr>
        <w:trPr>
          <w:trHeight w:val="27"/>
        </w:trPr>
        <w:tc>
          <w:tcPr>
            <w:tcW w:w="4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26 %</w:t>
            </w:r>
          </w:p>
        </w:tc>
      </w:tr>
      <w:tr>
        <w:trPr>
          <w:trHeight w:val="34"/>
        </w:trPr>
        <w:tc>
          <w:tcPr>
            <w:tcW w:w="4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For 2016, equity in loss of investee companies, net of tax included $10 million for the write-down of an international television joint venture to its fair value.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from Continuing Operations and Diluted EPS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1,309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1,552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(243)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34"/>
        </w:trPr>
        <w:tc>
          <w:tcPr>
            <w:tcW w:w="4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For 2017, the decreases in net earnings from continuing operations and diluted EPS from continuing operations of 16% and 7%, respectively, were driven by pension settlement charges of $352 million ($237 million, net of tax) in 2017 compared with $211 million ($130 million, net of tax) in 2016; a provisional charge of $129 million from the enactment of the Tax Reform Act in December 2017; and a charge of $49 million ($31 million, net of tax) from the early extinguishment of debt. Diluted EPS from continuing operations benefited from lower weighted average shares outstanding as a result of the Company’s share repurchases and the shares retired as a result of the split-off of CBS Radio during the fourth quarter of 2017.</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ectPr>
          <w:pgSz w:w="11900" w:h="16838" w:orient="portrait"/>
          <w:cols w:equalWidth="0" w:num="1">
            <w:col w:w="11420"/>
          </w:cols>
          <w:pgMar w:left="240" w:top="57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from Discontinued Operations, Net of Tax</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details of net earnings (loss) from discontinued operations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110490</wp:posOffset>
            </wp:positionV>
            <wp:extent cx="71608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CBS Radio</w:t>
            </w:r>
          </w:p>
        </w:tc>
        <w:tc>
          <w:tcPr>
            <w:tcW w:w="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Market value adjustment</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780" w:type="dxa"/>
            <w:vAlign w:val="bottom"/>
          </w:tcPr>
          <w:p>
            <w:pPr>
              <w:jc w:val="right"/>
              <w:ind w:right="525"/>
              <w:spacing w:after="0"/>
              <w:rPr>
                <w:sz w:val="20"/>
                <w:szCs w:val="20"/>
                <w:color w:val="auto"/>
              </w:rPr>
            </w:pPr>
            <w:r>
              <w:rPr>
                <w:rFonts w:ascii="Arial" w:cs="Arial" w:eastAsia="Arial" w:hAnsi="Arial"/>
                <w:sz w:val="9"/>
                <w:szCs w:val="9"/>
                <w:color w:val="auto"/>
              </w:rPr>
              <w:t>(a)</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980</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4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1,795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Pr>
          <w:p>
            <w:pPr>
              <w:ind w:left="40"/>
              <w:spacing w:after="0"/>
              <w:rPr>
                <w:sz w:val="20"/>
                <w:szCs w:val="20"/>
                <w:color w:val="auto"/>
              </w:rPr>
            </w:pPr>
            <w:r>
              <w:rPr>
                <w:rFonts w:ascii="Arial" w:cs="Arial" w:eastAsia="Arial" w:hAnsi="Arial"/>
                <w:sz w:val="9"/>
                <w:szCs w:val="9"/>
                <w:color w:val="auto"/>
              </w:rPr>
              <w:t>(b)</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Pr>
          <w:p>
            <w:pPr>
              <w:ind w:left="4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34"/>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420" w:hanging="250"/>
        <w:spacing w:after="0" w:line="286" w:lineRule="auto"/>
        <w:tabs>
          <w:tab w:leader="none" w:pos="409"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2017, prior to the split-off, CBS Radio was measured each reporting period at the lower of its carrying amount or fair value less cost to sell. The value of the transaction with Entercom was determined based on Entercom’s stock price at the closing of the transaction and therefore, the Company recorded a market value adjustment of $980 million in 2017 to adjust the carrying value of CBS Radio to the value indicated by the stock valuation of Entercom.</w:t>
      </w:r>
    </w:p>
    <w:p>
      <w:pPr>
        <w:spacing w:after="0" w:line="4" w:lineRule="exact"/>
        <w:rPr>
          <w:rFonts w:ascii="Arial" w:cs="Arial" w:eastAsia="Arial" w:hAnsi="Arial"/>
          <w:sz w:val="15"/>
          <w:szCs w:val="15"/>
          <w:color w:val="auto"/>
        </w:rPr>
      </w:pPr>
    </w:p>
    <w:p>
      <w:pPr>
        <w:ind w:left="420" w:hanging="250"/>
        <w:spacing w:after="0" w:line="275" w:lineRule="auto"/>
        <w:tabs>
          <w:tab w:leader="none" w:pos="4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a tax benefit from the resolution of a tax matter in a foreign jurisdiction relating to a previously disposed business that was accounted for as a discontinued operation.</w:t>
      </w:r>
    </w:p>
    <w:p>
      <w:pPr>
        <w:spacing w:after="0" w:line="10" w:lineRule="exact"/>
        <w:rPr>
          <w:rFonts w:ascii="Arial" w:cs="Arial" w:eastAsia="Arial" w:hAnsi="Arial"/>
          <w:sz w:val="16"/>
          <w:szCs w:val="16"/>
          <w:color w:val="auto"/>
        </w:rPr>
      </w:pPr>
    </w:p>
    <w:p>
      <w:pPr>
        <w:ind w:left="420" w:hanging="250"/>
        <w:spacing w:after="0" w:line="275" w:lineRule="auto"/>
        <w:tabs>
          <w:tab w:leader="none" w:pos="4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adjustments to the loss on disposal of the Company’s outdoor advertising businesses, primarily from a decrease to the guarantee liability associated with the 2013 disposal of the Company’s outdoor advertising business in Europe.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ectPr>
          <w:pgSz w:w="11900" w:h="16838" w:orient="portrait"/>
          <w:cols w:equalWidth="0" w:num="1">
            <w:col w:w="11420"/>
          </w:cols>
          <w:pgMar w:left="240" w:top="57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386080</wp:posOffset>
            </wp:positionV>
            <wp:extent cx="71094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CBS Radio</w:t>
            </w: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 xml:space="preserve">Other </w:t>
            </w:r>
            <w:r>
              <w:rPr>
                <w:rFonts w:ascii="Arial" w:cs="Arial" w:eastAsia="Arial" w:hAnsi="Arial"/>
                <w:sz w:val="25"/>
                <w:szCs w:val="25"/>
                <w:b w:val="1"/>
                <w:bCs w:val="1"/>
                <w:color w:val="auto"/>
                <w:w w:val="99"/>
                <w:vertAlign w:val="superscript"/>
              </w:rPr>
              <w:t>(b)</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1,220</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397</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496</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Impairment charge</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720" w:type="dxa"/>
            <w:vAlign w:val="bottom"/>
          </w:tcPr>
          <w:p>
            <w:pPr>
              <w:jc w:val="right"/>
              <w:ind w:right="439"/>
              <w:spacing w:after="0"/>
              <w:rPr>
                <w:sz w:val="20"/>
                <w:szCs w:val="20"/>
                <w:color w:val="auto"/>
              </w:rPr>
            </w:pPr>
            <w:r>
              <w:rPr>
                <w:rFonts w:ascii="Arial" w:cs="Arial" w:eastAsia="Arial" w:hAnsi="Arial"/>
                <w:sz w:val="13"/>
                <w:szCs w:val="13"/>
                <w:color w:val="auto"/>
              </w:rPr>
              <w:t>(a)</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8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1,371</w:t>
            </w:r>
          </w:p>
        </w:tc>
        <w:tc>
          <w:tcPr>
            <w:tcW w:w="7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1,371</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7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8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18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7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34"/>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420" w:right="320" w:hanging="250"/>
        <w:spacing w:after="0" w:line="275" w:lineRule="auto"/>
        <w:tabs>
          <w:tab w:leader="none" w:pos="3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 pretax noncash impairment charge of $444 million ($427 million, net of tax) to reduce the carrying value of CBS Radio’s goodwill and FCC licenses in 11 radio markets to their fair value.</w:t>
      </w:r>
    </w:p>
    <w:p>
      <w:pPr>
        <w:spacing w:after="0" w:line="10" w:lineRule="exact"/>
        <w:rPr>
          <w:rFonts w:ascii="Arial" w:cs="Arial" w:eastAsia="Arial" w:hAnsi="Arial"/>
          <w:sz w:val="16"/>
          <w:szCs w:val="16"/>
          <w:color w:val="auto"/>
        </w:rPr>
      </w:pPr>
    </w:p>
    <w:p>
      <w:pPr>
        <w:ind w:left="420" w:right="680" w:hanging="250"/>
        <w:spacing w:after="0" w:line="275" w:lineRule="auto"/>
        <w:tabs>
          <w:tab w:leader="none" w:pos="4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 charge from the resolution of a tax matter in a foreign jurisdiction relating to a previously disposed business that was accounted for as a discontinued operation.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1,261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(904)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(72)%</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(1.93)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(69)%</w:t>
            </w:r>
          </w:p>
        </w:tc>
      </w:tr>
      <w:tr>
        <w:trPr>
          <w:trHeight w:val="34"/>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CBS Corp. operates in the following four segments:</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ENTERTAINMENT: The Entertainment segment consists of the </w:t>
      </w:r>
      <w:r>
        <w:rPr>
          <w:rFonts w:ascii="Arial" w:cs="Arial" w:eastAsia="Arial" w:hAnsi="Arial"/>
          <w:sz w:val="18"/>
          <w:szCs w:val="18"/>
          <w:i w:val="1"/>
          <w:iCs w:val="1"/>
          <w:color w:val="auto"/>
        </w:rPr>
        <w:t>CBS Television Network, CBS Television Studios, CBS Global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Group, Network 10, CBS Interactive, CBS Sports Network, </w:t>
      </w:r>
      <w:r>
        <w:rPr>
          <w:rFonts w:ascii="Arial" w:cs="Arial" w:eastAsia="Arial" w:hAnsi="Arial"/>
          <w:sz w:val="18"/>
          <w:szCs w:val="18"/>
          <w:color w:val="auto"/>
        </w:rPr>
        <w:t>and</w:t>
      </w:r>
      <w:r>
        <w:rPr>
          <w:rFonts w:ascii="Arial" w:cs="Arial" w:eastAsia="Arial" w:hAnsi="Arial"/>
          <w:sz w:val="18"/>
          <w:szCs w:val="18"/>
          <w:i w:val="1"/>
          <w:iCs w:val="1"/>
          <w:color w:val="auto"/>
        </w:rPr>
        <w:t xml:space="preserve"> CBS Films </w:t>
      </w:r>
      <w:r>
        <w:rPr>
          <w:rFonts w:ascii="Arial" w:cs="Arial" w:eastAsia="Arial" w:hAnsi="Arial"/>
          <w:sz w:val="18"/>
          <w:szCs w:val="18"/>
          <w:color w:val="auto"/>
        </w:rPr>
        <w:t>as well as the Company’s digital streaming services</w:t>
      </w:r>
      <w:r>
        <w:rPr>
          <w:rFonts w:ascii="Arial" w:cs="Arial" w:eastAsia="Arial" w:hAnsi="Arial"/>
          <w:sz w:val="18"/>
          <w:szCs w:val="18"/>
          <w:i w:val="1"/>
          <w:iCs w:val="1"/>
          <w:color w:val="auto"/>
        </w:rPr>
        <w:t xml:space="preserve"> CBS All Access </w:t>
      </w:r>
      <w:r>
        <w:rPr>
          <w:rFonts w:ascii="Arial" w:cs="Arial" w:eastAsia="Arial" w:hAnsi="Arial"/>
          <w:sz w:val="18"/>
          <w:szCs w:val="18"/>
          <w:color w:val="auto"/>
        </w:rPr>
        <w:t xml:space="preserve">and </w:t>
      </w:r>
      <w:r>
        <w:rPr>
          <w:rFonts w:ascii="Arial" w:cs="Arial" w:eastAsia="Arial" w:hAnsi="Arial"/>
          <w:sz w:val="18"/>
          <w:szCs w:val="18"/>
          <w:i w:val="1"/>
          <w:iCs w:val="1"/>
          <w:color w:val="auto"/>
        </w:rPr>
        <w:t>CBSN</w:t>
      </w:r>
      <w:r>
        <w:rPr>
          <w:rFonts w:ascii="Arial" w:cs="Arial" w:eastAsia="Arial" w:hAnsi="Arial"/>
          <w:sz w:val="18"/>
          <w:szCs w:val="18"/>
          <w:color w:val="auto"/>
        </w:rPr>
        <w:t>. Entertainment’s revenues are generated primarily from advertising sales, the licensing and distribution of its content, and affiliate and subscription fees. The Entertainment segment contributed 70% to consolidated revenues in 2018 and 68% to consolidated revenues in each of the years 2017 and 2016, and 55%, 54%, and 53% to total segment operating income in 2018, 2017, and 2016, respectively.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CABLE NETWORKS: The Cable Networks segment consists of </w:t>
      </w:r>
      <w:r>
        <w:rPr>
          <w:rFonts w:ascii="Arial" w:cs="Arial" w:eastAsia="Arial" w:hAnsi="Arial"/>
          <w:sz w:val="19"/>
          <w:szCs w:val="19"/>
          <w:i w:val="1"/>
          <w:iCs w:val="1"/>
          <w:color w:val="auto"/>
        </w:rPr>
        <w:t>Showtime Networks</w:t>
      </w:r>
      <w:r>
        <w:rPr>
          <w:rFonts w:ascii="Arial" w:cs="Arial" w:eastAsia="Arial" w:hAnsi="Arial"/>
          <w:sz w:val="19"/>
          <w:szCs w:val="19"/>
          <w:color w:val="auto"/>
        </w:rPr>
        <w:t xml:space="preserve"> and its digital subscription streaming offering, and </w:t>
      </w:r>
      <w:r>
        <w:rPr>
          <w:rFonts w:ascii="Arial" w:cs="Arial" w:eastAsia="Arial" w:hAnsi="Arial"/>
          <w:sz w:val="19"/>
          <w:szCs w:val="19"/>
          <w:i w:val="1"/>
          <w:iCs w:val="1"/>
          <w:color w:val="auto"/>
        </w:rPr>
        <w:t xml:space="preserve">Smithsonian Networks. </w:t>
      </w:r>
      <w:r>
        <w:rPr>
          <w:rFonts w:ascii="Arial" w:cs="Arial" w:eastAsia="Arial" w:hAnsi="Arial"/>
          <w:sz w:val="19"/>
          <w:szCs w:val="19"/>
          <w:color w:val="auto"/>
        </w:rPr>
        <w:t>Cable Networks’ revenues are generated primarily from affiliate and subscription fees and the licensing and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of its content. The Cable Networks segment contributed 15%, 17%, and 15% to consolidated revenues in 2018</w:t>
      </w:r>
      <w:r>
        <w:rPr>
          <w:rFonts w:ascii="Arial" w:cs="Arial" w:eastAsia="Arial" w:hAnsi="Arial"/>
          <w:sz w:val="17"/>
          <w:szCs w:val="17"/>
          <w:color w:val="auto"/>
        </w:rPr>
        <w:t>,</w:t>
      </w:r>
      <w:r>
        <w:rPr>
          <w:rFonts w:ascii="Arial" w:cs="Arial" w:eastAsia="Arial" w:hAnsi="Arial"/>
          <w:sz w:val="19"/>
          <w:szCs w:val="19"/>
          <w:color w:val="auto"/>
        </w:rPr>
        <w:t xml:space="preserve"> 2017, and 2016, respectively, and 30%, 35%, and 33% to total segment operating income in 2018, 2017, and 2016,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ectPr>
          <w:pgSz w:w="11900" w:h="16838" w:orient="portrait"/>
          <w:cols w:equalWidth="0" w:num="1">
            <w:col w:w="11420"/>
          </w:cols>
          <w:pgMar w:left="240" w:top="57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PUBLISHING: The Publishing segment consists of Simon &amp; Schuster’s consumer book publishing business with imprints such as </w:t>
      </w:r>
      <w:r>
        <w:rPr>
          <w:rFonts w:ascii="Arial" w:cs="Arial" w:eastAsia="Arial" w:hAnsi="Arial"/>
          <w:sz w:val="18"/>
          <w:szCs w:val="18"/>
          <w:i w:val="1"/>
          <w:iCs w:val="1"/>
          <w:color w:val="auto"/>
        </w:rPr>
        <w:t>Simon &amp;</w:t>
      </w:r>
      <w:r>
        <w:rPr>
          <w:rFonts w:ascii="Arial" w:cs="Arial" w:eastAsia="Arial" w:hAnsi="Arial"/>
          <w:sz w:val="18"/>
          <w:szCs w:val="18"/>
          <w:color w:val="auto"/>
        </w:rPr>
        <w:t xml:space="preserve"> </w:t>
      </w:r>
      <w:r>
        <w:rPr>
          <w:rFonts w:ascii="Arial" w:cs="Arial" w:eastAsia="Arial" w:hAnsi="Arial"/>
          <w:sz w:val="18"/>
          <w:szCs w:val="18"/>
          <w:i w:val="1"/>
          <w:iCs w:val="1"/>
          <w:color w:val="auto"/>
        </w:rPr>
        <w:t>Schuster</w:t>
      </w:r>
      <w:r>
        <w:rPr>
          <w:rFonts w:ascii="Arial" w:cs="Arial" w:eastAsia="Arial" w:hAnsi="Arial"/>
          <w:sz w:val="18"/>
          <w:szCs w:val="18"/>
          <w:color w:val="auto"/>
        </w:rPr>
        <w:t>,</w:t>
      </w:r>
      <w:r>
        <w:rPr>
          <w:rFonts w:ascii="Arial" w:cs="Arial" w:eastAsia="Arial" w:hAnsi="Arial"/>
          <w:sz w:val="18"/>
          <w:szCs w:val="18"/>
          <w:i w:val="1"/>
          <w:iCs w:val="1"/>
          <w:color w:val="auto"/>
        </w:rPr>
        <w:t xml:space="preserve">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Atria Books. </w:t>
      </w:r>
      <w:r>
        <w:rPr>
          <w:rFonts w:ascii="Arial" w:cs="Arial" w:eastAsia="Arial" w:hAnsi="Arial"/>
          <w:sz w:val="18"/>
          <w:szCs w:val="18"/>
          <w:color w:val="auto"/>
        </w:rPr>
        <w:t>Publishing generates revenues from the distribution of consumer books in print, digital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audio formats. The Publishing segment contributed 6% to consolidated revenues in each of the years 2018, 2017, and 2016, and 5% to total segment operating income in each of the years 2018 </w:t>
      </w:r>
      <w:r>
        <w:rPr>
          <w:rFonts w:ascii="Arial" w:cs="Arial" w:eastAsia="Arial" w:hAnsi="Arial"/>
          <w:sz w:val="16"/>
          <w:szCs w:val="16"/>
          <w:color w:val="auto"/>
        </w:rPr>
        <w:t>and</w:t>
      </w:r>
      <w:r>
        <w:rPr>
          <w:rFonts w:ascii="Arial" w:cs="Arial" w:eastAsia="Arial" w:hAnsi="Arial"/>
          <w:sz w:val="18"/>
          <w:szCs w:val="18"/>
          <w:color w:val="auto"/>
        </w:rPr>
        <w:t xml:space="preserve"> 2017 and 4% to total segment operating income in 2016.</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LOCAL MEDIA: The Local Media segment consists of </w:t>
      </w:r>
      <w:r>
        <w:rPr>
          <w:rFonts w:ascii="Arial" w:cs="Arial" w:eastAsia="Arial" w:hAnsi="Arial"/>
          <w:sz w:val="18"/>
          <w:szCs w:val="18"/>
          <w:i w:val="1"/>
          <w:iCs w:val="1"/>
          <w:color w:val="auto"/>
        </w:rPr>
        <w:t>CBS Television Stations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CBS Local Digital Media,</w:t>
      </w:r>
      <w:r>
        <w:rPr>
          <w:rFonts w:ascii="Arial" w:cs="Arial" w:eastAsia="Arial" w:hAnsi="Arial"/>
          <w:sz w:val="18"/>
          <w:szCs w:val="18"/>
          <w:color w:val="auto"/>
        </w:rPr>
        <w:t xml:space="preserve"> with revenues generated primarily from advertising sales and retransmission fees. The Local Media segment contributed 13%, 12%, and 14% to consolidated revenues in 2018, 2017, and 2016, respectively, and 20%, 17%, and 21% to total segment operating income in 2018, 2017, and 2016, respectively.</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Company presents operating income (loss) excluding costs for restructuring and other corporate matters, programming charges and other operating items, net, each where applicable (“Segment Operating Income”), as the primary measure of profit and loss for its operating segments in accordance with FASB guidance for segment reporting. The Company believes the presentation of Segment Operating Income is relevant and useful for investors because it allows investors to view segment performance in a manner similar to the primary method used by the Company’s management and enhances their ability to understand the Company’s operating performance. The reconciliation of Segment Operating Income to the Company’s consolidated net earnings is presented in Note 15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 - 2018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186055</wp:posOffset>
            </wp:positionV>
            <wp:extent cx="66636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0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20" w:type="dxa"/>
            <w:vAlign w:val="bottom"/>
          </w:tcPr>
          <w:p>
            <w:pPr>
              <w:spacing w:after="0"/>
              <w:rPr>
                <w:sz w:val="20"/>
                <w:szCs w:val="20"/>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3"/>
                <w:szCs w:val="23"/>
                <w:color w:val="auto"/>
              </w:rPr>
            </w:pPr>
          </w:p>
        </w:tc>
        <w:tc>
          <w:tcPr>
            <w:tcW w:w="102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
        </w:trPr>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8"/>
                <w:szCs w:val="18"/>
                <w:color w:val="auto"/>
              </w:rPr>
              <w:t>Entertainment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10,178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9,306</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68 %</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872</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9 %</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2,204</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2,355</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(151)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Publishing</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Local Media</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1,830</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1,668</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162</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w:t>
            </w:r>
          </w:p>
        </w:tc>
      </w:tr>
      <w:tr>
        <w:trPr>
          <w:trHeight w:val="270"/>
        </w:trPr>
        <w:tc>
          <w:tcPr>
            <w:tcW w:w="2700" w:type="dxa"/>
            <w:vAlign w:val="bottom"/>
          </w:tcPr>
          <w:p>
            <w:pPr>
              <w:ind w:left="40"/>
              <w:spacing w:after="0"/>
              <w:rPr>
                <w:sz w:val="20"/>
                <w:szCs w:val="20"/>
                <w:color w:val="auto"/>
              </w:rPr>
            </w:pPr>
            <w:r>
              <w:rPr>
                <w:rFonts w:ascii="Arial" w:cs="Arial" w:eastAsia="Arial" w:hAnsi="Arial"/>
                <w:sz w:val="18"/>
                <w:szCs w:val="18"/>
                <w:color w:val="auto"/>
              </w:rPr>
              <w:t>Corporate/Eliminations</w:t>
            </w:r>
          </w:p>
        </w:tc>
        <w:tc>
          <w:tcPr>
            <w:tcW w:w="86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(523)</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(12)</w:t>
            </w:r>
          </w:p>
        </w:tc>
      </w:tr>
      <w:tr>
        <w:trPr>
          <w:trHeight w:val="27"/>
        </w:trPr>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14,514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13,692</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822</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6 %</w:t>
            </w:r>
          </w:p>
        </w:tc>
      </w:tr>
      <w:tr>
        <w:trPr>
          <w:trHeight w:val="34"/>
        </w:trPr>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94"/>
        </w:trPr>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II-25</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386080</wp:posOffset>
            </wp:positionV>
            <wp:extent cx="67405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05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 of Total</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Segment</w:t>
            </w: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Operating</w:t>
            </w: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Income</w:t>
            </w:r>
          </w:p>
        </w:tc>
        <w:tc>
          <w:tcPr>
            <w:tcW w:w="5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ind w:left="380"/>
              <w:spacing w:after="0"/>
              <w:rPr>
                <w:sz w:val="20"/>
                <w:szCs w:val="20"/>
                <w:color w:val="auto"/>
              </w:rPr>
            </w:pPr>
            <w:r>
              <w:rPr>
                <w:rFonts w:ascii="Arial" w:cs="Arial" w:eastAsia="Arial" w:hAnsi="Arial"/>
                <w:sz w:val="18"/>
                <w:szCs w:val="18"/>
                <w:b w:val="1"/>
                <w:bCs w:val="1"/>
                <w:color w:val="auto"/>
              </w:rPr>
              <w:t>%</w:t>
            </w:r>
          </w:p>
        </w:tc>
      </w:tr>
      <w:tr>
        <w:trPr>
          <w:trHeight w:val="27"/>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Entertainment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1,675</w:t>
            </w:r>
          </w:p>
        </w:tc>
        <w:tc>
          <w:tcPr>
            <w:tcW w:w="1040" w:type="dxa"/>
            <w:vAlign w:val="bottom"/>
          </w:tcPr>
          <w:p>
            <w:pPr>
              <w:jc w:val="right"/>
              <w:spacing w:after="0"/>
              <w:rPr>
                <w:sz w:val="20"/>
                <w:szCs w:val="20"/>
                <w:color w:val="auto"/>
              </w:rPr>
            </w:pPr>
            <w:r>
              <w:rPr>
                <w:rFonts w:ascii="Arial" w:cs="Arial" w:eastAsia="Arial" w:hAnsi="Arial"/>
                <w:sz w:val="18"/>
                <w:szCs w:val="18"/>
                <w:color w:val="auto"/>
              </w:rPr>
              <w:t>55 %</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54 %</w:t>
            </w:r>
          </w:p>
        </w:tc>
        <w:tc>
          <w:tcPr>
            <w:tcW w:w="2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97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3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915</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3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Local Media</w:t>
            </w:r>
          </w:p>
        </w:tc>
        <w:tc>
          <w:tcPr>
            <w:tcW w:w="3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609</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112</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3"/>
                <w:szCs w:val="23"/>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7"/>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b w:val="1"/>
                <w:bCs w:val="1"/>
                <w:color w:val="auto"/>
              </w:rPr>
              <w:t>Total Segment Operating Income</w:t>
            </w:r>
          </w:p>
        </w:tc>
        <w:tc>
          <w:tcPr>
            <w:tcW w:w="3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3,048</w:t>
            </w: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2,905</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143</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000" w:type="dxa"/>
            <w:vAlign w:val="bottom"/>
          </w:tcPr>
          <w:p>
            <w:pPr>
              <w:ind w:left="380"/>
              <w:spacing w:after="0"/>
              <w:rPr>
                <w:sz w:val="20"/>
                <w:szCs w:val="20"/>
                <w:color w:val="auto"/>
              </w:rPr>
            </w:pPr>
            <w:r>
              <w:rPr>
                <w:rFonts w:ascii="Arial" w:cs="Arial" w:eastAsia="Arial" w:hAnsi="Arial"/>
                <w:sz w:val="18"/>
                <w:szCs w:val="18"/>
                <w:color w:val="auto"/>
              </w:rPr>
              <w:t>n/m</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Corporate matters</w:t>
            </w:r>
          </w:p>
        </w:tc>
        <w:tc>
          <w:tcPr>
            <w:tcW w:w="3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(128)</w:t>
            </w:r>
          </w:p>
        </w:tc>
        <w:tc>
          <w:tcPr>
            <w:tcW w:w="1000" w:type="dxa"/>
            <w:vAlign w:val="bottom"/>
          </w:tcPr>
          <w:p>
            <w:pPr>
              <w:ind w:left="380"/>
              <w:spacing w:after="0"/>
              <w:rPr>
                <w:sz w:val="20"/>
                <w:szCs w:val="20"/>
                <w:color w:val="auto"/>
              </w:rPr>
            </w:pPr>
            <w:r>
              <w:rPr>
                <w:rFonts w:ascii="Arial" w:cs="Arial" w:eastAsia="Arial" w:hAnsi="Arial"/>
                <w:sz w:val="18"/>
                <w:szCs w:val="18"/>
                <w:color w:val="auto"/>
              </w:rPr>
              <w:t>n/m</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3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1000" w:type="dxa"/>
            <w:vAlign w:val="bottom"/>
          </w:tcPr>
          <w:p>
            <w:pPr>
              <w:ind w:left="380"/>
              <w:spacing w:after="0"/>
              <w:rPr>
                <w:sz w:val="20"/>
                <w:szCs w:val="20"/>
                <w:color w:val="auto"/>
              </w:rPr>
            </w:pPr>
            <w:r>
              <w:rPr>
                <w:rFonts w:ascii="Arial" w:cs="Arial" w:eastAsia="Arial" w:hAnsi="Arial"/>
                <w:sz w:val="18"/>
                <w:szCs w:val="18"/>
                <w:color w:val="auto"/>
              </w:rPr>
              <w:t>n/m</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Other operating items, net</w:t>
            </w:r>
          </w:p>
        </w:tc>
        <w:tc>
          <w:tcPr>
            <w:tcW w:w="3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000" w:type="dxa"/>
            <w:vAlign w:val="bottom"/>
          </w:tcPr>
          <w:p>
            <w:pPr>
              <w:ind w:left="380"/>
              <w:spacing w:after="0"/>
              <w:rPr>
                <w:sz w:val="20"/>
                <w:szCs w:val="20"/>
                <w:color w:val="auto"/>
              </w:rPr>
            </w:pPr>
            <w:r>
              <w:rPr>
                <w:rFonts w:ascii="Arial" w:cs="Arial" w:eastAsia="Arial" w:hAnsi="Arial"/>
                <w:sz w:val="18"/>
                <w:szCs w:val="18"/>
                <w:color w:val="auto"/>
              </w:rPr>
              <w:t>n/m</w:t>
            </w:r>
          </w:p>
        </w:tc>
      </w:tr>
      <w:tr>
        <w:trPr>
          <w:trHeight w:val="27"/>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b w:val="1"/>
                <w:bCs w:val="1"/>
                <w:color w:val="auto"/>
              </w:rPr>
              <w:t>Total Operating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2,768</w:t>
            </w:r>
          </w:p>
        </w:tc>
        <w:tc>
          <w:tcPr>
            <w:tcW w:w="104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34"/>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6"/>
        </w:trPr>
        <w:tc>
          <w:tcPr>
            <w:tcW w:w="3260" w:type="dxa"/>
            <w:vAlign w:val="bottom"/>
          </w:tcPr>
          <w:p>
            <w:pPr>
              <w:spacing w:after="0"/>
              <w:rPr>
                <w:sz w:val="20"/>
                <w:szCs w:val="20"/>
                <w:color w:val="auto"/>
              </w:rPr>
            </w:pPr>
            <w:r>
              <w:rPr>
                <w:rFonts w:ascii="Arial" w:cs="Arial" w:eastAsia="Arial" w:hAnsi="Arial"/>
                <w:sz w:val="16"/>
                <w:szCs w:val="16"/>
                <w:color w:val="auto"/>
              </w:rPr>
              <w:t>n/m - not meaningful</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25"/>
        </w:trPr>
        <w:tc>
          <w:tcPr>
            <w:tcW w:w="3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2"/>
          </w:tcPr>
          <w:p>
            <w:pPr>
              <w:spacing w:after="0"/>
              <w:rPr>
                <w:sz w:val="10"/>
                <w:szCs w:val="10"/>
                <w:color w:val="auto"/>
              </w:rPr>
            </w:pPr>
          </w:p>
        </w:tc>
      </w:tr>
      <w:tr>
        <w:trPr>
          <w:trHeight w:val="243"/>
        </w:trPr>
        <w:tc>
          <w:tcPr>
            <w:tcW w:w="3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0"/>
              </w:rPr>
              <w:t>Increase/(Decrease)</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Entertainment</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6 %</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Local Media</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70"/>
        </w:trPr>
        <w:tc>
          <w:tcPr>
            <w:tcW w:w="326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7"/>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60"/>
              <w:spacing w:after="0"/>
              <w:rPr>
                <w:sz w:val="20"/>
                <w:szCs w:val="20"/>
                <w:color w:val="auto"/>
              </w:rPr>
            </w:pPr>
            <w:r>
              <w:rPr>
                <w:rFonts w:ascii="Arial" w:cs="Arial" w:eastAsia="Arial" w:hAnsi="Arial"/>
                <w:sz w:val="18"/>
                <w:szCs w:val="18"/>
                <w:b w:val="1"/>
                <w:bCs w:val="1"/>
                <w:color w:val="auto"/>
                <w:w w:val="96"/>
              </w:rPr>
              <w:t>Total Depreciation and Amortization</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223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 %</w:t>
            </w:r>
          </w:p>
        </w:tc>
      </w:tr>
      <w:tr>
        <w:trPr>
          <w:trHeight w:val="34"/>
        </w:trPr>
        <w:tc>
          <w:tcPr>
            <w:tcW w:w="3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Entertainment </w:t>
      </w:r>
      <w:r>
        <w:rPr>
          <w:rFonts w:ascii="Arial" w:cs="Arial" w:eastAsia="Arial" w:hAnsi="Arial"/>
          <w:sz w:val="20"/>
          <w:szCs w:val="20"/>
          <w:i w:val="1"/>
          <w:iCs w:val="1"/>
          <w:color w:val="auto"/>
        </w:rPr>
        <w:t>(CBS Television Network, CBS Television Studios, CBS Global Distribution Group, Network 10, CBS Interactive, CBS Sports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Network, and CBS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66675</wp:posOffset>
            </wp:positionV>
            <wp:extent cx="6612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23"/>
                <w:szCs w:val="23"/>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10,178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9,306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872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1,675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1,578</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97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118</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 xml:space="preserve">For 2018, the 9% increase in revenues mainly reflected 29% growth in affiliate and subscription fee revenues, primarily as a result of higher station affiliation fees and growth from the Company’s direct-to-consumer streaming service,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Also contributing to the increase was 7% growth in advertising revenues driven by the acquisition of Network 10 in the fourth quarter of 2017, partially offset by the absence of </w:t>
      </w:r>
      <w:r>
        <w:rPr>
          <w:rFonts w:ascii="Arial" w:cs="Arial" w:eastAsia="Arial" w:hAnsi="Arial"/>
          <w:sz w:val="19"/>
          <w:szCs w:val="19"/>
          <w:i w:val="1"/>
          <w:iCs w:val="1"/>
          <w:color w:val="auto"/>
        </w:rPr>
        <w:t>Thursday Night Football</w:t>
      </w:r>
      <w:r>
        <w:rPr>
          <w:rFonts w:ascii="Arial" w:cs="Arial" w:eastAsia="Arial" w:hAnsi="Arial"/>
          <w:sz w:val="19"/>
          <w:szCs w:val="19"/>
          <w:color w:val="auto"/>
        </w:rPr>
        <w:t xml:space="preserve"> and the National Semifinals and National Championship games of the NCAA Tournament, which were broadcast on the CBS Television Network in 2017. Underlying CBS Television Network advertising revenues for 2018 were comparable with the prior year. Entertainment revenues also benefited from the adoption of a new revenue recognition standard in 2018, which resulted in higher revenues from distribution arrangements, with an offsetting increase to operating expenses. (See Note 16 to the consolidated financial statements.) Content licensing and distribution revenues increased 3%, primarily reflecting this new standard and higher international licensing, partially offset by lower</w:t>
      </w:r>
    </w:p>
    <w:p>
      <w:pPr>
        <w:sectPr>
          <w:pgSz w:w="11900" w:h="16838" w:orient="portrait"/>
          <w:cols w:equalWidth="0" w:num="1">
            <w:col w:w="11420"/>
          </w:cols>
          <w:pgMar w:left="240" w:top="576" w:right="239" w:bottom="1056"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II-26</w:t>
      </w:r>
    </w:p>
    <w:p>
      <w:pPr>
        <w:sectPr>
          <w:pgSz w:w="11900" w:h="16838" w:orient="portrait"/>
          <w:cols w:equalWidth="0" w:num="1">
            <w:col w:w="11420"/>
          </w:cols>
          <w:pgMar w:left="240" w:top="576" w:right="239" w:bottom="1056"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domestic licensing, mainly as a result of several large sales in 2017 including </w:t>
      </w:r>
      <w:r>
        <w:rPr>
          <w:rFonts w:ascii="Arial" w:cs="Arial" w:eastAsia="Arial" w:hAnsi="Arial"/>
          <w:sz w:val="20"/>
          <w:szCs w:val="20"/>
          <w:i w:val="1"/>
          <w:iCs w:val="1"/>
          <w:color w:val="auto"/>
        </w:rPr>
        <w:t>NCIS: New Orleans</w:t>
      </w:r>
      <w:r>
        <w:rPr>
          <w:rFonts w:ascii="Arial" w:cs="Arial" w:eastAsia="Arial" w:hAnsi="Arial"/>
          <w:sz w:val="20"/>
          <w:szCs w:val="20"/>
          <w:color w:val="auto"/>
        </w:rPr>
        <w:t xml:space="preserve">, </w:t>
      </w:r>
      <w:r>
        <w:rPr>
          <w:rFonts w:ascii="Arial" w:cs="Arial" w:eastAsia="Arial" w:hAnsi="Arial"/>
          <w:sz w:val="20"/>
          <w:szCs w:val="20"/>
          <w:i w:val="1"/>
          <w:iCs w:val="1"/>
          <w:color w:val="auto"/>
        </w:rPr>
        <w:t>Madam Secretary</w:t>
      </w:r>
      <w:r>
        <w:rPr>
          <w:rFonts w:ascii="Arial" w:cs="Arial" w:eastAsia="Arial" w:hAnsi="Arial"/>
          <w:sz w:val="20"/>
          <w:szCs w:val="20"/>
          <w:color w:val="auto"/>
        </w:rPr>
        <w:t xml:space="preserve"> and titles from the </w:t>
      </w:r>
      <w:r>
        <w:rPr>
          <w:rFonts w:ascii="Arial" w:cs="Arial" w:eastAsia="Arial" w:hAnsi="Arial"/>
          <w:sz w:val="20"/>
          <w:szCs w:val="20"/>
          <w:i w:val="1"/>
          <w:iCs w:val="1"/>
          <w:color w:val="auto"/>
        </w:rPr>
        <w:t>CSI</w:t>
      </w:r>
      <w:r>
        <w:rPr>
          <w:rFonts w:ascii="Arial" w:cs="Arial" w:eastAsia="Arial" w:hAnsi="Arial"/>
          <w:sz w:val="20"/>
          <w:szCs w:val="20"/>
          <w:color w:val="auto"/>
        </w:rPr>
        <w:t xml:space="preserve"> franchise.</w:t>
      </w:r>
    </w:p>
    <w:p>
      <w:pPr>
        <w:spacing w:after="0" w:line="1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 xml:space="preserve">Operating income increased 6% as a result of higher revenues and lower programming costs associated with the absence of CBS’s broadcast of </w:t>
      </w:r>
      <w:r>
        <w:rPr>
          <w:rFonts w:ascii="Arial" w:cs="Arial" w:eastAsia="Arial" w:hAnsi="Arial"/>
          <w:sz w:val="18"/>
          <w:szCs w:val="18"/>
          <w:i w:val="1"/>
          <w:iCs w:val="1"/>
          <w:color w:val="auto"/>
        </w:rPr>
        <w:t>Thursday Night Football</w:t>
      </w:r>
      <w:r>
        <w:rPr>
          <w:rFonts w:ascii="Arial" w:cs="Arial" w:eastAsia="Arial" w:hAnsi="Arial"/>
          <w:sz w:val="18"/>
          <w:szCs w:val="18"/>
          <w:color w:val="auto"/>
        </w:rPr>
        <w:t>, partially offset by an increased investment in content and digital initiatives. For 2018 and 2017, restructuring charges primarily reflected severance costs and costs associated with exiting contractual obligations and other related costs.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 xml:space="preserve">Results in 2019 will benefit from the CBS Television Network’s broadcast of the Super Bowl, which airs on the CBS Television Network on a rotating basis with other networks through 2022 under the current contract, and the broadcast of the National Semifinals and National Championship games of the NCAA Tournament, which are broadcast on the CBS Television Network every other year through 2032 under the current agreement with the NCAA and Turner. Results are also expected to benefit from continued growth in affiliate and subscription fee revenues, driven by the renewal of several of the Company’s agreements with MVPDs and its television station affiliates, as well as annual contractual increases on multiyear agreements. Revenue comparisons will also be affected by fluctuations resulting from the timing of multiyear licensing agreements for television series. Television license fee revenues are recognized at the beginning of the license period in which programs are made available to the licensee for exhibition. In addition, the Company plans to increase its investment in content in 2019, including increasing the number of series on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in order to drive long-term subscriber growth. This will increase costs for the Entertainment segment in 2019 compared with 2018.</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Cable Networks </w:t>
      </w:r>
      <w:r>
        <w:rPr>
          <w:rFonts w:ascii="Arial" w:cs="Arial" w:eastAsia="Arial" w:hAnsi="Arial"/>
          <w:sz w:val="20"/>
          <w:szCs w:val="20"/>
          <w:i w:val="1"/>
          <w:iCs w:val="1"/>
          <w:color w:val="auto"/>
        </w:rPr>
        <w:t>(Showtime Networks and Smithsonian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2,204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2,355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(151)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915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999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25 %</w:t>
            </w:r>
          </w:p>
        </w:tc>
      </w:tr>
      <w:tr>
        <w:trPr>
          <w:trHeight w:val="34"/>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For 2018, the 6% decrease in revenues was driven by Showtime Networks’ distribution of the Floyd Mayweather/Conor McGregor pay-per-view boxing event in 2017, which impacted the comparison by 12 percentage points. Underlying results reflected growth from the </w:t>
      </w:r>
      <w:r>
        <w:rPr>
          <w:rFonts w:ascii="Arial" w:cs="Arial" w:eastAsia="Arial" w:hAnsi="Arial"/>
          <w:sz w:val="20"/>
          <w:szCs w:val="20"/>
          <w:i w:val="1"/>
          <w:iCs w:val="1"/>
          <w:color w:val="auto"/>
        </w:rPr>
        <w:t xml:space="preserve">Showtime </w:t>
      </w:r>
      <w:r>
        <w:rPr>
          <w:rFonts w:ascii="Arial" w:cs="Arial" w:eastAsia="Arial" w:hAnsi="Arial"/>
          <w:sz w:val="20"/>
          <w:szCs w:val="20"/>
          <w:color w:val="auto"/>
        </w:rPr>
        <w:t>direct-to-consumer digital streaming subscription offering and higher licensing sales of</w:t>
      </w:r>
      <w:r>
        <w:rPr>
          <w:rFonts w:ascii="Arial" w:cs="Arial" w:eastAsia="Arial" w:hAnsi="Arial"/>
          <w:sz w:val="20"/>
          <w:szCs w:val="20"/>
          <w:i w:val="1"/>
          <w:iCs w:val="1"/>
          <w:color w:val="auto"/>
        </w:rPr>
        <w:t xml:space="preserve"> Showtime </w:t>
      </w:r>
      <w:r>
        <w:rPr>
          <w:rFonts w:ascii="Arial" w:cs="Arial" w:eastAsia="Arial" w:hAnsi="Arial"/>
          <w:sz w:val="20"/>
          <w:szCs w:val="20"/>
          <w:color w:val="auto"/>
        </w:rPr>
        <w:t>original series. As of December 31,</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2018, subscriptions totaled approximately 27 million for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including its direct-to-consumer digital streaming subscription offering, and 32 million for Smithsonian Networks.</w:t>
      </w:r>
    </w:p>
    <w:p>
      <w:pPr>
        <w:spacing w:after="0" w:line="20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 xml:space="preserve">Operating income decreased 8% driven by an increased investment in programming, partially offset by growth from the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direct-to-consumer digital streaming subscription offering.</w:t>
      </w:r>
    </w:p>
    <w:p>
      <w:pPr>
        <w:spacing w:after="0" w:line="1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Revenue comparisons in 2019 will be affected by fluctuations resulting from the timing of availability of television series for multiyear licensing agreements. In addition, the Company plans to increase its investment in content in 2019 in order to drive long-term subscriber growth on its direct-to-consumer digital streaming services. This will increase costs for the Cable Networks segment in 2019 compared to 2018.</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ectPr>
          <w:pgSz w:w="11900" w:h="16838" w:orient="portrait"/>
          <w:cols w:equalWidth="0" w:num="1">
            <w:col w:w="11420"/>
          </w:cols>
          <w:pgMar w:left="240" w:top="576"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Publishing </w:t>
      </w:r>
      <w:r>
        <w:rPr>
          <w:rFonts w:ascii="Arial" w:cs="Arial" w:eastAsia="Arial" w:hAnsi="Arial"/>
          <w:sz w:val="20"/>
          <w:szCs w:val="20"/>
          <w:color w:val="auto"/>
        </w:rPr>
        <w:t>(</w:t>
      </w:r>
      <w:r>
        <w:rPr>
          <w:rFonts w:ascii="Arial" w:cs="Arial" w:eastAsia="Arial" w:hAnsi="Arial"/>
          <w:sz w:val="20"/>
          <w:szCs w:val="20"/>
          <w:i w:val="1"/>
          <w:iCs w:val="1"/>
          <w:color w:val="auto"/>
        </w:rPr>
        <w:t>Simon &amp; Schuster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825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830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144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136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 xml:space="preserve">For 2018, the 1% decrease in revenues primarily reflects lower sales of print and electronic books, partially offset by 20% growth in digital audio sales. Bestselling titles for 2018 included </w:t>
      </w:r>
      <w:r>
        <w:rPr>
          <w:rFonts w:ascii="Arial" w:cs="Arial" w:eastAsia="Arial" w:hAnsi="Arial"/>
          <w:sz w:val="20"/>
          <w:szCs w:val="20"/>
          <w:i w:val="1"/>
          <w:iCs w:val="1"/>
          <w:color w:val="auto"/>
        </w:rPr>
        <w:t>Fear: Trump in the White House</w:t>
      </w:r>
      <w:r>
        <w:rPr>
          <w:rFonts w:ascii="Arial" w:cs="Arial" w:eastAsia="Arial" w:hAnsi="Arial"/>
          <w:sz w:val="20"/>
          <w:szCs w:val="20"/>
          <w:color w:val="auto"/>
        </w:rPr>
        <w:t xml:space="preserve"> by Bob Woodward, </w:t>
      </w:r>
      <w:r>
        <w:rPr>
          <w:rFonts w:ascii="Arial" w:cs="Arial" w:eastAsia="Arial" w:hAnsi="Arial"/>
          <w:sz w:val="20"/>
          <w:szCs w:val="20"/>
          <w:i w:val="1"/>
          <w:iCs w:val="1"/>
          <w:color w:val="auto"/>
        </w:rPr>
        <w:t>The Outsider</w:t>
      </w:r>
      <w:r>
        <w:rPr>
          <w:rFonts w:ascii="Arial" w:cs="Arial" w:eastAsia="Arial" w:hAnsi="Arial"/>
          <w:sz w:val="20"/>
          <w:szCs w:val="20"/>
          <w:color w:val="auto"/>
        </w:rPr>
        <w:t xml:space="preserve"> by Stephen King and </w:t>
      </w:r>
      <w:r>
        <w:rPr>
          <w:rFonts w:ascii="Arial" w:cs="Arial" w:eastAsia="Arial" w:hAnsi="Arial"/>
          <w:sz w:val="20"/>
          <w:szCs w:val="20"/>
          <w:i w:val="1"/>
          <w:iCs w:val="1"/>
          <w:color w:val="auto"/>
        </w:rPr>
        <w:t xml:space="preserve">Whiskey in a Teacup </w:t>
      </w:r>
      <w:r>
        <w:rPr>
          <w:rFonts w:ascii="Arial" w:cs="Arial" w:eastAsia="Arial" w:hAnsi="Arial"/>
          <w:sz w:val="20"/>
          <w:szCs w:val="20"/>
          <w:color w:val="auto"/>
        </w:rPr>
        <w:t>by Reese Witherspoon.</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6% increase in operating income mainly reflects lower production costs. For 2018 and 2017, restructuring charges primarily reflected severance costs.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Local Media </w:t>
      </w:r>
      <w:r>
        <w:rPr>
          <w:rFonts w:ascii="Arial" w:cs="Arial" w:eastAsia="Arial" w:hAnsi="Arial"/>
          <w:sz w:val="20"/>
          <w:szCs w:val="20"/>
          <w:color w:val="auto"/>
        </w:rPr>
        <w:t>(</w:t>
      </w:r>
      <w:r>
        <w:rPr>
          <w:rFonts w:ascii="Arial" w:cs="Arial" w:eastAsia="Arial" w:hAnsi="Arial"/>
          <w:sz w:val="20"/>
          <w:szCs w:val="20"/>
          <w:i w:val="1"/>
          <w:iCs w:val="1"/>
          <w:color w:val="auto"/>
        </w:rPr>
        <w:t>CBS Television Stations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CBS Local Digital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1,830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1,668</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162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609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497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2018, the 10% increase in revenues reflected higher advertising revenues, driven by record political advertising sales associated with the 2018 midterm elections, and 13% growth in retransmission and subscription fees.</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increase in operating income of 23% primarily reflected the higher revenues. For 2018, restructuring charges reflected severance costs, primarily associated with centralizing certain functions across markets, and costs associated with exiting contractual obligations and other related costs. For 2017, restructuring charges reflected severance costs and costs associated with exiting contractual obligations and other related costs.</w:t>
      </w:r>
    </w:p>
    <w:p>
      <w:pPr>
        <w:spacing w:after="0" w:line="20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In 2019, revenues will benefit from CBS’s broadcast of </w:t>
      </w:r>
      <w:r>
        <w:rPr>
          <w:rFonts w:ascii="Arial" w:cs="Arial" w:eastAsia="Arial" w:hAnsi="Arial"/>
          <w:sz w:val="20"/>
          <w:szCs w:val="20"/>
          <w:i w:val="1"/>
          <w:iCs w:val="1"/>
          <w:color w:val="auto"/>
        </w:rPr>
        <w:t>Super Bowl LIII</w:t>
      </w:r>
      <w:r>
        <w:rPr>
          <w:rFonts w:ascii="Arial" w:cs="Arial" w:eastAsia="Arial" w:hAnsi="Arial"/>
          <w:sz w:val="20"/>
          <w:szCs w:val="20"/>
          <w:color w:val="auto"/>
        </w:rPr>
        <w:t xml:space="preserve"> and continued growth in retransmission revenues, driven by the renewal of several of the Company’s agreements with MVPDs and annual contractual increases on multiyear agreements with MVPDs. However, the revenue comparison will be negatively affected by the benefit in 2018 from record political advertising sales associated with the 2018 midterm elections.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420"/>
          </w:cols>
          <w:pgMar w:left="240" w:top="576"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Segment Operating Loss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(295)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Corporate expenses include general corporate overhead, unallocated shared company expenses, and intercompany eliminations. For 2018, corporate expenses decreased 3%, primarily reflecting lower compensation costs resulting from changes in senior management. Restructuring charges in 2018 and 2017 primarily reflected severance and other related costs.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 - 2017 vs.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100330</wp:posOffset>
            </wp:positionV>
            <wp:extent cx="67233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 of Total</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48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Increase/(Decrease)</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540" w:type="dxa"/>
            <w:vAlign w:val="bottom"/>
          </w:tcPr>
          <w:p>
            <w:pPr>
              <w:spacing w:after="0"/>
              <w:rPr>
                <w:sz w:val="23"/>
                <w:szCs w:val="23"/>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480" w:type="dxa"/>
            <w:vAlign w:val="bottom"/>
          </w:tcPr>
          <w:p>
            <w:pPr>
              <w:spacing w:after="0"/>
              <w:rPr>
                <w:sz w:val="23"/>
                <w:szCs w:val="23"/>
                <w:color w:val="auto"/>
              </w:rPr>
            </w:pPr>
          </w:p>
        </w:tc>
        <w:tc>
          <w:tcPr>
            <w:tcW w:w="104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9,306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9,020</w:t>
            </w:r>
          </w:p>
        </w:tc>
        <w:tc>
          <w:tcPr>
            <w:tcW w:w="2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68 %</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286</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2,355</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340</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63</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8</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Local Media</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1,668</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Corporate/Eliminations</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3"/>
                <w:szCs w:val="23"/>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(52)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13,692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13,166</w:t>
            </w:r>
          </w:p>
        </w:tc>
        <w:tc>
          <w:tcPr>
            <w:tcW w:w="2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100 %</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526</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4 %</w:t>
            </w:r>
          </w:p>
        </w:tc>
      </w:tr>
      <w:tr>
        <w:trPr>
          <w:trHeight w:val="34"/>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3"/>
        </w:trPr>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 of Total</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Segment</w:t>
            </w: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480" w:type="dxa"/>
            <w:vAlign w:val="bottom"/>
          </w:tcPr>
          <w:p>
            <w:pPr>
              <w:spacing w:after="0"/>
              <w:rPr>
                <w:sz w:val="23"/>
                <w:szCs w:val="23"/>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Increase/(Decrease)</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540" w:type="dxa"/>
            <w:vAlign w:val="bottom"/>
          </w:tcPr>
          <w:p>
            <w:pPr>
              <w:spacing w:after="0"/>
              <w:rPr>
                <w:sz w:val="23"/>
                <w:szCs w:val="23"/>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Income</w:t>
            </w:r>
          </w:p>
        </w:tc>
        <w:tc>
          <w:tcPr>
            <w:tcW w:w="480" w:type="dxa"/>
            <w:vAlign w:val="bottom"/>
          </w:tcPr>
          <w:p>
            <w:pPr>
              <w:spacing w:after="0"/>
              <w:rPr>
                <w:sz w:val="23"/>
                <w:szCs w:val="23"/>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32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1,578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53 %</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70"/>
        </w:trPr>
        <w:tc>
          <w:tcPr>
            <w:tcW w:w="32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999</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w:t>
            </w:r>
          </w:p>
        </w:tc>
      </w:tr>
      <w:tr>
        <w:trPr>
          <w:trHeight w:val="270"/>
        </w:trPr>
        <w:tc>
          <w:tcPr>
            <w:tcW w:w="322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w:t>
            </w:r>
          </w:p>
        </w:tc>
      </w:tr>
      <w:tr>
        <w:trPr>
          <w:trHeight w:val="270"/>
        </w:trPr>
        <w:tc>
          <w:tcPr>
            <w:tcW w:w="322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497</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(125)</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(20)</w:t>
            </w:r>
          </w:p>
        </w:tc>
      </w:tr>
      <w:tr>
        <w:trPr>
          <w:trHeight w:val="270"/>
        </w:trPr>
        <w:tc>
          <w:tcPr>
            <w:tcW w:w="32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80"/>
              <w:spacing w:after="0"/>
              <w:rPr>
                <w:sz w:val="20"/>
                <w:szCs w:val="20"/>
                <w:color w:val="auto"/>
              </w:rPr>
            </w:pPr>
            <w:r>
              <w:rPr>
                <w:rFonts w:ascii="Arial" w:cs="Arial" w:eastAsia="Arial" w:hAnsi="Arial"/>
                <w:sz w:val="18"/>
                <w:szCs w:val="18"/>
                <w:b w:val="1"/>
                <w:bCs w:val="1"/>
                <w:color w:val="auto"/>
              </w:rPr>
              <w:t>Total Segment Operating Income</w:t>
            </w:r>
          </w:p>
        </w:tc>
        <w:tc>
          <w:tcPr>
            <w:tcW w:w="2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2,905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5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100 %</w:t>
            </w:r>
          </w:p>
        </w:tc>
        <w:tc>
          <w:tcPr>
            <w:tcW w:w="4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Corporate matters</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Other operating items, net</w:t>
            </w:r>
          </w:p>
        </w:tc>
        <w:tc>
          <w:tcPr>
            <w:tcW w:w="2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80"/>
              <w:spacing w:after="0"/>
              <w:rPr>
                <w:sz w:val="20"/>
                <w:szCs w:val="20"/>
                <w:color w:val="auto"/>
              </w:rPr>
            </w:pPr>
            <w:r>
              <w:rPr>
                <w:rFonts w:ascii="Arial" w:cs="Arial" w:eastAsia="Arial" w:hAnsi="Arial"/>
                <w:sz w:val="18"/>
                <w:szCs w:val="18"/>
                <w:b w:val="1"/>
                <w:bCs w:val="1"/>
                <w:color w:val="auto"/>
              </w:rPr>
              <w:t>Total Operating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2,861</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34"/>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n/m - not meaningful</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35"/>
        </w:trPr>
        <w:tc>
          <w:tcPr>
            <w:tcW w:w="3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2"/>
          </w:tcPr>
          <w:p>
            <w:pPr>
              <w:spacing w:after="0"/>
              <w:rPr>
                <w:sz w:val="11"/>
                <w:szCs w:val="11"/>
                <w:color w:val="auto"/>
              </w:rPr>
            </w:pPr>
          </w:p>
        </w:tc>
      </w:tr>
      <w:tr>
        <w:trPr>
          <w:trHeight w:val="243"/>
        </w:trPr>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1"/>
              </w:rPr>
              <w:t>Increase/(Decrease)</w:t>
            </w: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3"/>
                <w:szCs w:val="23"/>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3"/>
                <w:szCs w:val="23"/>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3220" w:type="dxa"/>
            <w:vAlign w:val="bottom"/>
          </w:tcPr>
          <w:p>
            <w:pPr>
              <w:ind w:left="140"/>
              <w:spacing w:after="0"/>
              <w:rPr>
                <w:sz w:val="20"/>
                <w:szCs w:val="20"/>
                <w:color w:val="auto"/>
              </w:rPr>
            </w:pPr>
            <w:r>
              <w:rPr>
                <w:rFonts w:ascii="Arial" w:cs="Arial" w:eastAsia="Arial" w:hAnsi="Arial"/>
                <w:sz w:val="18"/>
                <w:szCs w:val="18"/>
                <w:color w:val="auto"/>
              </w:rPr>
              <w:t>Entertainment</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120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0"/>
        </w:trPr>
        <w:tc>
          <w:tcPr>
            <w:tcW w:w="322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322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3220" w:type="dxa"/>
            <w:vAlign w:val="bottom"/>
          </w:tcPr>
          <w:p>
            <w:pPr>
              <w:ind w:left="140"/>
              <w:spacing w:after="0"/>
              <w:rPr>
                <w:sz w:val="20"/>
                <w:szCs w:val="20"/>
                <w:color w:val="auto"/>
              </w:rPr>
            </w:pPr>
            <w:r>
              <w:rPr>
                <w:rFonts w:ascii="Arial" w:cs="Arial" w:eastAsia="Arial" w:hAnsi="Arial"/>
                <w:sz w:val="18"/>
                <w:szCs w:val="18"/>
                <w:color w:val="auto"/>
              </w:rPr>
              <w:t>Local Media</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0"/>
        </w:trPr>
        <w:tc>
          <w:tcPr>
            <w:tcW w:w="322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260"/>
              <w:spacing w:after="0"/>
              <w:rPr>
                <w:sz w:val="20"/>
                <w:szCs w:val="20"/>
                <w:color w:val="auto"/>
              </w:rPr>
            </w:pPr>
            <w:r>
              <w:rPr>
                <w:rFonts w:ascii="Arial" w:cs="Arial" w:eastAsia="Arial" w:hAnsi="Arial"/>
                <w:sz w:val="18"/>
                <w:szCs w:val="18"/>
                <w:b w:val="1"/>
                <w:bCs w:val="1"/>
                <w:color w:val="auto"/>
                <w:w w:val="95"/>
              </w:rPr>
              <w:t>Total Depreciation and Amortization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225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4"/>
        </w:trPr>
        <w:tc>
          <w:tcPr>
            <w:tcW w:w="3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611"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II-29</w:t>
      </w:r>
    </w:p>
    <w:p>
      <w:pPr>
        <w:sectPr>
          <w:pgSz w:w="11900" w:h="16838" w:orient="portrait"/>
          <w:cols w:equalWidth="0" w:num="1">
            <w:col w:w="11420"/>
          </w:cols>
          <w:pgMar w:left="240" w:top="576" w:right="239" w:bottom="611"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Entertainment </w:t>
      </w:r>
      <w:r>
        <w:rPr>
          <w:rFonts w:ascii="Arial" w:cs="Arial" w:eastAsia="Arial" w:hAnsi="Arial"/>
          <w:sz w:val="20"/>
          <w:szCs w:val="20"/>
          <w:i w:val="1"/>
          <w:iCs w:val="1"/>
          <w:color w:val="auto"/>
        </w:rPr>
        <w:t>(CBS Television Network, CBS Television Studios, CBS Global Distribution Group, Network 10, CBS Interactive, CBS Sports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Network, and CBS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66675</wp:posOffset>
            </wp:positionV>
            <wp:extent cx="6612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9,306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9,020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1,578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1,539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 xml:space="preserve">For 2017, the 3% increase in revenues was led by growth in affiliate and subscription fees and content licensing and distribution revenues. Affiliate and subscription fees grew 32% as a result of higher station affiliation fees and growth from </w:t>
      </w:r>
      <w:r>
        <w:rPr>
          <w:rFonts w:ascii="Arial" w:cs="Arial" w:eastAsia="Arial" w:hAnsi="Arial"/>
          <w:sz w:val="19"/>
          <w:szCs w:val="19"/>
          <w:i w:val="1"/>
          <w:iCs w:val="1"/>
          <w:color w:val="auto"/>
        </w:rPr>
        <w:t>CBS All Access</w:t>
      </w:r>
      <w:r>
        <w:rPr>
          <w:rFonts w:ascii="Arial" w:cs="Arial" w:eastAsia="Arial" w:hAnsi="Arial"/>
          <w:sz w:val="19"/>
          <w:szCs w:val="19"/>
          <w:color w:val="auto"/>
        </w:rPr>
        <w:t xml:space="preserve">. Content licensing and distribution revenues increased 10%, driven by the domestic licensing sales of </w:t>
      </w:r>
      <w:r>
        <w:rPr>
          <w:rFonts w:ascii="Arial" w:cs="Arial" w:eastAsia="Arial" w:hAnsi="Arial"/>
          <w:sz w:val="19"/>
          <w:szCs w:val="19"/>
          <w:i w:val="1"/>
          <w:iCs w:val="1"/>
          <w:color w:val="auto"/>
        </w:rPr>
        <w:t>NCIS: New Orleans</w:t>
      </w:r>
      <w:r>
        <w:rPr>
          <w:rFonts w:ascii="Arial" w:cs="Arial" w:eastAsia="Arial" w:hAnsi="Arial"/>
          <w:sz w:val="19"/>
          <w:szCs w:val="19"/>
          <w:color w:val="auto"/>
        </w:rPr>
        <w:t xml:space="preserve">, </w:t>
      </w:r>
      <w:r>
        <w:rPr>
          <w:rFonts w:ascii="Arial" w:cs="Arial" w:eastAsia="Arial" w:hAnsi="Arial"/>
          <w:sz w:val="19"/>
          <w:szCs w:val="19"/>
          <w:i w:val="1"/>
          <w:iCs w:val="1"/>
          <w:color w:val="auto"/>
        </w:rPr>
        <w:t>Madam Secretary</w:t>
      </w:r>
      <w:r>
        <w:rPr>
          <w:rFonts w:ascii="Arial" w:cs="Arial" w:eastAsia="Arial" w:hAnsi="Arial"/>
          <w:sz w:val="19"/>
          <w:szCs w:val="19"/>
          <w:color w:val="auto"/>
        </w:rPr>
        <w:t xml:space="preserve"> and titles from the </w:t>
      </w:r>
      <w:r>
        <w:rPr>
          <w:rFonts w:ascii="Arial" w:cs="Arial" w:eastAsia="Arial" w:hAnsi="Arial"/>
          <w:sz w:val="19"/>
          <w:szCs w:val="19"/>
          <w:i w:val="1"/>
          <w:iCs w:val="1"/>
          <w:color w:val="auto"/>
        </w:rPr>
        <w:t>CSI</w:t>
      </w:r>
      <w:r>
        <w:rPr>
          <w:rFonts w:ascii="Arial" w:cs="Arial" w:eastAsia="Arial" w:hAnsi="Arial"/>
          <w:sz w:val="19"/>
          <w:szCs w:val="19"/>
          <w:color w:val="auto"/>
        </w:rPr>
        <w:t xml:space="preserve"> franchise</w:t>
      </w:r>
      <w:r>
        <w:rPr>
          <w:rFonts w:ascii="Arial" w:cs="Arial" w:eastAsia="Arial" w:hAnsi="Arial"/>
          <w:sz w:val="19"/>
          <w:szCs w:val="19"/>
          <w:i w:val="1"/>
          <w:iCs w:val="1"/>
          <w:color w:val="auto"/>
        </w:rPr>
        <w:t>,</w:t>
      </w:r>
      <w:r>
        <w:rPr>
          <w:rFonts w:ascii="Arial" w:cs="Arial" w:eastAsia="Arial" w:hAnsi="Arial"/>
          <w:sz w:val="19"/>
          <w:szCs w:val="19"/>
          <w:color w:val="auto"/>
        </w:rPr>
        <w:t xml:space="preserve"> and higher international licensing sales resulting from strong demand for the Company’s content internationally, due in part to increased investment in internally-produced series. These increases were partially offset by lower advertising revenues, mainly as a result of the benefit to 2016 from CBS’s broadcast of </w:t>
      </w:r>
      <w:r>
        <w:rPr>
          <w:rFonts w:ascii="Arial" w:cs="Arial" w:eastAsia="Arial" w:hAnsi="Arial"/>
          <w:sz w:val="19"/>
          <w:szCs w:val="19"/>
          <w:i w:val="1"/>
          <w:iCs w:val="1"/>
          <w:color w:val="auto"/>
        </w:rPr>
        <w:t>Super Bowl 50</w:t>
      </w:r>
      <w:r>
        <w:rPr>
          <w:rFonts w:ascii="Arial" w:cs="Arial" w:eastAsia="Arial" w:hAnsi="Arial"/>
          <w:sz w:val="19"/>
          <w:szCs w:val="19"/>
          <w:color w:val="auto"/>
        </w:rPr>
        <w:t>.</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increase in operating income of 3% was driven by the higher revenues, partially offset by an increased investment in programming, as well as other costs associated with the Company’s growth initiatives. For 2017 and 2016, restructuring charges primarily reflected severance costs and costs associated with exiting contractual obligations and other related costs.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Cable Networks </w:t>
      </w:r>
      <w:r>
        <w:rPr>
          <w:rFonts w:ascii="Arial" w:cs="Arial" w:eastAsia="Arial" w:hAnsi="Arial"/>
          <w:sz w:val="20"/>
          <w:szCs w:val="20"/>
          <w:i w:val="1"/>
          <w:iCs w:val="1"/>
          <w:color w:val="auto"/>
        </w:rPr>
        <w:t>(Showtime Networks and Smithsonian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3"/>
                <w:szCs w:val="23"/>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4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2,355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340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999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959</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40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n/m</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For 2017, the 17% increase in revenues was driven by Showtime Networks’ distribution of the Floyd Mayweather/Conor McGregor pay-per-view boxing event, which contributed 13 percentage points to the revenue growth. The increase also reflected growth from the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direct-to-consumer digital streaming subscription offering and higher international licensing sales of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content. These increases were partially offset by lower domestic licensing sales, primarily as a result of sales of several titles, including </w:t>
      </w:r>
      <w:r>
        <w:rPr>
          <w:rFonts w:ascii="Arial" w:cs="Arial" w:eastAsia="Arial" w:hAnsi="Arial"/>
          <w:sz w:val="20"/>
          <w:szCs w:val="20"/>
          <w:i w:val="1"/>
          <w:iCs w:val="1"/>
          <w:color w:val="auto"/>
        </w:rPr>
        <w:t>Penny Dreadful,</w:t>
      </w:r>
      <w:r>
        <w:rPr>
          <w:rFonts w:ascii="Arial" w:cs="Arial" w:eastAsia="Arial" w:hAnsi="Arial"/>
          <w:sz w:val="20"/>
          <w:szCs w:val="20"/>
          <w:color w:val="auto"/>
        </w:rPr>
        <w:t xml:space="preserve"> in 2016. As of December 31, 2017, subscriptions totaled approximately 25 million for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including the direct-to-consumer digital streaming subscription offering, and 30 million for Smithsonian Networks.</w:t>
      </w:r>
    </w:p>
    <w:p>
      <w:pPr>
        <w:spacing w:after="0" w:line="210"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Operating income increased 4% driven by the revenue growth, which was significantly offset by higher costs associated with the pay-per-view boxing event and an increased investment in programming. Restructuring charges in 2016 primarily reflected severance costs.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ectPr>
          <w:pgSz w:w="11900" w:h="16838" w:orient="portrait"/>
          <w:cols w:equalWidth="0" w:num="1">
            <w:col w:w="11420"/>
          </w:cols>
          <w:pgMar w:left="240" w:top="576"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Publishing </w:t>
      </w:r>
      <w:r>
        <w:rPr>
          <w:rFonts w:ascii="Arial" w:cs="Arial" w:eastAsia="Arial" w:hAnsi="Arial"/>
          <w:sz w:val="20"/>
          <w:szCs w:val="20"/>
          <w:color w:val="auto"/>
        </w:rPr>
        <w:t>(</w:t>
      </w:r>
      <w:r>
        <w:rPr>
          <w:rFonts w:ascii="Arial" w:cs="Arial" w:eastAsia="Arial" w:hAnsi="Arial"/>
          <w:sz w:val="20"/>
          <w:szCs w:val="20"/>
          <w:i w:val="1"/>
          <w:iCs w:val="1"/>
          <w:color w:val="auto"/>
        </w:rPr>
        <w:t>Simon &amp; Schuster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830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767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136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122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For 2017, the 8% increase in revenues reflects higher print book sales and 39% growth in digital audio sales. Bestselling titles for 2018 included </w:t>
      </w:r>
      <w:r>
        <w:rPr>
          <w:rFonts w:ascii="Arial" w:cs="Arial" w:eastAsia="Arial" w:hAnsi="Arial"/>
          <w:sz w:val="20"/>
          <w:szCs w:val="20"/>
          <w:i w:val="1"/>
          <w:iCs w:val="1"/>
          <w:color w:val="auto"/>
        </w:rPr>
        <w:t>What Happened</w:t>
      </w:r>
      <w:r>
        <w:rPr>
          <w:rFonts w:ascii="Arial" w:cs="Arial" w:eastAsia="Arial" w:hAnsi="Arial"/>
          <w:sz w:val="20"/>
          <w:szCs w:val="20"/>
          <w:color w:val="auto"/>
        </w:rPr>
        <w:t xml:space="preserve"> by Hillary Rodham Clinton, </w:t>
      </w:r>
      <w:r>
        <w:rPr>
          <w:rFonts w:ascii="Arial" w:cs="Arial" w:eastAsia="Arial" w:hAnsi="Arial"/>
          <w:sz w:val="20"/>
          <w:szCs w:val="20"/>
          <w:i w:val="1"/>
          <w:iCs w:val="1"/>
          <w:color w:val="auto"/>
        </w:rPr>
        <w:t>Leonardo da Vinci</w:t>
      </w:r>
      <w:r>
        <w:rPr>
          <w:rFonts w:ascii="Arial" w:cs="Arial" w:eastAsia="Arial" w:hAnsi="Arial"/>
          <w:sz w:val="20"/>
          <w:szCs w:val="20"/>
          <w:color w:val="auto"/>
        </w:rPr>
        <w:t xml:space="preserve"> by Walter Isaacson and </w:t>
      </w:r>
      <w:r>
        <w:rPr>
          <w:rFonts w:ascii="Arial" w:cs="Arial" w:eastAsia="Arial" w:hAnsi="Arial"/>
          <w:sz w:val="20"/>
          <w:szCs w:val="20"/>
          <w:i w:val="1"/>
          <w:iCs w:val="1"/>
          <w:color w:val="auto"/>
        </w:rPr>
        <w:t>Sleeping Beauties</w:t>
      </w:r>
      <w:r>
        <w:rPr>
          <w:rFonts w:ascii="Arial" w:cs="Arial" w:eastAsia="Arial" w:hAnsi="Arial"/>
          <w:sz w:val="20"/>
          <w:szCs w:val="20"/>
          <w:color w:val="auto"/>
        </w:rPr>
        <w:t xml:space="preserve"> by Stephen King and Owen King.</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11% increase in operating income reflects the revenue growth. For 2017 and 2016, restructuring charges primarily reflected severance costs.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Local Media </w:t>
      </w:r>
      <w:r>
        <w:rPr>
          <w:rFonts w:ascii="Arial" w:cs="Arial" w:eastAsia="Arial" w:hAnsi="Arial"/>
          <w:sz w:val="20"/>
          <w:szCs w:val="20"/>
          <w:color w:val="auto"/>
        </w:rPr>
        <w:t>(</w:t>
      </w:r>
      <w:r>
        <w:rPr>
          <w:rFonts w:ascii="Arial" w:cs="Arial" w:eastAsia="Arial" w:hAnsi="Arial"/>
          <w:sz w:val="20"/>
          <w:szCs w:val="20"/>
          <w:i w:val="1"/>
          <w:iCs w:val="1"/>
          <w:color w:val="auto"/>
        </w:rPr>
        <w:t>CBS Television Stations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CBS Local Digital Media</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1,668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1,779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(111)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497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Segment Operating Income as a % of revenues</w:t>
            </w:r>
          </w:p>
        </w:tc>
        <w:tc>
          <w:tcPr>
            <w:tcW w:w="118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66122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2017, the 6% decrease in revenues was driven by lower advertising revenues, primarily reflecting the benefit to 2016 from political advertising sales during the 2016 Presidential election cycle and CBS’s broadcast of S</w:t>
      </w:r>
      <w:r>
        <w:rPr>
          <w:rFonts w:ascii="Arial" w:cs="Arial" w:eastAsia="Arial" w:hAnsi="Arial"/>
          <w:sz w:val="20"/>
          <w:szCs w:val="20"/>
          <w:i w:val="1"/>
          <w:iCs w:val="1"/>
          <w:color w:val="auto"/>
        </w:rPr>
        <w:t>uper Bowl 50.</w:t>
      </w:r>
      <w:r>
        <w:rPr>
          <w:rFonts w:ascii="Arial" w:cs="Arial" w:eastAsia="Arial" w:hAnsi="Arial"/>
          <w:sz w:val="20"/>
          <w:szCs w:val="20"/>
          <w:color w:val="auto"/>
        </w:rPr>
        <w:t xml:space="preserve"> This decrease was partially offset by growth in retransmission fees.</w:t>
      </w:r>
    </w:p>
    <w:p>
      <w:pPr>
        <w:spacing w:after="0" w:line="20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decrease in operating income of 20% primarily reflected a decline in high-margin political advertising sales. For 2017 and 2016, restructuring charges reflected severance costs and costs associated with exiting contractual obligations and other related costs.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6612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3"/>
                <w:szCs w:val="23"/>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Segment Operating Loss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34"/>
        </w:trPr>
        <w:tc>
          <w:tcPr>
            <w:tcW w:w="3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expenses  include  general  corporate  overhead,  unallocated  shared  company  expenses,  and  intercompany  eliminations.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Restructuring charges in 2017 and 2016 primarily reflected severance costs.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II-31</w:t>
      </w:r>
    </w:p>
    <w:p>
      <w:pPr>
        <w:sectPr>
          <w:pgSz w:w="11900" w:h="16838" w:orient="portrait"/>
          <w:cols w:equalWidth="0" w:num="1">
            <w:col w:w="11420"/>
          </w:cols>
          <w:pgMar w:left="240" w:top="576"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balance sheet at December 31, 2018 is presented under ASC 606, the new revenue recognition standard adopted on January 1, 2018, while December 31, 2017 is presented under previous accounting guidance. See Note 16 to the consolidated financial statements for the amount by which each balance sheet line item at December 31, 2018 was impacted by the adoption of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67310</wp:posOffset>
            </wp:positionV>
            <wp:extent cx="64916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1605" cy="17145"/>
                    </a:xfrm>
                    <a:prstGeom prst="rect">
                      <a:avLst/>
                    </a:prstGeom>
                    <a:noFill/>
                  </pic:spPr>
                </pic:pic>
              </a:graphicData>
            </a:graphic>
          </wp:anchor>
        </w:drawing>
      </w:r>
    </w:p>
    <w:p>
      <w:pPr>
        <w:spacing w:after="0" w:line="122"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52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41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13 %</w:t>
            </w:r>
          </w:p>
        </w:tc>
      </w:tr>
      <w:tr>
        <w:trPr>
          <w:trHeight w:val="310"/>
        </w:trPr>
        <w:tc>
          <w:tcPr>
            <w:tcW w:w="4120" w:type="dxa"/>
            <w:vAlign w:val="bottom"/>
          </w:tcPr>
          <w:p>
            <w:pPr>
              <w:ind w:left="160"/>
              <w:spacing w:after="0"/>
              <w:rPr>
                <w:sz w:val="20"/>
                <w:szCs w:val="20"/>
                <w:color w:val="auto"/>
              </w:rPr>
            </w:pPr>
            <w:r>
              <w:rPr>
                <w:rFonts w:ascii="Arial" w:cs="Arial" w:eastAsia="Arial" w:hAnsi="Arial"/>
                <w:sz w:val="18"/>
                <w:szCs w:val="18"/>
                <w:color w:val="auto"/>
              </w:rPr>
              <w:t xml:space="preserve">Receivables, net </w:t>
            </w:r>
            <w:r>
              <w:rPr>
                <w:rFonts w:ascii="Arial" w:cs="Arial" w:eastAsia="Arial" w:hAnsi="Arial"/>
                <w:sz w:val="25"/>
                <w:szCs w:val="25"/>
                <w:color w:val="auto"/>
                <w:vertAlign w:val="superscript"/>
              </w:rPr>
              <w:t>(a)</w:t>
            </w:r>
          </w:p>
        </w:tc>
        <w:tc>
          <w:tcPr>
            <w:tcW w:w="152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4,041</w:t>
            </w:r>
          </w:p>
        </w:tc>
        <w:tc>
          <w:tcPr>
            <w:tcW w:w="36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3,697</w:t>
            </w:r>
          </w:p>
        </w:tc>
        <w:tc>
          <w:tcPr>
            <w:tcW w:w="42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344</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70"/>
        </w:trPr>
        <w:tc>
          <w:tcPr>
            <w:tcW w:w="41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Programming and other inventory </w:t>
            </w:r>
            <w:r>
              <w:rPr>
                <w:rFonts w:ascii="Arial" w:cs="Arial" w:eastAsia="Arial" w:hAnsi="Arial"/>
                <w:sz w:val="25"/>
                <w:szCs w:val="25"/>
                <w:color w:val="auto"/>
                <w:vertAlign w:val="superscript"/>
              </w:rPr>
              <w:t>(b)</w:t>
            </w:r>
          </w:p>
        </w:tc>
        <w:tc>
          <w:tcPr>
            <w:tcW w:w="15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1,988</w:t>
            </w:r>
          </w:p>
        </w:tc>
        <w:tc>
          <w:tcPr>
            <w:tcW w:w="36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1,828</w:t>
            </w:r>
          </w:p>
        </w:tc>
        <w:tc>
          <w:tcPr>
            <w:tcW w:w="42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160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15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(65)</w:t>
            </w:r>
          </w:p>
        </w:tc>
      </w:tr>
      <w:tr>
        <w:trPr>
          <w:trHeight w:val="270"/>
        </w:trPr>
        <w:tc>
          <w:tcPr>
            <w:tcW w:w="4120" w:type="dxa"/>
            <w:vAlign w:val="bottom"/>
          </w:tcPr>
          <w:p>
            <w:pPr>
              <w:ind w:left="160"/>
              <w:spacing w:after="0"/>
              <w:rPr>
                <w:sz w:val="20"/>
                <w:szCs w:val="20"/>
                <w:color w:val="auto"/>
              </w:rPr>
            </w:pPr>
            <w:r>
              <w:rPr>
                <w:rFonts w:ascii="Arial" w:cs="Arial" w:eastAsia="Arial" w:hAnsi="Arial"/>
                <w:sz w:val="18"/>
                <w:szCs w:val="18"/>
                <w:color w:val="auto"/>
              </w:rPr>
              <w:t>All other current assets, net</w:t>
            </w:r>
          </w:p>
        </w:tc>
        <w:tc>
          <w:tcPr>
            <w:tcW w:w="15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4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6,752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6,273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479</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8 %</w:t>
            </w:r>
          </w:p>
        </w:tc>
      </w:tr>
      <w:tr>
        <w:trPr>
          <w:trHeight w:val="34"/>
        </w:trPr>
        <w:tc>
          <w:tcPr>
            <w:tcW w:w="4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820" w:hanging="326"/>
        <w:spacing w:after="0" w:line="277" w:lineRule="auto"/>
        <w:tabs>
          <w:tab w:leader="none" w:pos="7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primarily relates to the reclassification of the sales returns reserve to “Other current liabilities” as a result of the adoption of ASC 606 and higher receivables from television licensing arrangements.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primarily reflects the payment of sports program rights in advance of the broadcast of the related sporting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135255</wp:posOffset>
            </wp:positionV>
            <wp:extent cx="64916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1605" cy="17145"/>
                    </a:xfrm>
                    <a:prstGeom prst="rect">
                      <a:avLst/>
                    </a:prstGeom>
                    <a:noFill/>
                  </pic:spPr>
                </pic:pic>
              </a:graphicData>
            </a:graphic>
          </wp:anchor>
        </w:drawing>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48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1"/>
        </w:trPr>
        <w:tc>
          <w:tcPr>
            <w:tcW w:w="100" w:type="dxa"/>
            <w:vAlign w:val="bottom"/>
          </w:tcPr>
          <w:p>
            <w:pPr>
              <w:spacing w:after="0"/>
              <w:rPr>
                <w:sz w:val="23"/>
                <w:szCs w:val="23"/>
                <w:color w:val="auto"/>
              </w:rPr>
            </w:pPr>
          </w:p>
        </w:tc>
        <w:tc>
          <w:tcPr>
            <w:tcW w:w="518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Programming and other inventory </w:t>
            </w:r>
            <w:r>
              <w:rPr>
                <w:rFonts w:ascii="Arial" w:cs="Arial" w:eastAsia="Arial" w:hAnsi="Arial"/>
                <w:sz w:val="25"/>
                <w:szCs w:val="25"/>
                <w:color w:val="auto"/>
                <w:vertAlign w:val="superscript"/>
              </w:rPr>
              <w:t>(a)</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2,881</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1,002</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w w:val="95"/>
              </w:rPr>
              <w:t>(a) The increase primarily reflects higher investment in programming.</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28"/>
        </w:trPr>
        <w:tc>
          <w:tcPr>
            <w:tcW w:w="100" w:type="dxa"/>
            <w:vAlign w:val="bottom"/>
          </w:tcPr>
          <w:p>
            <w:pPr>
              <w:spacing w:after="0"/>
              <w:rPr>
                <w:sz w:val="11"/>
                <w:szCs w:val="11"/>
                <w:color w:val="auto"/>
              </w:rPr>
            </w:pPr>
          </w:p>
        </w:tc>
        <w:tc>
          <w:tcPr>
            <w:tcW w:w="5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2"/>
          </w:tcPr>
          <w:p>
            <w:pPr>
              <w:spacing w:after="0"/>
              <w:rPr>
                <w:sz w:val="11"/>
                <w:szCs w:val="11"/>
                <w:color w:val="auto"/>
              </w:rPr>
            </w:pPr>
          </w:p>
        </w:tc>
      </w:tr>
      <w:tr>
        <w:trPr>
          <w:trHeight w:val="243"/>
        </w:trPr>
        <w:tc>
          <w:tcPr>
            <w:tcW w:w="10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1"/>
              </w:rPr>
              <w:t>Increase/(Decrease)</w:t>
            </w:r>
          </w:p>
        </w:tc>
      </w:tr>
      <w:tr>
        <w:trPr>
          <w:trHeight w:val="270"/>
        </w:trPr>
        <w:tc>
          <w:tcPr>
            <w:tcW w:w="10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48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98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1"/>
        </w:trPr>
        <w:tc>
          <w:tcPr>
            <w:tcW w:w="100" w:type="dxa"/>
            <w:vAlign w:val="bottom"/>
          </w:tcPr>
          <w:p>
            <w:pPr>
              <w:spacing w:after="0"/>
              <w:rPr>
                <w:sz w:val="23"/>
                <w:szCs w:val="23"/>
                <w:color w:val="auto"/>
              </w:rPr>
            </w:pPr>
          </w:p>
        </w:tc>
        <w:tc>
          <w:tcPr>
            <w:tcW w:w="518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(a)</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2,424</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2,852</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(428)</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r>
    </w:tbl>
    <w:p>
      <w:pPr>
        <w:spacing w:after="0" w:line="53" w:lineRule="exact"/>
        <w:rPr>
          <w:sz w:val="20"/>
          <w:szCs w:val="20"/>
          <w:color w:val="auto"/>
        </w:rPr>
      </w:pPr>
    </w:p>
    <w:p>
      <w:pPr>
        <w:jc w:val="both"/>
        <w:ind w:left="740" w:hanging="246"/>
        <w:spacing w:after="0" w:line="255" w:lineRule="auto"/>
        <w:tabs>
          <w:tab w:leader="none" w:pos="7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decrease reflects lower noncurrent receivables from television licensing arrangements primarily as a result of the adoption of ASC 606 partially offset by restricted cash of $120 million held in a grantor trust related to the separation and settlement agreement between the Company and the former Chairman of the Board, President and Chief Executive Officer of the Company. (See Note 18 to the consolidated financial statements.) As of December 31, 2018, total outstanding receivables from television licensing arrangements, including both current and noncurrent, were $3.57 billion versus $4.06 billion at December 31, 2017 and $3.45 billion at January 1, 2018 upon the adoption of ASC 606. At December 31, 2018, the total amount due from these receivables was $1.96 billion in 2019, $771 million in 2020, $430 million in 2021, $236 million in 2022, and $181 million in 2023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154940</wp:posOffset>
            </wp:positionV>
            <wp:extent cx="62172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17285" cy="17145"/>
                    </a:xfrm>
                    <a:prstGeom prst="rect">
                      <a:avLst/>
                    </a:prstGeom>
                    <a:noFill/>
                  </pic:spPr>
                </pic:pic>
              </a:graphicData>
            </a:graphic>
          </wp:anchor>
        </w:drawing>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980" w:type="dxa"/>
            <w:vAlign w:val="bottom"/>
          </w:tcPr>
          <w:p>
            <w:pPr>
              <w:spacing w:after="0"/>
              <w:rPr>
                <w:sz w:val="23"/>
                <w:szCs w:val="23"/>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3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1"/>
        </w:trPr>
        <w:tc>
          <w:tcPr>
            <w:tcW w:w="338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5"/>
                <w:szCs w:val="25"/>
                <w:color w:val="auto"/>
                <w:vertAlign w:val="superscript"/>
              </w:rPr>
              <w:t>(a)</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r>
    </w:tbl>
    <w:p>
      <w:pPr>
        <w:spacing w:after="0" w:line="107" w:lineRule="exact"/>
        <w:rPr>
          <w:sz w:val="20"/>
          <w:szCs w:val="20"/>
          <w:color w:val="auto"/>
        </w:rPr>
      </w:pPr>
    </w:p>
    <w:p>
      <w:pPr>
        <w:ind w:left="740" w:hanging="246"/>
        <w:spacing w:after="0" w:line="277" w:lineRule="auto"/>
        <w:tabs>
          <w:tab w:leader="none" w:pos="7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Assets held for sale at December 31, 2018 and 2017 include the CBS Television City property and sound stage operation which was sold in January 2019.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ectPr>
          <w:pgSz w:w="11900" w:h="16838" w:orient="portrait"/>
          <w:cols w:equalWidth="0" w:num="1">
            <w:col w:w="11420"/>
          </w:cols>
          <w:pgMar w:left="240" w:top="576" w:right="239" w:bottom="1440" w:gutter="0" w:footer="0" w:header="0"/>
        </w:sectPr>
      </w:pPr>
    </w:p>
    <w:bookmarkStart w:id="65" w:name="page66"/>
    <w:bookmarkEnd w:id="65"/>
    <w:p>
      <w:pPr>
        <w:jc w:val="center"/>
        <w:ind w:right="474"/>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474"/>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474"/>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386080</wp:posOffset>
            </wp:positionV>
            <wp:extent cx="649160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16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6"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14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102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4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310"/>
        </w:trPr>
        <w:tc>
          <w:tcPr>
            <w:tcW w:w="4480" w:type="dxa"/>
            <w:vAlign w:val="bottom"/>
          </w:tcPr>
          <w:p>
            <w:pPr>
              <w:ind w:left="160"/>
              <w:spacing w:after="0"/>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5"/>
                <w:szCs w:val="25"/>
                <w:color w:val="auto"/>
                <w:vertAlign w:val="superscript"/>
              </w:rPr>
              <w:t>(a)</w:t>
            </w:r>
          </w:p>
        </w:tc>
        <w:tc>
          <w:tcPr>
            <w:tcW w:w="114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15</w:t>
            </w:r>
          </w:p>
        </w:tc>
      </w:tr>
      <w:tr>
        <w:trPr>
          <w:trHeight w:val="270"/>
        </w:trPr>
        <w:tc>
          <w:tcPr>
            <w:tcW w:w="4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Participants’ share and royalties payable </w:t>
            </w:r>
            <w:r>
              <w:rPr>
                <w:rFonts w:ascii="Arial" w:cs="Arial" w:eastAsia="Arial" w:hAnsi="Arial"/>
                <w:sz w:val="25"/>
                <w:szCs w:val="25"/>
                <w:color w:val="auto"/>
                <w:vertAlign w:val="superscript"/>
              </w:rPr>
              <w:t>(b)</w:t>
            </w:r>
          </w:p>
        </w:tc>
        <w:tc>
          <w:tcPr>
            <w:tcW w:w="11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1,177</w:t>
            </w:r>
          </w:p>
        </w:tc>
        <w:tc>
          <w:tcPr>
            <w:tcW w:w="3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986</w:t>
            </w:r>
          </w:p>
        </w:tc>
        <w:tc>
          <w:tcPr>
            <w:tcW w:w="400" w:type="dxa"/>
            <w:vAlign w:val="bottom"/>
          </w:tcPr>
          <w:p>
            <w:pPr>
              <w:spacing w:after="0"/>
              <w:rPr>
                <w:sz w:val="23"/>
                <w:szCs w:val="23"/>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191</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19</w:t>
            </w:r>
          </w:p>
        </w:tc>
      </w:tr>
      <w:tr>
        <w:trPr>
          <w:trHeight w:val="270"/>
        </w:trPr>
        <w:tc>
          <w:tcPr>
            <w:tcW w:w="4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Accrued programming and production costs </w:t>
            </w:r>
            <w:r>
              <w:rPr>
                <w:rFonts w:ascii="Arial" w:cs="Arial" w:eastAsia="Arial" w:hAnsi="Arial"/>
                <w:sz w:val="25"/>
                <w:szCs w:val="25"/>
                <w:color w:val="auto"/>
                <w:vertAlign w:val="superscript"/>
              </w:rPr>
              <w:t>(c)</w:t>
            </w:r>
          </w:p>
        </w:tc>
        <w:tc>
          <w:tcPr>
            <w:tcW w:w="11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3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497</w:t>
            </w:r>
          </w:p>
        </w:tc>
        <w:tc>
          <w:tcPr>
            <w:tcW w:w="400" w:type="dxa"/>
            <w:vAlign w:val="bottom"/>
          </w:tcPr>
          <w:p>
            <w:pPr>
              <w:spacing w:after="0"/>
              <w:rPr>
                <w:sz w:val="23"/>
                <w:szCs w:val="23"/>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207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42</w:t>
            </w:r>
          </w:p>
        </w:tc>
      </w:tr>
      <w:tr>
        <w:trPr>
          <w:trHeight w:val="230"/>
        </w:trPr>
        <w:tc>
          <w:tcPr>
            <w:tcW w:w="44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1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97"/>
        </w:trPr>
        <w:tc>
          <w:tcPr>
            <w:tcW w:w="4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All other current liabilities, net </w:t>
            </w:r>
            <w:r>
              <w:rPr>
                <w:rFonts w:ascii="Arial" w:cs="Arial" w:eastAsia="Arial" w:hAnsi="Arial"/>
                <w:sz w:val="25"/>
                <w:szCs w:val="25"/>
                <w:color w:val="auto"/>
                <w:vertAlign w:val="superscript"/>
              </w:rPr>
              <w:t>(d)</w:t>
            </w: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1,295</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1,125</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170</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4,573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3,972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601</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15 %</w:t>
            </w:r>
          </w:p>
        </w:tc>
      </w:tr>
      <w:tr>
        <w:trPr>
          <w:trHeight w:val="34"/>
        </w:trPr>
        <w:tc>
          <w:tcPr>
            <w:tcW w:w="4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246" w:hanging="246"/>
        <w:spacing w:after="0"/>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primarily reflects accruals for charitable contributions and professional fees associated with corporate matters.</w:t>
      </w:r>
    </w:p>
    <w:p>
      <w:pPr>
        <w:spacing w:after="0" w:line="117" w:lineRule="exact"/>
        <w:rPr>
          <w:rFonts w:ascii="Arial" w:cs="Arial" w:eastAsia="Arial" w:hAnsi="Arial"/>
          <w:sz w:val="18"/>
          <w:szCs w:val="18"/>
          <w:color w:val="auto"/>
        </w:rPr>
      </w:pPr>
    </w:p>
    <w:p>
      <w:pPr>
        <w:ind w:left="246" w:hanging="246"/>
        <w:spacing w:after="0"/>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primarily reflects the timing of payments.</w:t>
      </w:r>
    </w:p>
    <w:p>
      <w:pPr>
        <w:spacing w:after="0" w:line="117" w:lineRule="exact"/>
        <w:rPr>
          <w:rFonts w:ascii="Arial" w:cs="Arial" w:eastAsia="Arial" w:hAnsi="Arial"/>
          <w:sz w:val="18"/>
          <w:szCs w:val="18"/>
          <w:color w:val="auto"/>
        </w:rPr>
      </w:pPr>
    </w:p>
    <w:p>
      <w:pPr>
        <w:ind w:left="246" w:hanging="246"/>
        <w:spacing w:after="0"/>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primarily reflects increased production of television programming.</w:t>
      </w:r>
    </w:p>
    <w:p>
      <w:pPr>
        <w:spacing w:after="0" w:line="117" w:lineRule="exact"/>
        <w:rPr>
          <w:rFonts w:ascii="Arial" w:cs="Arial" w:eastAsia="Arial" w:hAnsi="Arial"/>
          <w:sz w:val="18"/>
          <w:szCs w:val="18"/>
          <w:color w:val="auto"/>
        </w:rPr>
      </w:pPr>
    </w:p>
    <w:p>
      <w:pPr>
        <w:ind w:left="246" w:hanging="246"/>
        <w:spacing w:after="0"/>
        <w:tabs>
          <w:tab w:leader="none" w:pos="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increase primarily reflects the reclassification of the sales returns reserve to “Other current liabilities” as a result of the adoption of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235585</wp:posOffset>
            </wp:positionV>
            <wp:extent cx="60801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386" w:lineRule="exact"/>
        <w:rPr>
          <w:sz w:val="20"/>
          <w:szCs w:val="20"/>
          <w:color w:val="auto"/>
        </w:rPr>
      </w:pPr>
    </w:p>
    <w:tbl>
      <w:tblPr>
        <w:tblLayout w:type="fixed"/>
        <w:tblInd w:w="246"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140" w:type="dxa"/>
            <w:vAlign w:val="bottom"/>
          </w:tcPr>
          <w:p>
            <w:pPr>
              <w:spacing w:after="0"/>
              <w:rPr>
                <w:sz w:val="23"/>
                <w:szCs w:val="23"/>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4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1"/>
        </w:trPr>
        <w:tc>
          <w:tcPr>
            <w:tcW w:w="406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Participants’ share and royalties payable </w:t>
            </w:r>
            <w:r>
              <w:rPr>
                <w:rFonts w:ascii="Arial" w:cs="Arial" w:eastAsia="Arial" w:hAnsi="Arial"/>
                <w:sz w:val="25"/>
                <w:szCs w:val="25"/>
                <w:color w:val="auto"/>
                <w:vertAlign w:val="superscript"/>
              </w:rPr>
              <w:t>(a)</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1,159</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1,424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(265)</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7"/>
          <w:szCs w:val="17"/>
          <w:color w:val="auto"/>
        </w:rPr>
        <w:t>(a) The decrease primarily reflects lower participation and residual liabilities as a result of the adoption of ASC 606, and the timing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151130</wp:posOffset>
            </wp:positionV>
            <wp:extent cx="60801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53" w:lineRule="exact"/>
        <w:rPr>
          <w:sz w:val="20"/>
          <w:szCs w:val="20"/>
          <w:color w:val="auto"/>
        </w:rPr>
      </w:pPr>
    </w:p>
    <w:tbl>
      <w:tblPr>
        <w:tblLayout w:type="fixed"/>
        <w:tblInd w:w="806"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1"/>
              </w:rPr>
              <w:t>Increase/(Decrease)</w:t>
            </w: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940" w:type="dxa"/>
            <w:vAlign w:val="bottom"/>
          </w:tcPr>
          <w:p>
            <w:pPr>
              <w:spacing w:after="0"/>
              <w:rPr>
                <w:sz w:val="23"/>
                <w:szCs w:val="23"/>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3"/>
                <w:szCs w:val="23"/>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
        </w:trPr>
        <w:tc>
          <w:tcPr>
            <w:tcW w:w="4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1"/>
        </w:trPr>
        <w:tc>
          <w:tcPr>
            <w:tcW w:w="430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Pension and postretirement benefit obligations </w:t>
            </w:r>
            <w:r>
              <w:rPr>
                <w:rFonts w:ascii="Arial" w:cs="Arial" w:eastAsia="Arial" w:hAnsi="Arial"/>
                <w:sz w:val="25"/>
                <w:szCs w:val="25"/>
                <w:color w:val="auto"/>
                <w:vertAlign w:val="superscript"/>
              </w:rPr>
              <w:t>(a)</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r>
    </w:tbl>
    <w:p>
      <w:pPr>
        <w:spacing w:after="0" w:line="53" w:lineRule="exact"/>
        <w:rPr>
          <w:sz w:val="20"/>
          <w:szCs w:val="20"/>
          <w:color w:val="auto"/>
        </w:rPr>
      </w:pPr>
    </w:p>
    <w:p>
      <w:pPr>
        <w:ind w:left="246" w:hanging="246"/>
        <w:spacing w:after="0" w:line="277" w:lineRule="auto"/>
        <w:tabs>
          <w:tab w:leader="none" w:pos="2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primarily reflects the recognition of interest and service cost, partially offset by contributions to the Company’s non-qualified pension and other postretirement benefits plans to satisfy benefit payments due under these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108585</wp:posOffset>
            </wp:positionV>
            <wp:extent cx="60547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4725" cy="17145"/>
                    </a:xfrm>
                    <a:prstGeom prst="rect">
                      <a:avLst/>
                    </a:prstGeom>
                    <a:noFill/>
                  </pic:spPr>
                </pic:pic>
              </a:graphicData>
            </a:graphic>
          </wp:anchor>
        </w:drawing>
      </w:r>
    </w:p>
    <w:p>
      <w:pPr>
        <w:spacing w:after="0" w:line="187" w:lineRule="exact"/>
        <w:rPr>
          <w:sz w:val="20"/>
          <w:szCs w:val="20"/>
          <w:color w:val="auto"/>
        </w:rPr>
      </w:pPr>
    </w:p>
    <w:tbl>
      <w:tblPr>
        <w:tblLayout w:type="fixed"/>
        <w:tblInd w:w="826"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1"/>
              </w:rPr>
              <w:t>Increase/(Decrease)</w:t>
            </w:r>
          </w:p>
        </w:tc>
      </w:tr>
      <w:tr>
        <w:trPr>
          <w:trHeight w:val="270"/>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1"/>
        </w:trPr>
        <w:tc>
          <w:tcPr>
            <w:tcW w:w="320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5"/>
                <w:szCs w:val="25"/>
                <w:color w:val="auto"/>
                <w:vertAlign w:val="superscript"/>
              </w:rPr>
              <w:t>(a)</w:t>
            </w: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2,071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2,197</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(126)</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r>
    </w:tbl>
    <w:p>
      <w:pPr>
        <w:spacing w:after="0" w:line="53" w:lineRule="exact"/>
        <w:rPr>
          <w:sz w:val="20"/>
          <w:szCs w:val="20"/>
          <w:color w:val="auto"/>
        </w:rPr>
      </w:pPr>
    </w:p>
    <w:p>
      <w:pPr>
        <w:jc w:val="both"/>
        <w:ind w:left="246" w:right="20" w:hanging="246"/>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primarily relates to the reduction to a tax liability established during 2017 resulting from the enactment of the Tax Reform Act. This liability reflects the estimated tax on the Company’s historical accumulated foreign earnings and profits, which is payable to the IRS over eight years. The reduction relates to the application of a 2017 federal tax overpayment toward the liability.</w:t>
      </w:r>
    </w:p>
    <w:p>
      <w:pPr>
        <w:spacing w:after="0" w:line="200" w:lineRule="exact"/>
        <w:rPr>
          <w:sz w:val="20"/>
          <w:szCs w:val="20"/>
          <w:color w:val="auto"/>
        </w:rPr>
      </w:pPr>
    </w:p>
    <w:p>
      <w:pPr>
        <w:spacing w:after="0" w:line="27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II-33</w:t>
      </w:r>
    </w:p>
    <w:p>
      <w:pPr>
        <w:sectPr>
          <w:pgSz w:w="11900" w:h="16838" w:orient="portrait"/>
          <w:cols w:equalWidth="0" w:num="1">
            <w:col w:w="10926"/>
          </w:cols>
          <w:pgMar w:left="734" w:top="57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changes in cash, cash equivalents and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96520</wp:posOffset>
            </wp:positionV>
            <wp:extent cx="72377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4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(Decrease)</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(Decrease)</w:t>
            </w:r>
          </w:p>
        </w:tc>
      </w:tr>
      <w:tr>
        <w:trPr>
          <w:trHeight w:val="27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3"/>
                <w:szCs w:val="23"/>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 vs. 2017</w:t>
            </w:r>
          </w:p>
        </w:tc>
        <w:tc>
          <w:tcPr>
            <w:tcW w:w="38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 vs. 2016</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Cash provided by operating activities from:</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5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793</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632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1,454</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(661)</w:t>
            </w:r>
          </w:p>
        </w:tc>
      </w:tr>
      <w:tr>
        <w:trPr>
          <w:trHeight w:val="270"/>
        </w:trPr>
        <w:tc>
          <w:tcPr>
            <w:tcW w:w="45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9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23"/>
                <w:szCs w:val="23"/>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3"/>
                <w:szCs w:val="23"/>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(137)</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9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1,426</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887</w:t>
            </w:r>
          </w:p>
        </w:tc>
        <w:tc>
          <w:tcPr>
            <w:tcW w:w="5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539</w:t>
            </w:r>
          </w:p>
        </w:tc>
        <w:tc>
          <w:tcPr>
            <w:tcW w:w="3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1,685</w:t>
            </w:r>
          </w:p>
        </w:tc>
        <w:tc>
          <w:tcPr>
            <w:tcW w:w="5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(798)</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Cash used for investing activities from:</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5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9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(523)</w:t>
            </w:r>
          </w:p>
        </w:tc>
        <w:tc>
          <w:tcPr>
            <w:tcW w:w="5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50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(189)</w:t>
            </w:r>
          </w:p>
        </w:tc>
      </w:tr>
      <w:tr>
        <w:trPr>
          <w:trHeight w:val="270"/>
        </w:trPr>
        <w:tc>
          <w:tcPr>
            <w:tcW w:w="45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9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(18)</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9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(547)</w:t>
            </w:r>
          </w:p>
        </w:tc>
        <w:tc>
          <w:tcPr>
            <w:tcW w:w="5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50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(207)</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Cash used for financing activities</w:t>
            </w:r>
          </w:p>
        </w:tc>
        <w:tc>
          <w:tcPr>
            <w:tcW w:w="9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(677)</w:t>
            </w:r>
          </w:p>
        </w:tc>
        <w:tc>
          <w:tcPr>
            <w:tcW w:w="5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(1,046)</w:t>
            </w:r>
          </w:p>
        </w:tc>
        <w:tc>
          <w:tcPr>
            <w:tcW w:w="5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369</w:t>
            </w:r>
          </w:p>
        </w:tc>
      </w:tr>
      <w:tr>
        <w:trPr>
          <w:trHeight w:val="27"/>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56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(337)</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494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299</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(636)</w:t>
            </w:r>
          </w:p>
        </w:tc>
      </w:tr>
      <w:tr>
        <w:trPr>
          <w:trHeight w:val="34"/>
        </w:trPr>
        <w:tc>
          <w:tcPr>
            <w:tcW w:w="4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cash provided by operating activities from continuing operations for 2018 compared with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cash payments for income taxes and growth in affiliate and subscription fees, which were partially offset by an increased investment in internally-produced programming, including a higher number of series produced for distribution on multiple platforms. Operating cash flow for 2017 also included discretionary pension contributions of $600 million to prefund the Company’s qualified plans.</w:t>
      </w:r>
    </w:p>
    <w:p>
      <w:pPr>
        <w:spacing w:after="0" w:line="17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The decrease in cash provided by operating activities from continuing operations for 2017 compared with 2016 was driven by the aforementioned discretionary pension contributions; a decline in advertising revenues including from the benefit in 2016 from CBS’s broadcast of </w:t>
      </w:r>
      <w:r>
        <w:rPr>
          <w:rFonts w:ascii="Arial" w:cs="Arial" w:eastAsia="Arial" w:hAnsi="Arial"/>
          <w:sz w:val="20"/>
          <w:szCs w:val="20"/>
          <w:i w:val="1"/>
          <w:iCs w:val="1"/>
          <w:color w:val="auto"/>
        </w:rPr>
        <w:t>Super Bowl 50;</w:t>
      </w:r>
      <w:r>
        <w:rPr>
          <w:rFonts w:ascii="Arial" w:cs="Arial" w:eastAsia="Arial" w:hAnsi="Arial"/>
          <w:sz w:val="20"/>
          <w:szCs w:val="20"/>
          <w:color w:val="auto"/>
        </w:rPr>
        <w:t xml:space="preserve"> and an increased investment in programming</w:t>
      </w:r>
      <w:r>
        <w:rPr>
          <w:rFonts w:ascii="Arial" w:cs="Arial" w:eastAsia="Arial" w:hAnsi="Arial"/>
          <w:sz w:val="20"/>
          <w:szCs w:val="20"/>
          <w:i w:val="1"/>
          <w:iCs w:val="1"/>
          <w:color w:val="auto"/>
        </w:rPr>
        <w:t>.</w:t>
      </w:r>
      <w:r>
        <w:rPr>
          <w:rFonts w:ascii="Arial" w:cs="Arial" w:eastAsia="Arial" w:hAnsi="Arial"/>
          <w:sz w:val="20"/>
          <w:szCs w:val="20"/>
          <w:color w:val="auto"/>
        </w:rPr>
        <w:t xml:space="preserve"> These decreases were partially offset by higher affiliate and subscription fee revenues.</w:t>
      </w:r>
    </w:p>
    <w:p>
      <w:pPr>
        <w:spacing w:after="0" w:line="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Cash provided by operating activities from discontinued operations primarily reflected the operating activities of CBS Radio. Operating activities from discontinued operations also included payments and refunds for tax matters in foreign jurisdictions related to previously disposed businesses that are accounted for as discontinued operations.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Cash paid for income taxes for the years ended December 31, 2018, 2017 and 2016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96520</wp:posOffset>
            </wp:positionV>
            <wp:extent cx="68948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94830" cy="17145"/>
                    </a:xfrm>
                    <a:prstGeom prst="rect">
                      <a:avLst/>
                    </a:prstGeom>
                    <a:noFill/>
                  </pic:spPr>
                </pic:pic>
              </a:graphicData>
            </a:graphic>
          </wp:anchor>
        </w:drawing>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Cash taxes included in operating activities from continuing operations</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365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56"/>
        </w:trPr>
        <w:tc>
          <w:tcPr>
            <w:tcW w:w="5940" w:type="dxa"/>
            <w:vAlign w:val="bottom"/>
          </w:tcPr>
          <w:p>
            <w:pPr>
              <w:ind w:left="20"/>
              <w:spacing w:after="0"/>
              <w:rPr>
                <w:sz w:val="20"/>
                <w:szCs w:val="20"/>
                <w:color w:val="auto"/>
              </w:rPr>
            </w:pPr>
            <w:r>
              <w:rPr>
                <w:rFonts w:ascii="Arial" w:cs="Arial" w:eastAsia="Arial" w:hAnsi="Arial"/>
                <w:sz w:val="18"/>
                <w:szCs w:val="18"/>
                <w:color w:val="auto"/>
              </w:rPr>
              <w:t>Less: Excess tax benefits from the exercise of stock options and</w:t>
            </w: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vesting of restricted stock units, included in financing activities</w:t>
            </w:r>
          </w:p>
        </w:tc>
        <w:tc>
          <w:tcPr>
            <w:tcW w:w="1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Cash paid for income taxes from continuing operations</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365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34"/>
        </w:trPr>
        <w:tc>
          <w:tcPr>
            <w:tcW w:w="5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Cash paid for income taxes in 2018 benefited from a federal income tax overpayment of $484 million in 2017, which included the impact from the retroactive renewal of a federal tax law. Cash paid for income taxes from continuing operations for 2017 and 2016 benefited from the application of prior year federal income tax overpayments of $32 million and $90 million,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ectPr>
          <w:pgSz w:w="11900" w:h="16838" w:orient="portrait"/>
          <w:cols w:equalWidth="0" w:num="1">
            <w:col w:w="11420"/>
          </w:cols>
          <w:pgMar w:left="240" w:top="576"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69805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0555" cy="17145"/>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6340" w:type="dxa"/>
            <w:vAlign w:val="bottom"/>
          </w:tcPr>
          <w:p>
            <w:pPr>
              <w:ind w:left="20"/>
              <w:spacing w:after="0" w:line="276" w:lineRule="exact"/>
              <w:rPr>
                <w:sz w:val="20"/>
                <w:szCs w:val="20"/>
                <w:color w:val="auto"/>
              </w:rPr>
            </w:pPr>
            <w:r>
              <w:rPr>
                <w:rFonts w:ascii="Arial" w:cs="Arial" w:eastAsia="Arial" w:hAnsi="Arial"/>
                <w:sz w:val="18"/>
                <w:szCs w:val="18"/>
                <w:color w:val="auto"/>
              </w:rPr>
              <w:t xml:space="preserve">Investments in and advances to investee companies </w:t>
            </w:r>
            <w:r>
              <w:rPr>
                <w:rFonts w:ascii="Arial" w:cs="Arial" w:eastAsia="Arial" w:hAnsi="Arial"/>
                <w:sz w:val="25"/>
                <w:szCs w:val="25"/>
                <w:color w:val="auto"/>
                <w:vertAlign w:val="superscript"/>
              </w:rPr>
              <w:t>(a)</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63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(b)</w:t>
            </w:r>
          </w:p>
        </w:tc>
        <w:tc>
          <w:tcPr>
            <w:tcW w:w="1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63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Acquisitions (including acquired television library), net of cash acquired </w:t>
            </w:r>
            <w:r>
              <w:rPr>
                <w:rFonts w:ascii="Arial" w:cs="Arial" w:eastAsia="Arial" w:hAnsi="Arial"/>
                <w:sz w:val="25"/>
                <w:szCs w:val="25"/>
                <w:color w:val="auto"/>
                <w:vertAlign w:val="superscript"/>
              </w:rPr>
              <w:t>(c)</w:t>
            </w:r>
          </w:p>
        </w:tc>
        <w:tc>
          <w:tcPr>
            <w:tcW w:w="1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dispositions</w:t>
            </w:r>
          </w:p>
        </w:tc>
        <w:tc>
          <w:tcPr>
            <w:tcW w:w="1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All other investing activities from continuing operations, net</w:t>
            </w:r>
          </w:p>
        </w:tc>
        <w:tc>
          <w:tcPr>
            <w:tcW w:w="1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6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Cash flow used for investing activities from continuing operations</w:t>
            </w:r>
          </w:p>
        </w:tc>
        <w:tc>
          <w:tcPr>
            <w:tcW w:w="1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(523)</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Cash flow used for investing activities from discontinued operations</w:t>
            </w:r>
          </w:p>
        </w:tc>
        <w:tc>
          <w:tcPr>
            <w:tcW w:w="1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Cash flow used for investing activities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(547)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34"/>
        </w:trPr>
        <w:tc>
          <w:tcPr>
            <w:tcW w:w="6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Mainly includes the Company’s investment in The CW as well as its other domestic and international television joint ventures.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for 2019 are anticipated to be approximately $200 million.</w:t>
      </w:r>
    </w:p>
    <w:p>
      <w:pPr>
        <w:spacing w:after="0" w:line="49" w:lineRule="exact"/>
        <w:rPr>
          <w:rFonts w:ascii="Arial" w:cs="Arial" w:eastAsia="Arial" w:hAnsi="Arial"/>
          <w:sz w:val="18"/>
          <w:szCs w:val="18"/>
          <w:color w:val="auto"/>
        </w:rPr>
      </w:pPr>
    </w:p>
    <w:p>
      <w:pPr>
        <w:jc w:val="both"/>
        <w:ind w:left="580" w:hanging="248"/>
        <w:spacing w:after="0" w:line="264" w:lineRule="auto"/>
        <w:tabs>
          <w:tab w:leader="none" w:pos="5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2018 primarily reflects the acquisition of a digital entertainment media company. 2017 primarily reflects the acquisition of Network 10, one of three major commercial broadcast networks in Australia, for approximately $124 million, net of cash acquired, and the acquisition of a television library. 2016 primarily reflects the acquisitions of a sports-focused digital media business and a publishing business.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96520</wp:posOffset>
            </wp:positionV>
            <wp:extent cx="685228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2285" cy="17145"/>
                    </a:xfrm>
                    <a:prstGeom prst="rect">
                      <a:avLst/>
                    </a:prstGeom>
                    <a:noFill/>
                  </pic:spPr>
                </pic:pic>
              </a:graphicData>
            </a:graphic>
          </wp:anchor>
        </w:drawing>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7"/>
        </w:trPr>
        <w:tc>
          <w:tcPr>
            <w:tcW w:w="5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(Repayments of) proceeds from short-term debt borrowings, net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134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1,773</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Repayment of senior notes and debentures</w:t>
            </w:r>
          </w:p>
        </w:tc>
        <w:tc>
          <w:tcPr>
            <w:tcW w:w="134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Repurchase of CBS Corp. Class B Common Stock</w:t>
            </w:r>
          </w:p>
        </w:tc>
        <w:tc>
          <w:tcPr>
            <w:tcW w:w="13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(2,997)</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Proceeds from debt borrowings of CBS Radio</w:t>
            </w:r>
          </w:p>
        </w:tc>
        <w:tc>
          <w:tcPr>
            <w:tcW w:w="134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Repayment of debt borrowings of CBS Radio</w:t>
            </w:r>
          </w:p>
        </w:tc>
        <w:tc>
          <w:tcPr>
            <w:tcW w:w="134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56"/>
        </w:trPr>
        <w:tc>
          <w:tcPr>
            <w:tcW w:w="5740" w:type="dxa"/>
            <w:vAlign w:val="bottom"/>
          </w:tcPr>
          <w:p>
            <w:pPr>
              <w:ind w:left="20"/>
              <w:spacing w:after="0"/>
              <w:rPr>
                <w:sz w:val="20"/>
                <w:szCs w:val="20"/>
                <w:color w:val="auto"/>
              </w:rPr>
            </w:pPr>
            <w:r>
              <w:rPr>
                <w:rFonts w:ascii="Arial" w:cs="Arial" w:eastAsia="Arial" w:hAnsi="Arial"/>
                <w:sz w:val="18"/>
                <w:szCs w:val="18"/>
                <w:color w:val="auto"/>
              </w:rPr>
              <w:t>Payment of payroll taxes in lieu of issuing shares for</w:t>
            </w:r>
          </w:p>
        </w:tc>
        <w:tc>
          <w:tcPr>
            <w:tcW w:w="1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34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All other financing activities, net</w:t>
            </w:r>
          </w:p>
        </w:tc>
        <w:tc>
          <w:tcPr>
            <w:tcW w:w="13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Cash flow used for financing activities</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(921)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34"/>
        </w:trPr>
        <w:tc>
          <w:tcPr>
            <w:tcW w:w="5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Free Cash Flow and Adjusted Free Cash Flow</w:t>
      </w:r>
    </w:p>
    <w:p>
      <w:pPr>
        <w:spacing w:after="0" w:line="1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Free cash flow and adjusted free cash flow are non-GAAP financial measures. Free cash flow reflects the Company’s net cash flow provided by (used for) operating activities before operating cash flow from discontinued operations, and less capital expenditures; and adjusted free cash flow reflects the Company’s net cash flow provided by (used for) operating activities before operating cash flow from discontinued operations and discretionary contributions to prefund the Company’s pension plans, and less capital expenditures. The Company’s calculations of free cash flow and adjusted free cash flow include capital expenditures because investment in capital expenditures is a use of cash that is directly related to the Company’s operations. Adjusted free cash flow excludes discretionary contributions to prefund the Company’s pension plans because management assesses the Company’s ability to generate operating cash flows without considering the impact from discretionary pension contributions, and decisions regarding the timing of pension plan funding are not dependent on the level of operating cash flows generated during the period. The Company’s net cash flow provided by (used for) operating activities is the most directly comparable GAAP financial measure.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II-35</w:t>
      </w:r>
    </w:p>
    <w:p>
      <w:pPr>
        <w:sectPr>
          <w:pgSz w:w="11900" w:h="16838" w:orient="portrait"/>
          <w:cols w:equalWidth="0" w:num="1">
            <w:col w:w="11420"/>
          </w:cols>
          <w:pgMar w:left="240" w:top="576"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Management believes free cash flow and adjusted free cash flow provide investors with an important perspective on the cash available to the Company to service debt, make strategic acquisitions and investments, maintain its capital assets, satisfy its tax obligations, and fund ongoing operations and working capital needs. As a result, free cash flow and adjusted free cash flow are significant measures of the Company’s ability to generate long-term value. It is useful for investors to know whether this ability is being enhanced or degraded as a result of the Company’s operating performance. The Company believes the presentation of free cash flow and adjusted free cash flow is relevant and useful for investors because it allows investors to evaluate the cash generated from the Company’s underlying operations in a manner similar to the method used by management. Free cash flow and adjusted free cash flow are among several components of incentive compensation targets for certain management personnel. In addition, free cash flow and adjusted free cash flow are primary measures used externally by the Company’s investors, analysts and industry peers for purposes of valuation and comparison of the Company’s operating performance to other companies in its industry.</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As free cash flow and adjusted free cash flow are not measures calculated in accordance with GAAP, free cash flow and adjusted free cash flow should not be considered in isolation of, or as a substitute for, either net cash flow provided by (used for) operating activities as a measure of liquidity or net earnings (loss) as a measure of operating performance. Free cash flow and adjusted free cash flow, as the Company calculates them, may not be comparable to similarly titled measures employed by other companies. In addition, free cash flow and adjusted free cash flow as measures of liquidity have certain limitations, do not necessarily represent funds available for discretionary use and are not necessarily measures of the Company’s ability to fund its cash needs. When comparing free cash flow and adjusted free cash flow to net cash flow provided by (used for) operating activities, the most directly comparable GAAP financial measure, users of this financial information should consider the types of events and transactions that are not reflected in free cash flow or adjusted free cash flow.</w:t>
      </w:r>
    </w:p>
    <w:p>
      <w:pPr>
        <w:spacing w:after="0" w:line="18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following table presents a reconciliation of the Company’s net cash flow provided by operating activities to free cash flow and 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157480</wp:posOffset>
            </wp:positionV>
            <wp:extent cx="67748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64"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flow provided by operating activities</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887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1,685</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Less: Operating cash flow from discontinued operations</w:t>
            </w:r>
          </w:p>
        </w:tc>
        <w:tc>
          <w:tcPr>
            <w:tcW w:w="96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6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6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1,260</w:t>
            </w:r>
          </w:p>
        </w:tc>
        <w:tc>
          <w:tcPr>
            <w:tcW w:w="36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Less: Discretionary pension plan contributions, net of tax of $219 million</w:t>
            </w:r>
          </w:p>
        </w:tc>
        <w:tc>
          <w:tcPr>
            <w:tcW w:w="96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Adjusted free cash flow</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1,260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34"/>
        </w:trPr>
        <w:tc>
          <w:tcPr>
            <w:tcW w:w="6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41"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For the years ended December 31, 2018, 2017 and 2016, the Company declared total per share dividends of $.72, $.72, and $.66, respectively, which resulted in total annual dividends of $274 million, $289 million and $294 million, respectively.</w:t>
      </w:r>
    </w:p>
    <w:p>
      <w:pPr>
        <w:spacing w:after="0" w:line="190"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On January 31, 2019, the Company announced a quarterly cash dividend of $.18 per share on its Class A and Class B Common Stock, payable on April 1,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ectPr>
          <w:pgSz w:w="11900" w:h="16838" w:orient="portrait"/>
          <w:cols w:equalWidth="0" w:num="1">
            <w:col w:w="11420"/>
          </w:cols>
          <w:pgMar w:left="240" w:top="57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14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2018, the Company repurchased 11.5 million shares of CBS Corp. Class B Common Stock under its share repurchase program for $600 million, at an average cost of $52.06 per share. At December 31, 2018, $2.46 billion of authorization remained under the share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Company’s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182245</wp:posOffset>
            </wp:positionV>
            <wp:extent cx="67665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6560" cy="17145"/>
                    </a:xfrm>
                    <a:prstGeom prst="rect">
                      <a:avLst/>
                    </a:prstGeom>
                    <a:noFill/>
                  </pic:spPr>
                </pic:pic>
              </a:graphicData>
            </a:graphic>
          </wp:anchor>
        </w:drawing>
      </w: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6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Senior debt (2.30%-7.875% due 2019-2045)</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9,435</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9,426</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Obligations under capital leases</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6"/>
        </w:trPr>
        <w:tc>
          <w:tcPr>
            <w:tcW w:w="5640" w:type="dxa"/>
            <w:vAlign w:val="bottom"/>
          </w:tcPr>
          <w:p>
            <w:pPr>
              <w:ind w:left="40"/>
              <w:spacing w:after="0" w:line="276"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(a)</w:t>
            </w:r>
          </w:p>
        </w:tc>
        <w:tc>
          <w:tcPr>
            <w:tcW w:w="262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10,152</w:t>
            </w: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10,162</w:t>
            </w:r>
          </w:p>
        </w:tc>
      </w:tr>
      <w:tr>
        <w:trPr>
          <w:trHeight w:val="230"/>
        </w:trPr>
        <w:tc>
          <w:tcPr>
            <w:tcW w:w="5640" w:type="dxa"/>
            <w:vAlign w:val="bottom"/>
          </w:tcPr>
          <w:p>
            <w:pPr>
              <w:ind w:left="160"/>
              <w:spacing w:after="0"/>
              <w:rPr>
                <w:sz w:val="20"/>
                <w:szCs w:val="20"/>
                <w:color w:val="auto"/>
              </w:rPr>
            </w:pPr>
            <w:r>
              <w:rPr>
                <w:rFonts w:ascii="Arial" w:cs="Arial" w:eastAsia="Arial" w:hAnsi="Arial"/>
                <w:sz w:val="18"/>
                <w:szCs w:val="18"/>
                <w:color w:val="auto"/>
              </w:rPr>
              <w:t>Less commercial paper</w:t>
            </w:r>
          </w:p>
        </w:tc>
        <w:tc>
          <w:tcPr>
            <w:tcW w:w="26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0"/>
        </w:trPr>
        <w:tc>
          <w:tcPr>
            <w:tcW w:w="5640" w:type="dxa"/>
            <w:vAlign w:val="bottom"/>
          </w:tcPr>
          <w:p>
            <w:pPr>
              <w:ind w:left="160"/>
              <w:spacing w:after="0"/>
              <w:rPr>
                <w:sz w:val="20"/>
                <w:szCs w:val="20"/>
                <w:color w:val="auto"/>
              </w:rPr>
            </w:pPr>
            <w:r>
              <w:rPr>
                <w:rFonts w:ascii="Arial" w:cs="Arial" w:eastAsia="Arial" w:hAnsi="Arial"/>
                <w:sz w:val="18"/>
                <w:szCs w:val="18"/>
                <w:color w:val="auto"/>
              </w:rPr>
              <w:t>Less current portion of long-term debt</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9,465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9,464</w:t>
            </w:r>
          </w:p>
        </w:tc>
      </w:tr>
      <w:tr>
        <w:trPr>
          <w:trHeight w:val="34"/>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jc w:val="both"/>
        <w:ind w:left="580" w:hanging="248"/>
        <w:spacing w:after="0" w:line="256"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December 31, 2018 and 2017, the senior debt balances included (i) a net unamortized discount of $58 million and $65 million, respectively, (ii) unamortized deferred financing costs of $43 million and $47 million, respectively, and (iii) a decrease in the carrying value of the debt relating to previously settled fair value hedges of $5 million and $3 million, respectively. The face value of the Company’s total debt was $10.26 billion at December 31, 2018 and $10.28 billion at December 31, 2017.</w:t>
      </w:r>
    </w:p>
    <w:p>
      <w:pPr>
        <w:spacing w:after="0" w:line="19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During the year ended December 31, 2017, the Company issued $1.80 billion of senior notes and used the net proceeds for the redemption and repayment of $1.20 billion of senior notes, of which $800 million was redeemed prior to maturity, resulting in a pre-tax loss on early extinguishment of debt of $49 million ($31 million, net of tax). The remaining proceeds were used for general corporate purposes, including discretionary contributions to the Company’s qualified pension plans and the repayment of short-term borrowings, including commercial paper.</w:t>
      </w:r>
    </w:p>
    <w:p>
      <w:pPr>
        <w:spacing w:after="0" w:line="1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the Company classified $600 million of debt maturing in August 2019 as long-term debt on the Consolidated Balance Sheet, reflecting its intent and ability to refinance this debt on a long-term basis.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the Company’s scheduled maturities of long-term debt at face value, excluding capital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110490</wp:posOffset>
            </wp:positionV>
            <wp:extent cx="65347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2024 and</w:t>
            </w:r>
          </w:p>
        </w:tc>
      </w:tr>
      <w:tr>
        <w:trPr>
          <w:trHeight w:val="270"/>
        </w:trPr>
        <w:tc>
          <w:tcPr>
            <w:tcW w:w="2280" w:type="dxa"/>
            <w:vAlign w:val="bottom"/>
          </w:tcPr>
          <w:p>
            <w:pPr>
              <w:spacing w:after="0"/>
              <w:rPr>
                <w:sz w:val="23"/>
                <w:szCs w:val="23"/>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3"/>
                <w:szCs w:val="23"/>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3"/>
                <w:szCs w:val="23"/>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2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   600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   300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  1,033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6,907</w:t>
            </w:r>
          </w:p>
        </w:tc>
      </w:tr>
      <w:tr>
        <w:trPr>
          <w:trHeight w:val="34"/>
        </w:trPr>
        <w:tc>
          <w:tcPr>
            <w:tcW w:w="2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Paper</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had outstanding commercial paper borrowings under its $2.50 billion commercial paper program of $674 million and $679 million at December 31, 2018 and 2017, respectively, each with maturities of less than 90 days. The weighted average interest rate for these borrowings was 3.02% and 1.88% at December 31, 2018 and 2017,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ectPr>
          <w:pgSz w:w="11900" w:h="16838" w:orient="portrait"/>
          <w:cols w:equalWidth="0" w:num="1">
            <w:col w:w="11420"/>
          </w:cols>
          <w:pgMar w:left="240" w:top="576"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At December 31, 2018, the Company had a $2.5 billion revolving credit facility (the “Credit Facility”) which expires in June 2021. The Company, at its option, may also borrow in certain foreign currencies up to specified limits under the Credit Facility. Borrowing rates under the Credit Facility are determined at the Company’s option at the time of each borrowing and are based generally on the prime rate in the U.S. or LIBOR plus a margin based on the Company’s senior unsecured debt rating. The Company pays a facility fee based on the total amount of the commitments.</w:t>
      </w:r>
    </w:p>
    <w:p>
      <w:pPr>
        <w:spacing w:after="0" w:line="1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Credit Facility requires the Company to maintain a maximum Consolidated Leverage Ratio of 4.5x at the end of each quarter as further described in the Credit Facility. At December 31, 2018, the Company’s Consolidated Leverage Ratio was approximately 3.1x.</w:t>
      </w:r>
    </w:p>
    <w:p>
      <w:pPr>
        <w:spacing w:after="0" w:line="16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Consolidated Leverage Ratio reflects the ratio of the Company’s indebtedness from continuing operations, adjusted to exclude certain capital lease obligations, at the end of a quarter, to the Company’s Consolidated EBITDA for the trailing four consecutive quarters. Consolidated EBITDA is defined in the Credit Facility as operating income plus interest income and before depreciation, amortization and certain other noncash items.</w:t>
      </w:r>
    </w:p>
    <w:p>
      <w:pPr>
        <w:spacing w:after="0" w:line="2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Credit Facility is used for general corporate purposes. At December 31, 2018, the Company had no borrowings outstanding under the Credit Facility and the remaining availability under the Credit Facility, net of outstanding letters of credit, was $2.49 billion.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4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The Company continually projects anticipated cash requirements for its operating, investing and financing needs as well as cash flows generated from operating activities available to meet these needs. The Company’s operating needs include, among other items, commitments for sports programming rights, television and film programming, talent contracts, operating leases, interest payments, and pension funding obligations. The Company’s investing and financing spending includes capital expenditures, share repurchases, dividends and principal payments on its outstanding indebtedness. The Company believes that its operating cash flows, cash and cash equivalents, borrowing capacity under its Credit Facility, which had $2.49 billion of remaining availability at December 31, 2018, and access to capital markets are sufficient to fund its operating, investing and financing requirements for the next twelve months.</w:t>
      </w:r>
    </w:p>
    <w:p>
      <w:pPr>
        <w:spacing w:after="0" w:line="19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Company’s funding for short-term and long-term obligations will come primarily from cash flows from operating activities. Any additional cash funding requirements are financed with short-term borrowings, including commercial paper, and long-term debt. To the extent that commercial paper is not available to the Company, the existing Credit Facility provides sufficient capacity to satisfy short-term borrowing needs. The Company routinely assesses its capital structure and opportunistically enters into transactions to lower its interest expense, which could result in a charge from the early extinguishment of debt.</w:t>
      </w:r>
    </w:p>
    <w:p>
      <w:pPr>
        <w:spacing w:after="0" w:line="20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Funding for the Company’s long-term debt obligations due over the next five years of $2.63 billion is expected to come from the Company’s ability to refinance its debt and cash generated from operating activities.</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December 31, 2018, the Company had $2.46 billion of remaining availability under its share repurchase program. Share repurchases under the program are expected to be funded by cash flows from operations and, as appropriate, with short-term borrowings, including commercial paper, and/or the issuance of long-term debt.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ectPr>
          <w:pgSz w:w="11900" w:h="16838" w:orient="portrait"/>
          <w:cols w:equalWidth="0" w:num="1">
            <w:col w:w="11420"/>
          </w:cols>
          <w:pgMar w:left="240" w:top="57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As of December 31, 2018, payments due by period under the Company’s significant contractual obligations with remaining terms in excess of one year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08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Payments Due by Period</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 and</w:t>
            </w:r>
          </w:p>
        </w:tc>
      </w:tr>
      <w:tr>
        <w:trPr>
          <w:trHeight w:val="270"/>
        </w:trPr>
        <w:tc>
          <w:tcPr>
            <w:tcW w:w="4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3"/>
                <w:szCs w:val="23"/>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2020-2021</w:t>
            </w:r>
          </w:p>
        </w:tc>
        <w:tc>
          <w:tcPr>
            <w:tcW w:w="3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2022-2023</w:t>
            </w:r>
          </w:p>
        </w:tc>
        <w:tc>
          <w:tcPr>
            <w:tcW w:w="32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4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6"/>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Programming and talent commitments </w:t>
            </w:r>
            <w:r>
              <w:rPr>
                <w:rFonts w:ascii="Arial" w:cs="Arial" w:eastAsia="Arial" w:hAnsi="Arial"/>
                <w:sz w:val="21"/>
                <w:szCs w:val="21"/>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8,982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3,819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889</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795</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1"/>
                <w:szCs w:val="21"/>
                <w:color w:val="auto"/>
                <w:vertAlign w:val="superscript"/>
              </w:rPr>
              <w:t>(c)</w:t>
            </w:r>
          </w:p>
        </w:tc>
        <w:tc>
          <w:tcPr>
            <w:tcW w:w="2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1,101</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465</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1"/>
                <w:szCs w:val="21"/>
                <w:color w:val="auto"/>
                <w:vertAlign w:val="superscript"/>
              </w:rPr>
              <w:t>(d)</w:t>
            </w:r>
          </w:p>
        </w:tc>
        <w:tc>
          <w:tcPr>
            <w:tcW w:w="2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9,540</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1,733</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6,907</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Interest commitments on long-term debt </w:t>
            </w:r>
            <w:r>
              <w:rPr>
                <w:rFonts w:ascii="Arial" w:cs="Arial" w:eastAsia="Arial" w:hAnsi="Arial"/>
                <w:sz w:val="21"/>
                <w:szCs w:val="21"/>
                <w:color w:val="auto"/>
                <w:vertAlign w:val="superscript"/>
              </w:rPr>
              <w:t>(e)</w:t>
            </w:r>
          </w:p>
        </w:tc>
        <w:tc>
          <w:tcPr>
            <w:tcW w:w="2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4,716</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773</w:t>
            </w:r>
          </w:p>
        </w:tc>
        <w:tc>
          <w:tcPr>
            <w:tcW w:w="38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2,847</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 xml:space="preserve">Capital lease obligations (including interest) </w:t>
            </w:r>
            <w:r>
              <w:rPr>
                <w:rFonts w:ascii="Arial" w:cs="Arial" w:eastAsia="Arial" w:hAnsi="Arial"/>
                <w:sz w:val="21"/>
                <w:szCs w:val="21"/>
                <w:color w:val="auto"/>
                <w:vertAlign w:val="superscript"/>
              </w:rPr>
              <w:t>(f)</w:t>
            </w:r>
          </w:p>
        </w:tc>
        <w:tc>
          <w:tcPr>
            <w:tcW w:w="24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Other long-term contractual obligations </w:t>
            </w:r>
            <w:r>
              <w:rPr>
                <w:rFonts w:ascii="Arial" w:cs="Arial" w:eastAsia="Arial" w:hAnsi="Arial"/>
                <w:sz w:val="21"/>
                <w:szCs w:val="21"/>
                <w:color w:val="auto"/>
                <w:vertAlign w:val="superscript"/>
              </w:rPr>
              <w:t>(g)</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1,469</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929</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26,650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6,513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4,997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11,397</w:t>
            </w:r>
          </w:p>
        </w:tc>
      </w:tr>
      <w:tr>
        <w:trPr>
          <w:trHeight w:val="34"/>
        </w:trPr>
        <w:tc>
          <w:tcPr>
            <w:tcW w:w="4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420" w:hanging="250"/>
        <w:spacing w:after="0" w:line="264" w:lineRule="auto"/>
        <w:tabs>
          <w:tab w:leader="none" w:pos="42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Programming and talent commitments of the Company primarily include $6.62 billion for sports programming rights, $1.71 billion relating to the production and licensing of television and film programming, and $660 million for talent contracts.</w:t>
      </w:r>
    </w:p>
    <w:p>
      <w:pPr>
        <w:ind w:left="420" w:right="20" w:hanging="250"/>
        <w:spacing w:after="0" w:line="264" w:lineRule="auto"/>
        <w:tabs>
          <w:tab w:leader="none" w:pos="4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and legally binding and that specify all significant terms, including open purchase orders.</w:t>
      </w:r>
    </w:p>
    <w:p>
      <w:pPr>
        <w:ind w:left="400" w:hanging="230"/>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long-term noncancellable operating lease commitments for office space, equipment, transponders and studio facilities.</w:t>
      </w:r>
    </w:p>
    <w:p>
      <w:pPr>
        <w:spacing w:after="0" w:line="32" w:lineRule="exact"/>
        <w:rPr>
          <w:rFonts w:ascii="Arial" w:cs="Arial" w:eastAsia="Arial" w:hAnsi="Arial"/>
          <w:sz w:val="16"/>
          <w:szCs w:val="16"/>
          <w:color w:val="auto"/>
        </w:rPr>
      </w:pPr>
    </w:p>
    <w:p>
      <w:pPr>
        <w:ind w:left="400" w:hanging="230"/>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debt obligations are presented at face value, excluding capital leases.</w:t>
      </w:r>
    </w:p>
    <w:p>
      <w:pPr>
        <w:spacing w:after="0" w:line="32" w:lineRule="exact"/>
        <w:rPr>
          <w:rFonts w:ascii="Arial" w:cs="Arial" w:eastAsia="Arial" w:hAnsi="Arial"/>
          <w:sz w:val="16"/>
          <w:szCs w:val="16"/>
          <w:color w:val="auto"/>
        </w:rPr>
      </w:pPr>
    </w:p>
    <w:p>
      <w:pPr>
        <w:ind w:left="400" w:hanging="230"/>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Future interest based on scheduled debt maturities, excluding capital leases.</w:t>
      </w:r>
    </w:p>
    <w:p>
      <w:pPr>
        <w:spacing w:after="0" w:line="32" w:lineRule="exact"/>
        <w:rPr>
          <w:rFonts w:ascii="Arial" w:cs="Arial" w:eastAsia="Arial" w:hAnsi="Arial"/>
          <w:sz w:val="16"/>
          <w:szCs w:val="16"/>
          <w:color w:val="auto"/>
        </w:rPr>
      </w:pPr>
    </w:p>
    <w:p>
      <w:pPr>
        <w:ind w:left="380" w:hanging="21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capital leases for satellite transponders.</w:t>
      </w:r>
    </w:p>
    <w:p>
      <w:pPr>
        <w:spacing w:after="0" w:line="32" w:lineRule="exact"/>
        <w:rPr>
          <w:rFonts w:ascii="Arial" w:cs="Arial" w:eastAsia="Arial" w:hAnsi="Arial"/>
          <w:sz w:val="16"/>
          <w:szCs w:val="16"/>
          <w:color w:val="auto"/>
        </w:rPr>
      </w:pPr>
    </w:p>
    <w:p>
      <w:pPr>
        <w:jc w:val="both"/>
        <w:ind w:left="420" w:hanging="250"/>
        <w:spacing w:after="0" w:line="261" w:lineRule="auto"/>
        <w:tabs>
          <w:tab w:leader="none" w:pos="4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long-term contractual obligations recorded on the Company’s Consolidated Balance Sheet, including program liabilities; participations due to producers; residuals; and a tax liability resulting from the enactment of the Tax Reform Act in December 2017. This tax liability reflects the estimated tax on the Company’s historical accumulated foreign earnings and profits, which is payable to the IRS over eight years.</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table above excludes $266 million of reserves for uncertain tax positions and the related accrued interest and penalties, as the Company cannot reasonably predict the amount of and timing of cash payments relating to this obligation.</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2019, the Company expects to make contributions of approximately $60 million to its non-qualified pension plans to satisfy the benefit payments due under these plans. Also in 2019, the Company expects to contribute approximately $48 million to its other postretirement benefit plans to satisfy the Company’s portion of benefit payments due under these plans.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has indemnification obligations with respect to letters of credit and surety bonds primarily used as security against non-performance in the normal course of business. At December 31, 2018, the outstanding letters of credit and surety bonds approximated $100 million and were not recorded on the Consolidated Balance Sheet.</w:t>
      </w:r>
    </w:p>
    <w:p>
      <w:pPr>
        <w:spacing w:after="0" w:line="2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and reasonably estimable.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ectPr>
          <w:pgSz w:w="11900" w:h="16838" w:orient="portrait"/>
          <w:cols w:equalWidth="0" w:num="1">
            <w:col w:w="11420"/>
          </w:cols>
          <w:pgMar w:left="240" w:top="57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4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The preparation of the Company’s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revenues and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 Company considers the following accounting policies to be the most critical as they are important to the Company’s financial condition and results of operations, and require significant judgment and estimates on the part of management in its application. For a summary of the Company’s significant accounting policies see the accompanying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Programming and Production Costs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Accounting for the Company’s television production costs requires management’s judgment as it relates to total estimated revenues to be earned (“Ultimate Revenues”) and costs to be incurred throughout the life of each television program. These estimates are used to determine the amortization of capitalized production costs, expensing of participation costs, and any necessary net realizable value adjustments to capitalized production costs. For each television program, management bases these estimates on the performance in the initial markets, the existence of future firm commitments to sell and the past performance of similar television programs.</w:t>
      </w:r>
    </w:p>
    <w:p>
      <w:pPr>
        <w:spacing w:after="0" w:line="194"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6"/>
          <w:szCs w:val="16"/>
          <w:color w:val="auto"/>
        </w:rPr>
        <w:t>The costs incurred in acquiring television series and feature film programming are capitalized when the program is accepted and available for airing and the costs of programming rights licensed under multi-year sports programming agreements are capitalized if the rights payments are made before the related economic benefit has been received. These costs are expensed over the period in which an economic benefit is expected to be derived. The economic benefit is determined based on management’s estimates of revenues to be derived from the programming. Management’s judgment is required in determining the value of the future economic benefit and timing of the expensing of these costs.</w:t>
      </w:r>
    </w:p>
    <w:p>
      <w:pPr>
        <w:spacing w:after="0" w:line="14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Ultimate revenue estimates for internally produced television programming, and the estimated economic benefit for acquired programming, which includes television series, feature films and sports, are updated regularly based on information available as the television program or film progresses through its life cycle or contractual term. Overestimating Ultimate Revenues for internally produced programming or a failure to adjust for a downward revision in the estimated economic benefit to be generated from acquired programming could result in the understatement of the amortization of capitalized production or programming costs, future net realizable value adjustments and/or estimated accruals for participation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Company performs a fair value-based impairment test of goodwill and intangible assets with indefinite lives, comprised of television FCC licenses and international broadcast licenses, annually during the fourth quarter and also between annual tests if an event occurs or if circumstances change that would more likely than not reduce the fair value of a reporting unit or an indefinite-lived intangible asset below its carrying value.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ectPr>
          <w:pgSz w:w="11900" w:h="16838" w:orient="portrait"/>
          <w:cols w:equalWidth="0" w:num="1">
            <w:col w:w="11420"/>
          </w:cols>
          <w:pgMar w:left="240" w:top="57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FCC licenses are tested for impairment at the geographic market level. The Company considers each geographic market, which is comprised of all of the Company’s television stations within that geographic market, to be a single unit of accounting because the FCC licenses at this level represent their highest and best use. At December 31, 2018 the Company had 14 television markets with FCC license book values. For international broadcast licenses, the Company considers all of its broadcast licenses within a country to be a single unit of accounting because the international broadcast licenses at this level represent their highest and best use. At December 31, 2018, the Company had international broadcast licenses in Australia.</w:t>
      </w:r>
    </w:p>
    <w:p>
      <w:pPr>
        <w:spacing w:after="0" w:line="21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Goodwill is tested for impairment at the reporting unit level. During the fourth quarter of 2018, the Company began including CBS Sports Network within the Television reporting unit, which is a component of the Entertainment operating segment, reflecting changes in management structure and the integration of CBS Sports Network programming with the CBS Television Network. Prior to this change, CBS Sports Network was a standalone reporting unit and a component of the Cable Networks operating segment. At December 31, 2018, the Company had seven reporting units with goodwill balances, each one level below their respective operating segments, except for the Cable Networks reporting unit and the Publishing reporting unit, which are each the same as their respective operating segments because these operating segments each have only one component.</w:t>
      </w:r>
    </w:p>
    <w:p>
      <w:pPr>
        <w:spacing w:after="0" w:line="2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Television FCC Licenses and International Broadcast Licenses- </w:t>
      </w:r>
      <w:r>
        <w:rPr>
          <w:rFonts w:ascii="Arial" w:cs="Arial" w:eastAsia="Arial" w:hAnsi="Arial"/>
          <w:sz w:val="18"/>
          <w:szCs w:val="18"/>
          <w:color w:val="auto"/>
        </w:rPr>
        <w:t>For its annual impairment test, the Company performs qualitative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for each market or country that management estimates the FCC licenses or international broadcast licenses have an aggregate fair value that significantly exceed their respective carrying values. In selecting markets or international broadcast licenses for a qualitative assessment, the Company also considers the duration of time since a quantitative test was performed. For the 2018 annual impairment test, the Company performed qualitative assessments for all 14 of its U.S. television markets. For each of these markets, the Company weighed the relative impact of market-specific and macroeconomic factors. The market-specific factors considered include recent projections by geographic market from both independent and internal sources for revenue and operating costs, as well as market share and capital expenditures. The Company also considered the macroeconomic impact on discount rates and growth rates, as well as the impact from recent tax law changes. Based on the qualitative assessments, considering the aggregation of the relevant factors, the Company concluded that it is not more likely than not that the fair values of the FCC licenses in each of these television markets are less than their respective carrying values. Therefore, performing the quantitative impairment test was unnecessary.</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9"/>
          <w:szCs w:val="19"/>
          <w:color w:val="auto"/>
        </w:rPr>
        <w:t>For 2018, the Company performed a quantitative impairment test for international broadcast licenses. A quantitative impairment test compares the estimated fair value of the licenses with their carrying value. The estimated fair value is computed using the Greenfield Discounted Cash Flow Method (‘‘Greenfield Method’’), which attempts to isolate the income that is attributable to the license alone. The Greenfield Method is based upon modeling a hypothetical start-up station and building it up to a normalized operation that, by design, lacks inherent goodwill and whose other assets have essentially been added as part of the build-up process. The Greenfield Method adds the present value of the estimated annual cash flows of the start-up station over a projection period to the residual value at the end of the projection period. The annual cash flows over the projection period include assumptions for overall revenues in the relevant market, the start-up station’s operating costs and capital expenditures, and a five-year build-up period for the start-up station to reach a normalized state of operations, which reflects the point at which it achieves an average market share. The overall revenues in the subject market are estimated based on recent industry projections. Operating costs and capital expenditures are estimated based on both industry and internal data. The residual value is calculated using a perpetual nominal growth rate, which is based on projected long-range inflation and long-term industry projections. The discount rate is determined based on the risk of achieving the projected cash flows, including the risk applicable to the industry and the market as a whole. The discount rate and perpetual nominal growth rate used for international broadcast licenses for 2018 were 11% and 0.5%, respectively. The Company concluded that the estimated fair value of international broadcast licenses, which were recorded at fair value in the fourth quarter of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ectPr>
          <w:pgSz w:w="11900" w:h="16838" w:orient="portrait"/>
          <w:cols w:equalWidth="0" w:num="1">
            <w:col w:w="11420"/>
          </w:cols>
          <w:pgMar w:left="240" w:top="57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2017 when the Company acquired Network 10, continues to approximate the carrying value and therefore no impairment charge was required.</w:t>
      </w:r>
    </w:p>
    <w:p>
      <w:pPr>
        <w:spacing w:after="0" w:line="2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auto"/>
        </w:rPr>
        <w:t>The estimated fair values of the FCC licenses and international broadcast licenses are highly dependent on the assumptions of future economic conditions in the individual geographic markets in which the Company owns and operates television stations. Certain future events and circumstances, including deterioration of market conditions, higher cost of capital, or a decline in the local television advertising marketplace in the U.S. or the advertising marketplace in Australia could result in a downward revision to the Company’s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 A downward revision to the present value of future cash flows could result in impairment and a noncash charge would be required. Such a charge could have a material effect on the Company’s Consolidated Statement of Operations and Consolidated Balance Sheet.</w:t>
      </w:r>
    </w:p>
    <w:p>
      <w:pPr>
        <w:spacing w:after="0" w:line="2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For its annual impairment test, the Company performs qualitative assessments for each reporting unit that management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have fair values that significantly exceed their respective carrying values. For the 2018 annual impairment test, the Company performed qualitative assessments for seven reporting units. For each of these reporting units, the Company weighed the relative impact of factors that are specific to the reporting unit as well as industry and macroeconomic factors. The reporting unit specific factors that were considered included financial performance and changes to the reporting units’ carrying amounts since the most recent impairment tests. For each industry in which the reporting units operate, the Company considered growth projections from independent sources and significant developments or transactions within the industry. The Company also determined that the impact of macroeconomic factors on the discount rates and growth rates used for the most recent impairment tests would not significantly affect the fair value of the reporting units, and that the lower tax rate from recent tax law changes would positively impact the fair value of the reporting units. Based on the qualitative assessments, considering the aggregation of the relevant factors, the Company concluded that for these seven reporting units, it is not more likely than not that the fair value of each reporting unit is less than its respective carrying amount and therefore performing the quantitative impairment test was unnecessary.</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For 2018, the Company performed a quantitative goodwill impairment test for the CBS Sports Network reporting unit prior to the inclusion of this business in the CBS Television reporting unit. The quantitative goodwill impairment test examines whether the carrying value of a reporting unit exceeds its estimated fair value, which is computed based upon the present value of future cash flows (“Discounted Cash Flow Method”) and the traded or transaction values of comparable businesses (“Market Comparable Method”). If the carrying value exceeds the estimated fair value, an impairment charge is recognized as the amount by which the carrying value exceeds the fair value. For 2018, the Discounted Cash Flow Method and Market Comparable Method for CBS Sports Network resulted in similar estimated fair values. The Discounted Cash Flow Method adds the present value of the estimated annual cash flows over a discrete projection period to the residual value of the business at the end of the projection period. This technique requires the use of significant estimates and assumptions such as growth rates, operating margins, capital expenditures and discount rates. The estimated growth rates, operating margins and capital expenditures for the projection period are based on the Company’s internal forecasts of future performance as well as historical trends. The residual value is estimated based on a perpetual nominal growth rate, which is based on projected long-range inflation and long-term industry projections and for 2018 was 2.0%. The discount rate, which for 2018 was 8.5%, is determined based on the risk of achieving the projected cash flows, including the risk applicable to the industry and the market as a whole.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ectPr>
          <w:pgSz w:w="11900" w:h="16838" w:orient="portrait"/>
          <w:cols w:equalWidth="0" w:num="1">
            <w:col w:w="11420"/>
          </w:cols>
          <w:pgMar w:left="240" w:top="57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For the 2018 annual impairment test the Company concluded that the estimated fair value of the CBS Sports Network reporting unit, which at December 31, 2018 had a goodwill balance of $261 million, exceeded its carrying value by 16% and therefore no impairment charge was required. An increase to the discount rate of 83 basis points, or a decrease to the perpetual nominal growth rate of 135 basis points, assuming no changes to other factors, would cause the fair value of the CBS Sports Network reporting unit to fall below its carrying value.</w:t>
      </w:r>
    </w:p>
    <w:p>
      <w:pPr>
        <w:spacing w:after="0" w:line="17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Certain future events and circumstances, including deterioration of market conditions, higher cost of capital, a decline in the advertising market, a decrease in audience acceptance of programming, a shift by advertisers to competing advertising platforms; and/or changes in consumer behavior could result in changes to the Company’s assumptions and judgments used in its goodwill impairment tests. A downward revision of these assumptions could cause the fair values of the reporting units to fall below their respective carrying values and a noncash impairment charge would be required. Such a charge could have a material effect on the Company’s Consolidated Statement of Operations and Consolidated Balance Sheet.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Reserves and Legal Matters</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Estimates of reserves and liabilities related to legal issues and discontinued businesses, including asbestos and environmental matters, require significant judgments by management. The Company continually evaluates these estimates based on changes in the relevant facts and circumstances and events that may impact estimates. While management believes that the current reserves for matters related to predecessor operations of the Company, including environmental and asbestos, are adequate, there can be no assurance that circumstances will not change in future periods. This belief is based upon many factors and assumptions, including the number of outstanding claims, estimated average cost per claim, the breakdown of claims by disease type, historic claim filings, costs per claim of resolution and the filing of new claims.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Pensions</w:t>
      </w:r>
    </w:p>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the Company’s pension plans’ expected future benefit payments, as determined for the projected benefit obligation. The expected return on plan assets assumption is derived using the current and expected asset allocation of the pension plan assets and considering historical as well as expected returns on various classes of plan assets. As of December 31, 2018, the unrecognized actuarial losses included in accumulated other comprehensive income increased from the prior year-end due primarily to the unfavorable performance of pension plan assets, partially offset by the impact from an increase in the discount rate and the amortization of actuarial losses. A 25 basis point change in the discount rate would result in an estimated change to the projected benefit obligation of approximately $92 million and would not have a material impact on 2019 pension expense. A decrease in the expected rate of return on plan assets would increase pension expense. The estimated impact of a 25 basis point change in the expected rate of return on plan assets is a change of approximately $6 million to 2019 pension expense.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Company is subject to income taxes in both the U.S. and numerous foreign jurisdictions. Significant judgment is required in determining the worldwide provision for income taxes.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A number of years may elapse before a tax return containing tax matters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ectPr>
          <w:pgSz w:w="11900" w:h="16838" w:orient="portrait"/>
          <w:cols w:equalWidth="0" w:num="1">
            <w:col w:w="11420"/>
          </w:cols>
          <w:pgMar w:left="240" w:top="57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which a reserve has been established is audited and finally resolved. For positions taken in a previously filed tax return or expected to be taken in a future tax return, the Company evaluates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The Company is continually audited by U.S. federal and state as well as foreign tax authorities. While it is often difficult to predict the final outcome or the timing of resolution of any particular tax matter, the Company believes that its reserve for uncertain tax positions of $266 million at December 31, 2018 is properly recorded pursuant to the recognition and measurement provisions of FASB guidance for uncertainty in income taxes.</w:t>
      </w:r>
    </w:p>
    <w:p>
      <w:pPr>
        <w:spacing w:after="0" w:line="19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During 2017, as a result of the enactment of the Tax Reform Act on December 22, 2017, the Company recorded a provisional charge of $407 million for the estimated tax impact on the Company’s historical accumulated foreign earnings and profits. This amount was based on the Company’s initial estimate. During 2018, the Company completed its analysis of the provisional amounts and recorded a charge of $15 million to adjust the estimated transition tax on cumulative foreign earnings and profits. In January 2019, the U.S. government issued guidance relating to the transition tax. The Company is currently evaluating the impact of this guidance, which will be recorded in the Company’s consolidated financial statements in the first quarter of 2019. In addition, future guidance issued by federal and state authorities regarding the Tax Reform Act could have an impact on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4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On an ongoing basis, the Company vigorously defends itself in numerous lawsuits and proceedings and responds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and inquiries from federal, state, local and international authorities (collectively, “litigation’’). Litigation may be brought against the Company without merit, is inherently uncertain and always difficult to predict. However, based on its understanding and evaluation of the relevant facts and circumstances, the Company believes that the below-described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Investigation-Related Matters</w:t>
      </w:r>
      <w:r>
        <w:rPr>
          <w:rFonts w:ascii="Arial" w:cs="Arial" w:eastAsia="Arial" w:hAnsi="Arial"/>
          <w:sz w:val="18"/>
          <w:szCs w:val="18"/>
          <w:color w:val="auto"/>
        </w:rPr>
        <w:t>. As announced on August 1, 2018, the Company’s Board of Directors (“Board”) retained two law firms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 full investigation of the allegations in recent press reports about the Company’s former Chairman of the Board, President and Chief Executive Officer, Mr. Leslie Moonves, CBS News and cultural issues at all levels of the Company. On December 17, 2018, the Board announced the completion of the investigation, certain findings of the investigation and the Board’s determination, discussed below, with respect to the termination of Mr. Moonves’s employment. The Company has received subpoenas from the New York County District Attorney’s Office and the New York City Commission on Human Rights regarding the subject matter of this investigation and related matters. The New York State Attorney General’s Office has also requested information about these matters. The Company may receive additional related regulatory and investigative inquiries from these and other entities in the future. The Company is cooperating with these inquiries.</w:t>
      </w:r>
    </w:p>
    <w:p>
      <w:pPr>
        <w:spacing w:after="0" w:line="1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On August 27, 2018 and on October 1, 2018, each of Gene Samit and John Lantz, respectively, filed putative class action 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the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ectPr>
          <w:pgSz w:w="11900" w:h="16838" w:orient="portrait"/>
          <w:cols w:equalWidth="0" w:num="1">
            <w:col w:w="11420"/>
          </w:cols>
          <w:pgMar w:left="240" w:top="576"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Company, certain current and former senior executives and members of the Board. The consolidated action is stated to be on behalf of purchasers of the Company’s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w:t>
      </w:r>
    </w:p>
    <w:p>
      <w:pPr>
        <w:spacing w:after="0" w:line="21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i w:val="1"/>
          <w:iCs w:val="1"/>
          <w:color w:val="auto"/>
        </w:rPr>
        <w:t>Separation Agreement</w:t>
      </w:r>
      <w:r>
        <w:rPr>
          <w:rFonts w:ascii="Arial" w:cs="Arial" w:eastAsia="Arial" w:hAnsi="Arial"/>
          <w:sz w:val="18"/>
          <w:szCs w:val="18"/>
          <w:color w:val="auto"/>
        </w:rPr>
        <w:t>. On September 9, 2018, the Company entered into a separation and settlement agreement and releases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Agreement”) with Mr. Leslie Moonves, pursuant to which Mr. Moonves resigned as a director and as Chairman of the Board, President and Chief Executive Officer of the Company. Pursuant to the Separation Agreement, the Company is contributing the aggregate amount of $20 million toward various charitable organizations that support the #MeToo movement and equality for women in the workplace, which organizations were mutually agreed by the Company and Mr. Moonves. The Company has recorded the contribution of $20 million in “Restructuring and other corporate matters” on the Consolidated Statements of Operations for the year ended December 31, 2018. In October 2018, the Company contributed $120 million to a grantor trust. On December 17, 2018, the Board announced that, following its consideration of the findings of the investigation referred to above, it had determined that there were grounds to terminate Mr. Moonves’s employment for cause under his employment agreement with the Company. Any dispute related to the Board’s determination is subject to binding arbitration as set forth in the Separation Agreement. On January 16, 2019, Mr. Moonves notified the Company of his election to demand binding arbitration with respect to this matter and the related Board investigation. The assets of the grantor trust will remain in the trust until a final determination in the arbitration. The Company is currently unable to determine the outcome of the arbitration and the amount, if any, that may be awarded thereunder and, accordingly, no accrual has been made for this matter in the Company’s consolidated financial statements.</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i w:val="1"/>
          <w:iCs w:val="1"/>
          <w:color w:val="auto"/>
        </w:rPr>
        <w:t xml:space="preserve">Claims Related to Former Businesses: Asbestos. </w:t>
      </w:r>
      <w:r>
        <w:rPr>
          <w:rFonts w:ascii="Arial" w:cs="Arial" w:eastAsia="Arial" w:hAnsi="Arial"/>
          <w:sz w:val="18"/>
          <w:szCs w:val="18"/>
          <w:color w:val="auto"/>
        </w:rPr>
        <w:t>The Company is a defendant in lawsuits claiming various personal injuries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asbestos and other materials, which 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most commonly relate to allegations of exposure to asbestos-containing insulating material used in conjunction with turbines.</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that some jurisdictions have established for claimants who allege minimal or no impairment. As of December 31, 2018, the Company had pending approximately 31,570 asbestos claims, as compared with approximately 31,660 as of December 31, 2017 and 33,610 as of December 31, 2016. During 2018, the Company received approximately 3,290 new claims and closed or moved to an inactive docket approximately 3,380 claims. The Company reports claims as closed when it becomes aware that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ectPr>
          <w:pgSz w:w="11900" w:h="16838" w:orient="portrait"/>
          <w:cols w:equalWidth="0" w:num="1">
            <w:col w:w="11420"/>
          </w:cols>
          <w:pgMar w:left="240" w:top="576"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dismissal order has been entered by a court or when the Company has reached agreement with the claimants on the material terms of a settlement. Settlement costs depend on the seriousness of the injuries that form the basis of the claims, the quality of evidence supporting the claims and other factors. The Company’s total costs for the years 2018 and 2017 for settlement and defense of asbestos claims after insurance recoveries and net of tax were approximately $45 million and $57 million, respectively. The Company’s costs for settlement and defense of asbestos claims may vary year to year and insurance proceeds are not always recovered in the same period as the insured portion of the expenses.</w:t>
      </w:r>
    </w:p>
    <w:p>
      <w:pPr>
        <w:spacing w:after="0" w:line="19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the Company are non-cancer claims. The Company believes that its reserves and insurance are adequate to cover its asbestos liabilities. This belief is based upon many factors and assumptions, including the number of outstanding claims, estimated average cost per claim, the breakdown of claims by disease type, historic claim filings, costs per claim of resolution and the filing of new claims. While the number of asbestos claims filed against the Company has remained generally flat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i w:val="1"/>
          <w:iCs w:val="1"/>
          <w:color w:val="auto"/>
        </w:rPr>
        <w:t xml:space="preserve">Other. </w:t>
      </w:r>
      <w:r>
        <w:rPr>
          <w:rFonts w:ascii="Arial" w:cs="Arial" w:eastAsia="Arial" w:hAnsi="Arial"/>
          <w:sz w:val="19"/>
          <w:szCs w:val="19"/>
          <w:color w:val="auto"/>
        </w:rPr>
        <w:t>The Company from time to time receives claims from federal and state environmental regulatory agencies and other entities</w:t>
      </w:r>
      <w:r>
        <w:rPr>
          <w:rFonts w:ascii="Arial" w:cs="Arial" w:eastAsia="Arial" w:hAnsi="Arial"/>
          <w:sz w:val="19"/>
          <w:szCs w:val="19"/>
          <w:i w:val="1"/>
          <w:iCs w:val="1"/>
          <w:color w:val="auto"/>
        </w:rPr>
        <w:t xml:space="preserve"> </w:t>
      </w:r>
      <w:r>
        <w:rPr>
          <w:rFonts w:ascii="Arial" w:cs="Arial" w:eastAsia="Arial" w:hAnsi="Arial"/>
          <w:sz w:val="19"/>
          <w:szCs w:val="19"/>
          <w:color w:val="auto"/>
        </w:rPr>
        <w:t>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 Company is exposed to fluctuations in foreign currency exchange rates and interest rates and uses derivative financial instruments to manage this exposure. In accordance with its policy, the Company does not use derivative instruments unless there is an underlying exposure and, therefore, the Company does not hold or enter into derivative financial instruments for speculative trading purposes.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Exchange Risk</w:t>
      </w:r>
    </w:p>
    <w:p>
      <w:pPr>
        <w:spacing w:after="0" w:line="1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The Company conducts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the Company designates forward contracts used to hedge committed and forecasted foreign currency transactions as cash flow hedges. Gains or losses on the effective portion of designated cash flow hedges are initially recorded in other comprehensive income (loss) and reclassified to the statement of operations when the hedged item is recognized. Additionally, the Company enters into non-designated forward contracts to hedge non-U.S. dollar denominated cash flows. The change in fair value of the non-designated contracts is included in “Other items, net” in the Consolidated Statements of Operations. The Company manages the use of foreign exchange derivatives centrally.</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and 2017, the notional amount of all foreign currency contracts was $325 million and $410 million, respectively, which represents hedges of expected foreign currency cash flows.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ectPr>
          <w:pgSz w:w="11900" w:h="16838" w:orient="portrait"/>
          <w:cols w:equalWidth="0" w:num="1">
            <w:col w:w="11420"/>
          </w:cols>
          <w:pgMar w:left="240" w:top="57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Risk</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 did not have any interest rate swaps outstanding at December 31, 2018 or December 31, 2017 but in the future may use derivatives to manage its exposure to interest rates.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Risk</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continually monitors its positions with, and credit quality of, the financial institutions that are counterparties to its financial instruments. The Company is exposed to credit loss in the event of nonperformance by the counterparties to the agreements. However, the Company does not anticipate nonperformance by the counterparties.</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Company’s receivables do not represent significant concentrations of credit risk at December 31, 2018 or 2017, due to the wide variety of customers, markets and geographic areas to which the Company’s products and services are sold.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For a discussion of related parties, see Note 6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 and Accounting Pronouncements Not Yet Adopted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See Note 1 to the consolidated financial statements.</w:t>
      </w:r>
    </w:p>
    <w:p>
      <w:pPr>
        <w:spacing w:after="0" w:line="29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249" w:lineRule="exact"/>
        <w:rPr>
          <w:sz w:val="20"/>
          <w:szCs w:val="20"/>
          <w:color w:val="auto"/>
        </w:rPr>
      </w:pPr>
    </w:p>
    <w:p>
      <w:pPr>
        <w:ind w:right="240" w:firstLine="324"/>
        <w:spacing w:after="0" w:line="260" w:lineRule="auto"/>
        <w:rPr>
          <w:sz w:val="20"/>
          <w:szCs w:val="20"/>
          <w:color w:val="auto"/>
        </w:rPr>
      </w:pPr>
      <w:r>
        <w:rPr>
          <w:rFonts w:ascii="Arial" w:cs="Arial" w:eastAsia="Arial" w:hAnsi="Arial"/>
          <w:sz w:val="20"/>
          <w:szCs w:val="20"/>
          <w:color w:val="auto"/>
        </w:rPr>
        <w:t>Information required by this item is presented in “Item 7. Management’s Discussion and Analysis of Results of Operations and Financial Condition—Market Risk.”</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ectPr>
          <w:pgSz w:w="11900" w:h="16838" w:orient="portrait"/>
          <w:cols w:equalWidth="0" w:num="1">
            <w:col w:w="11420"/>
          </w:cols>
          <w:pgMar w:left="240" w:top="576" w:right="239" w:bottom="1440" w:gutter="0" w:footer="0" w:header="0"/>
        </w:sectPr>
      </w:pPr>
    </w:p>
    <w:bookmarkStart w:id="80" w:name="page81"/>
    <w:bookmarkEnd w:id="80"/>
    <w:p>
      <w:pPr>
        <w:ind w:left="80"/>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INDEX TO FINANCIAL STATEMENTS AND SCHEDULE</w:t>
      </w:r>
    </w:p>
    <w:p>
      <w:pPr>
        <w:spacing w:after="0" w:line="276" w:lineRule="exact"/>
        <w:rPr>
          <w:sz w:val="20"/>
          <w:szCs w:val="20"/>
          <w:color w:val="auto"/>
        </w:rPr>
      </w:pPr>
    </w:p>
    <w:p>
      <w:pPr>
        <w:ind w:right="20" w:firstLine="432"/>
        <w:spacing w:after="0" w:line="260" w:lineRule="auto"/>
        <w:rPr>
          <w:sz w:val="20"/>
          <w:szCs w:val="20"/>
          <w:color w:val="auto"/>
        </w:rPr>
      </w:pPr>
      <w:r>
        <w:rPr>
          <w:rFonts w:ascii="Arial" w:cs="Arial" w:eastAsia="Arial" w:hAnsi="Arial"/>
          <w:sz w:val="20"/>
          <w:szCs w:val="20"/>
          <w:color w:val="auto"/>
        </w:rPr>
        <w:t>The following Consolidated Financial Statements and schedule of the registrant and its subsidiaries are submitted herewith as part of this report:</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9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20"/>
                <w:szCs w:val="20"/>
                <w:color w:val="auto"/>
                <w:w w:val="72"/>
              </w:rPr>
              <w:t>Page</w:t>
            </w:r>
          </w:p>
        </w:tc>
        <w:tc>
          <w:tcPr>
            <w:tcW w:w="0" w:type="dxa"/>
            <w:vAlign w:val="bottom"/>
          </w:tcPr>
          <w:p>
            <w:pPr>
              <w:spacing w:after="0"/>
              <w:rPr>
                <w:sz w:val="1"/>
                <w:szCs w:val="1"/>
                <w:color w:val="auto"/>
              </w:rPr>
            </w:pPr>
          </w:p>
        </w:tc>
      </w:tr>
      <w:tr>
        <w:trPr>
          <w:trHeight w:val="23"/>
        </w:trPr>
        <w:tc>
          <w:tcPr>
            <w:tcW w:w="10000" w:type="dxa"/>
            <w:vAlign w:val="bottom"/>
            <w:gridSpan w:val="10"/>
            <w:vMerge w:val="restart"/>
          </w:tcPr>
          <w:p>
            <w:pPr>
              <w:spacing w:after="0"/>
              <w:rPr>
                <w:sz w:val="20"/>
                <w:szCs w:val="20"/>
                <w:color w:val="auto"/>
              </w:rPr>
            </w:pPr>
            <w:r>
              <w:rPr>
                <w:rFonts w:ascii="Arial" w:cs="Arial" w:eastAsia="Arial" w:hAnsi="Arial"/>
                <w:sz w:val="20"/>
                <w:szCs w:val="20"/>
                <w:color w:val="auto"/>
              </w:rPr>
              <w:t>Item 15(a)(1) Financial Statements:</w:t>
            </w: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0000" w:type="dxa"/>
            <w:vAlign w:val="bottom"/>
            <w:gridSpan w:val="10"/>
            <w:vMerge w:val="continue"/>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r>
              <w:rPr>
                <w:rFonts w:ascii="Arial" w:cs="Arial" w:eastAsia="Arial" w:hAnsi="Arial"/>
                <w:sz w:val="20"/>
                <w:szCs w:val="20"/>
                <w:color w:val="auto"/>
              </w:rPr>
              <w:t>1.</w:t>
            </w:r>
          </w:p>
        </w:tc>
        <w:tc>
          <w:tcPr>
            <w:tcW w:w="5400" w:type="dxa"/>
            <w:vAlign w:val="bottom"/>
            <w:gridSpan w:val="4"/>
          </w:tcPr>
          <w:p>
            <w:pPr>
              <w:spacing w:after="0"/>
              <w:rPr>
                <w:rFonts w:ascii="Arial" w:cs="Arial" w:eastAsia="Arial" w:hAnsi="Arial"/>
                <w:sz w:val="20"/>
                <w:szCs w:val="20"/>
                <w:color w:val="0000EE"/>
                <w:w w:val="90"/>
              </w:rPr>
            </w:pPr>
            <w:hyperlink w:anchor="page82">
              <w:r>
                <w:rPr>
                  <w:rFonts w:ascii="Arial" w:cs="Arial" w:eastAsia="Arial" w:hAnsi="Arial"/>
                  <w:sz w:val="20"/>
                  <w:szCs w:val="20"/>
                  <w:color w:val="0000EE"/>
                  <w:w w:val="90"/>
                </w:rPr>
                <w:t>Management’s Report on Internal Control Over Financial Reporting</w:t>
              </w:r>
            </w:hyperlink>
          </w:p>
        </w:tc>
        <w:tc>
          <w:tcPr>
            <w:tcW w:w="3680" w:type="dxa"/>
            <w:vAlign w:val="bottom"/>
            <w:gridSpan w:val="5"/>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2">
              <w:r>
                <w:rPr>
                  <w:rFonts w:ascii="Arial" w:cs="Arial" w:eastAsia="Arial" w:hAnsi="Arial"/>
                  <w:sz w:val="20"/>
                  <w:szCs w:val="20"/>
                  <w:color w:val="421BFF"/>
                  <w:w w:val="84"/>
                </w:rPr>
                <w:t>49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2.</w:t>
            </w:r>
          </w:p>
        </w:tc>
        <w:tc>
          <w:tcPr>
            <w:tcW w:w="5400" w:type="dxa"/>
            <w:vAlign w:val="bottom"/>
            <w:gridSpan w:val="4"/>
          </w:tcPr>
          <w:p>
            <w:pPr>
              <w:spacing w:after="0"/>
              <w:rPr>
                <w:rFonts w:ascii="Arial" w:cs="Arial" w:eastAsia="Arial" w:hAnsi="Arial"/>
                <w:sz w:val="20"/>
                <w:szCs w:val="20"/>
                <w:color w:val="0000EE"/>
              </w:rPr>
            </w:pPr>
            <w:hyperlink w:anchor="page83">
              <w:r>
                <w:rPr>
                  <w:rFonts w:ascii="Arial" w:cs="Arial" w:eastAsia="Arial" w:hAnsi="Arial"/>
                  <w:sz w:val="20"/>
                  <w:szCs w:val="20"/>
                  <w:color w:val="0000EE"/>
                </w:rPr>
                <w:t>Report of Independent Registered Public Accounting Firm</w:t>
              </w:r>
            </w:hyperlink>
          </w:p>
        </w:tc>
        <w:tc>
          <w:tcPr>
            <w:tcW w:w="3680" w:type="dxa"/>
            <w:vAlign w:val="bottom"/>
            <w:gridSpan w:val="5"/>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3">
              <w:r>
                <w:rPr>
                  <w:rFonts w:ascii="Arial" w:cs="Arial" w:eastAsia="Arial" w:hAnsi="Arial"/>
                  <w:sz w:val="20"/>
                  <w:szCs w:val="20"/>
                  <w:color w:val="421BFF"/>
                  <w:w w:val="84"/>
                </w:rPr>
                <w:t>50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3.</w:t>
            </w:r>
          </w:p>
        </w:tc>
        <w:tc>
          <w:tcPr>
            <w:tcW w:w="9080" w:type="dxa"/>
            <w:vAlign w:val="bottom"/>
            <w:gridSpan w:val="9"/>
          </w:tcPr>
          <w:p>
            <w:pPr>
              <w:spacing w:after="0"/>
              <w:rPr>
                <w:rFonts w:ascii="Arial" w:cs="Arial" w:eastAsia="Arial" w:hAnsi="Arial"/>
                <w:sz w:val="20"/>
                <w:szCs w:val="20"/>
                <w:color w:val="0000EE"/>
              </w:rPr>
            </w:pPr>
            <w:hyperlink w:anchor="page85">
              <w:r>
                <w:rPr>
                  <w:rFonts w:ascii="Arial" w:cs="Arial" w:eastAsia="Arial" w:hAnsi="Arial"/>
                  <w:sz w:val="20"/>
                  <w:szCs w:val="20"/>
                  <w:color w:val="0000EE"/>
                </w:rPr>
                <w:t>Consolidated Statements of Operations for the years ended December 31, 2018, 2017 and 2016</w:t>
              </w:r>
            </w:hyperlink>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5">
              <w:r>
                <w:rPr>
                  <w:rFonts w:ascii="Arial" w:cs="Arial" w:eastAsia="Arial" w:hAnsi="Arial"/>
                  <w:sz w:val="20"/>
                  <w:szCs w:val="20"/>
                  <w:color w:val="421BFF"/>
                  <w:w w:val="84"/>
                </w:rPr>
                <w:t>52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4.</w:t>
            </w:r>
          </w:p>
        </w:tc>
        <w:tc>
          <w:tcPr>
            <w:tcW w:w="8560" w:type="dxa"/>
            <w:vAlign w:val="bottom"/>
            <w:gridSpan w:val="8"/>
          </w:tcPr>
          <w:p>
            <w:pPr>
              <w:spacing w:after="0"/>
              <w:rPr>
                <w:rFonts w:ascii="Arial" w:cs="Arial" w:eastAsia="Arial" w:hAnsi="Arial"/>
                <w:sz w:val="20"/>
                <w:szCs w:val="20"/>
                <w:color w:val="0000EE"/>
                <w:w w:val="88"/>
              </w:rPr>
            </w:pPr>
            <w:hyperlink w:anchor="page86">
              <w:r>
                <w:rPr>
                  <w:rFonts w:ascii="Arial" w:cs="Arial" w:eastAsia="Arial" w:hAnsi="Arial"/>
                  <w:sz w:val="20"/>
                  <w:szCs w:val="20"/>
                  <w:color w:val="0000EE"/>
                  <w:w w:val="88"/>
                </w:rPr>
                <w:t>Consolidated Statements of Comprehensive Income for the years ended December 31, 2018, 2017 and 2016</w:t>
              </w:r>
            </w:hyperlink>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6">
              <w:r>
                <w:rPr>
                  <w:rFonts w:ascii="Arial" w:cs="Arial" w:eastAsia="Arial" w:hAnsi="Arial"/>
                  <w:sz w:val="20"/>
                  <w:szCs w:val="20"/>
                  <w:color w:val="421BFF"/>
                  <w:w w:val="84"/>
                </w:rPr>
                <w:t>53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5.</w:t>
            </w:r>
          </w:p>
        </w:tc>
        <w:tc>
          <w:tcPr>
            <w:tcW w:w="8560" w:type="dxa"/>
            <w:vAlign w:val="bottom"/>
            <w:gridSpan w:val="8"/>
          </w:tcPr>
          <w:p>
            <w:pPr>
              <w:spacing w:after="0"/>
              <w:rPr>
                <w:rFonts w:ascii="Arial" w:cs="Arial" w:eastAsia="Arial" w:hAnsi="Arial"/>
                <w:sz w:val="20"/>
                <w:szCs w:val="20"/>
                <w:color w:val="0000EE"/>
              </w:rPr>
            </w:pPr>
            <w:hyperlink w:anchor="page87">
              <w:r>
                <w:rPr>
                  <w:rFonts w:ascii="Arial" w:cs="Arial" w:eastAsia="Arial" w:hAnsi="Arial"/>
                  <w:sz w:val="20"/>
                  <w:szCs w:val="20"/>
                  <w:color w:val="0000EE"/>
                </w:rPr>
                <w:t>Consolidated Balance Sheets at December 31, 2018 and 2017</w:t>
              </w:r>
            </w:hyperlink>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7">
              <w:r>
                <w:rPr>
                  <w:rFonts w:ascii="Arial" w:cs="Arial" w:eastAsia="Arial" w:hAnsi="Arial"/>
                  <w:sz w:val="20"/>
                  <w:szCs w:val="20"/>
                  <w:color w:val="421BFF"/>
                  <w:w w:val="84"/>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6.</w:t>
            </w:r>
          </w:p>
        </w:tc>
        <w:tc>
          <w:tcPr>
            <w:tcW w:w="9080" w:type="dxa"/>
            <w:vAlign w:val="bottom"/>
            <w:gridSpan w:val="9"/>
          </w:tcPr>
          <w:p>
            <w:pPr>
              <w:spacing w:after="0"/>
              <w:rPr>
                <w:rFonts w:ascii="Arial" w:cs="Arial" w:eastAsia="Arial" w:hAnsi="Arial"/>
                <w:sz w:val="20"/>
                <w:szCs w:val="20"/>
                <w:color w:val="0000EE"/>
              </w:rPr>
            </w:pPr>
            <w:hyperlink w:anchor="page88">
              <w:r>
                <w:rPr>
                  <w:rFonts w:ascii="Arial" w:cs="Arial" w:eastAsia="Arial" w:hAnsi="Arial"/>
                  <w:sz w:val="20"/>
                  <w:szCs w:val="20"/>
                  <w:color w:val="0000EE"/>
                </w:rPr>
                <w:t>Consolidated Statements of Cash Flows for the years ended December 31, 2018, 2017 and 2016</w:t>
              </w:r>
            </w:hyperlink>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88">
              <w:r>
                <w:rPr>
                  <w:rFonts w:ascii="Arial" w:cs="Arial" w:eastAsia="Arial" w:hAnsi="Arial"/>
                  <w:sz w:val="20"/>
                  <w:szCs w:val="20"/>
                  <w:color w:val="421BFF"/>
                  <w:w w:val="84"/>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7.</w:t>
            </w:r>
          </w:p>
        </w:tc>
        <w:tc>
          <w:tcPr>
            <w:tcW w:w="8360" w:type="dxa"/>
            <w:vAlign w:val="bottom"/>
            <w:gridSpan w:val="7"/>
          </w:tcPr>
          <w:p>
            <w:pPr>
              <w:spacing w:after="0"/>
              <w:rPr>
                <w:rFonts w:ascii="Arial" w:cs="Arial" w:eastAsia="Arial" w:hAnsi="Arial"/>
                <w:sz w:val="20"/>
                <w:szCs w:val="20"/>
                <w:color w:val="0000EE"/>
                <w:w w:val="89"/>
              </w:rPr>
            </w:pPr>
            <w:hyperlink w:anchor="page90">
              <w:r>
                <w:rPr>
                  <w:rFonts w:ascii="Arial" w:cs="Arial" w:eastAsia="Arial" w:hAnsi="Arial"/>
                  <w:sz w:val="20"/>
                  <w:szCs w:val="20"/>
                  <w:color w:val="0000EE"/>
                  <w:w w:val="89"/>
                </w:rPr>
                <w:t>Consolidated Statements of Stockholders’ Equity for the years ended December 31, 2018, 2017 and 2016</w:t>
              </w:r>
            </w:hyperlink>
          </w:p>
        </w:tc>
        <w:tc>
          <w:tcPr>
            <w:tcW w:w="72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90">
              <w:r>
                <w:rPr>
                  <w:rFonts w:ascii="Arial" w:cs="Arial" w:eastAsia="Arial" w:hAnsi="Arial"/>
                  <w:sz w:val="20"/>
                  <w:szCs w:val="20"/>
                  <w:color w:val="421BFF"/>
                  <w:w w:val="84"/>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8.</w:t>
            </w:r>
          </w:p>
        </w:tc>
        <w:tc>
          <w:tcPr>
            <w:tcW w:w="3480" w:type="dxa"/>
            <w:vAlign w:val="bottom"/>
          </w:tcPr>
          <w:p>
            <w:pPr>
              <w:spacing w:after="0"/>
              <w:rPr>
                <w:rFonts w:ascii="Arial" w:cs="Arial" w:eastAsia="Arial" w:hAnsi="Arial"/>
                <w:sz w:val="20"/>
                <w:szCs w:val="20"/>
                <w:color w:val="0000EE"/>
                <w:w w:val="88"/>
              </w:rPr>
            </w:pPr>
            <w:hyperlink w:anchor="page91">
              <w:r>
                <w:rPr>
                  <w:rFonts w:ascii="Arial" w:cs="Arial" w:eastAsia="Arial" w:hAnsi="Arial"/>
                  <w:sz w:val="20"/>
                  <w:szCs w:val="20"/>
                  <w:color w:val="0000EE"/>
                  <w:w w:val="88"/>
                </w:rPr>
                <w:t>Notes to Consolidated Financial Statements</w:t>
              </w:r>
            </w:hyperlink>
          </w:p>
        </w:tc>
        <w:tc>
          <w:tcPr>
            <w:tcW w:w="4880" w:type="dxa"/>
            <w:vAlign w:val="bottom"/>
            <w:gridSpan w:val="6"/>
          </w:tcPr>
          <w:p>
            <w:pPr>
              <w:spacing w:after="0"/>
              <w:rPr>
                <w:sz w:val="22"/>
                <w:szCs w:val="22"/>
                <w:color w:val="auto"/>
              </w:rPr>
            </w:pPr>
          </w:p>
        </w:tc>
        <w:tc>
          <w:tcPr>
            <w:tcW w:w="72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91">
              <w:r>
                <w:rPr>
                  <w:rFonts w:ascii="Arial" w:cs="Arial" w:eastAsia="Arial" w:hAnsi="Arial"/>
                  <w:sz w:val="20"/>
                  <w:szCs w:val="20"/>
                  <w:color w:val="421BFF"/>
                  <w:w w:val="84"/>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0000" w:type="dxa"/>
            <w:vAlign w:val="bottom"/>
            <w:gridSpan w:val="10"/>
          </w:tcPr>
          <w:p>
            <w:pPr>
              <w:spacing w:after="0"/>
              <w:rPr>
                <w:sz w:val="20"/>
                <w:szCs w:val="20"/>
                <w:color w:val="auto"/>
              </w:rPr>
            </w:pPr>
            <w:r>
              <w:rPr>
                <w:rFonts w:ascii="Arial" w:cs="Arial" w:eastAsia="Arial" w:hAnsi="Arial"/>
                <w:sz w:val="20"/>
                <w:szCs w:val="20"/>
                <w:color w:val="auto"/>
              </w:rPr>
              <w:t>Item 15(a)(2) Financial Statement Schedule: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7480" w:type="dxa"/>
            <w:vAlign w:val="bottom"/>
            <w:gridSpan w:val="5"/>
          </w:tcPr>
          <w:p>
            <w:pPr>
              <w:spacing w:after="0"/>
              <w:rPr>
                <w:rFonts w:ascii="Arial" w:cs="Arial" w:eastAsia="Arial" w:hAnsi="Arial"/>
                <w:sz w:val="20"/>
                <w:szCs w:val="20"/>
                <w:color w:val="0000EE"/>
                <w:w w:val="89"/>
              </w:rPr>
            </w:pPr>
            <w:hyperlink w:anchor="page149">
              <w:r>
                <w:rPr>
                  <w:rFonts w:ascii="Arial" w:cs="Arial" w:eastAsia="Arial" w:hAnsi="Arial"/>
                  <w:sz w:val="20"/>
                  <w:szCs w:val="20"/>
                  <w:color w:val="0000EE"/>
                  <w:w w:val="89"/>
                </w:rPr>
                <w:t>II. Valuation and Qualifying Accounts for the years ended December 31, 2018, 2017 and 2016</w:t>
              </w:r>
            </w:hyperlink>
          </w:p>
        </w:tc>
        <w:tc>
          <w:tcPr>
            <w:tcW w:w="1600" w:type="dxa"/>
            <w:vAlign w:val="bottom"/>
            <w:gridSpan w:val="4"/>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center"/>
              <w:ind w:right="540"/>
              <w:spacing w:after="0"/>
              <w:rPr>
                <w:rFonts w:ascii="Arial" w:cs="Arial" w:eastAsia="Arial" w:hAnsi="Arial"/>
                <w:sz w:val="20"/>
                <w:szCs w:val="20"/>
                <w:color w:val="421BFF"/>
                <w:w w:val="93"/>
              </w:rPr>
            </w:pPr>
            <w:r>
              <w:rPr>
                <w:rFonts w:ascii="Arial" w:cs="Arial" w:eastAsia="Arial" w:hAnsi="Arial"/>
                <w:sz w:val="20"/>
                <w:szCs w:val="20"/>
                <w:color w:val="421BFF"/>
                <w:w w:val="93"/>
              </w:rPr>
              <w:t>F-</w:t>
            </w:r>
            <w:hyperlink w:anchor="page149">
              <w:r>
                <w:rPr>
                  <w:rFonts w:ascii="Arial" w:cs="Arial" w:eastAsia="Arial" w:hAnsi="Arial"/>
                  <w:sz w:val="20"/>
                  <w:szCs w:val="20"/>
                  <w:color w:val="421BFF"/>
                  <w:w w:val="93"/>
                </w:rPr>
                <w:t>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II-48</w:t>
      </w:r>
    </w:p>
    <w:p>
      <w:pPr>
        <w:sectPr>
          <w:pgSz w:w="11900" w:h="16838" w:orient="portrait"/>
          <w:cols w:equalWidth="0" w:num="1">
            <w:col w:w="11420"/>
          </w:cols>
          <w:pgMar w:left="240" w:top="792"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MANAGEMENT’ S REPORT ON INTERNAL CONTROL OVER FINANCIAL REPORTING</w:t>
      </w:r>
    </w:p>
    <w:p>
      <w:pPr>
        <w:spacing w:after="0" w:line="2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and for the effectiveness of internal control over financial reporting, as such term is defined in Rule 13a-15(f) or Rule 15d-15(f) of the Exchange Act. Our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Management conducted an evaluation of the effectiveness of the Company’s internal control over financial reporting as of December 31, 2018 based on the framework set forth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 Based on this evaluation, management concluded that the Company’s internal control over financial reporting was effective as of December 31, 2018.</w:t>
      </w:r>
    </w:p>
    <w:p>
      <w:pPr>
        <w:spacing w:after="0" w:line="2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31, 2018 has been audited by PricewaterhouseCoopers LLP, an independent registered public accounting firm, as stated in their report which is included herein.</w:t>
      </w:r>
    </w:p>
    <w:p>
      <w:pPr>
        <w:spacing w:after="0" w:line="228"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CBS CORPORATION</w:t>
      </w:r>
    </w:p>
    <w:p>
      <w:pPr>
        <w:spacing w:after="0" w:line="330" w:lineRule="exact"/>
        <w:rPr>
          <w:sz w:val="20"/>
          <w:szCs w:val="20"/>
          <w:color w:val="auto"/>
        </w:rPr>
      </w:pPr>
    </w:p>
    <w:tbl>
      <w:tblPr>
        <w:tblLayout w:type="fixed"/>
        <w:tblInd w:w="5540" w:type="dxa"/>
        <w:tblCellMar>
          <w:top w:w="0" w:type="dxa"/>
          <w:left w:w="0" w:type="dxa"/>
          <w:bottom w:w="0" w:type="dxa"/>
          <w:right w:w="0" w:type="dxa"/>
        </w:tblCellMar>
      </w:tblPr>
      <w:tr>
        <w:trPr>
          <w:trHeight w:val="250"/>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89"/>
              </w:rPr>
              <w:t>/s/ Joseph R. Ianniello</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89"/>
              </w:rPr>
              <w:t>Joseph R. Ianniello</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Acting Chief</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1"/>
              </w:rPr>
              <w:t>Executive Officer</w:t>
            </w:r>
          </w:p>
        </w:tc>
      </w:tr>
      <w:tr>
        <w:trPr>
          <w:trHeight w:val="959"/>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88"/>
              </w:rPr>
              <w:t>/s/ Christina Spade</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88"/>
              </w:rPr>
              <w:t>Christina Spade</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89"/>
              </w:rPr>
              <w:t>Executive Vice President,</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959"/>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91"/>
              </w:rPr>
              <w:t>/s/ Lawrence Liding</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93"/>
              </w:rPr>
              <w:t>Lawrence Liding</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89"/>
              </w:rPr>
              <w:t>Executive Vice President, Controller and</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1"/>
              </w:rPr>
              <w:t>Chief Accounting Officer</w:t>
            </w:r>
          </w:p>
        </w:tc>
      </w:tr>
      <w:tr>
        <w:trPr>
          <w:trHeight w:val="617"/>
        </w:trPr>
        <w:tc>
          <w:tcPr>
            <w:tcW w:w="1540" w:type="dxa"/>
            <w:vAlign w:val="bottom"/>
          </w:tcPr>
          <w:p>
            <w:pPr>
              <w:spacing w:after="0"/>
              <w:rPr>
                <w:sz w:val="20"/>
                <w:szCs w:val="20"/>
                <w:color w:val="auto"/>
              </w:rPr>
            </w:pPr>
            <w:r>
              <w:rPr>
                <w:rFonts w:ascii="Arial" w:cs="Arial" w:eastAsia="Arial" w:hAnsi="Arial"/>
                <w:sz w:val="18"/>
                <w:szCs w:val="18"/>
                <w:color w:val="auto"/>
              </w:rPr>
              <w:t>II-49</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495" w:right="239" w:bottom="1440" w:gutter="0" w:footer="0" w:header="0"/>
        </w:sectPr>
      </w:pPr>
    </w:p>
    <w:bookmarkStart w:id="82" w:name="page83"/>
    <w:bookmarkEnd w:id="82"/>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CBS Corporation: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We have audited the accompanying consolidated balance sheets of CBS Corporation and its subsidiaries (the “Company”) as of December 31, 2018 and 2017, and the related consolidated statements of operations, comprehensive income, stockholders’ equity and cash flows for each of the three years in the period ended December 31, 2018, including the related notes and financial statement schedule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Accounting Principles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As discussed in Note </w:t>
      </w:r>
      <w:r>
        <w:rPr>
          <w:rFonts w:ascii="Arial" w:cs="Arial" w:eastAsia="Arial" w:hAnsi="Arial"/>
          <w:sz w:val="17"/>
          <w:szCs w:val="17"/>
          <w:color w:val="auto"/>
        </w:rPr>
        <w:t>1</w:t>
      </w:r>
      <w:r>
        <w:rPr>
          <w:rFonts w:ascii="Arial" w:cs="Arial" w:eastAsia="Arial" w:hAnsi="Arial"/>
          <w:sz w:val="19"/>
          <w:szCs w:val="19"/>
          <w:color w:val="auto"/>
        </w:rPr>
        <w:t xml:space="preserve"> to the consolidated financial statements, the Company changed the manner in which it accounts for revenues from contracts with customers and the manner in which it accounts for net periodic pension and postretirement benefit cost in 2018.</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ectPr>
          <w:pgSz w:w="11900" w:h="16838" w:orient="portrait"/>
          <w:cols w:equalWidth="0" w:num="1">
            <w:col w:w="11420"/>
          </w:cols>
          <w:pgMar w:left="240" w:top="495" w:right="23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PricewaterhouseCoopers LLP</w:t>
      </w: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15, 2019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or its predecessor’s auditor since 1970.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ectPr>
          <w:pgSz w:w="11900" w:h="16838" w:orient="portrait"/>
          <w:cols w:equalWidth="0" w:num="1">
            <w:col w:w="11420"/>
          </w:cols>
          <w:pgMar w:left="240" w:top="366" w:right="239" w:bottom="1440" w:gutter="0" w:footer="0" w:header="0"/>
        </w:sectPr>
      </w:pPr>
    </w:p>
    <w:bookmarkStart w:id="84" w:name="page85"/>
    <w:bookmarkEnd w:id="84"/>
    <w:p>
      <w:pPr>
        <w:ind w:left="3940"/>
        <w:spacing w:after="0"/>
        <w:rPr>
          <w:sz w:val="20"/>
          <w:szCs w:val="20"/>
          <w:color w:val="auto"/>
        </w:rPr>
      </w:pPr>
      <w:r>
        <w:rPr>
          <w:rFonts w:ascii="Arial" w:cs="Arial" w:eastAsia="Arial" w:hAnsi="Arial"/>
          <w:sz w:val="18"/>
          <w:szCs w:val="18"/>
          <w:b w:val="1"/>
          <w:bCs w:val="1"/>
          <w:color w:val="auto"/>
        </w:rPr>
        <w:t>CBS CORPORATION AND SUBSIDIARIES</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377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14,514</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13,692</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13,166</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9,111</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8,438</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7,956</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2,217</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2,126</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2,054</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 (Note 4)</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Other operating items,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11,746</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10,831</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10,264</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2,768</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2,861</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2,902</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Pension settlement charges (Note 14)</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6960" w:type="dxa"/>
            <w:vAlign w:val="bottom"/>
          </w:tcPr>
          <w:p>
            <w:pPr>
              <w:ind w:left="18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and equity in loss of investee companies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2,289</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1,979</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2,230</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(633)</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1,309</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1,552</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 (Note 17)</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(952)</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1,960</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357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1,261</w:t>
            </w:r>
          </w:p>
        </w:tc>
      </w:tr>
      <w:tr>
        <w:trPr>
          <w:trHeight w:val="34"/>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Basic net earnings (loss) per common share: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3.26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.89</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w:t>
            </w:r>
          </w:p>
        </w:tc>
      </w:tr>
      <w:tr>
        <w:trPr>
          <w:trHeight w:val="405"/>
        </w:trPr>
        <w:tc>
          <w:tcPr>
            <w:tcW w:w="6960" w:type="dxa"/>
            <w:vAlign w:val="bottom"/>
          </w:tcPr>
          <w:p>
            <w:pPr>
              <w:ind w:left="20"/>
              <w:spacing w:after="0"/>
              <w:rPr>
                <w:sz w:val="20"/>
                <w:szCs w:val="20"/>
                <w:color w:val="auto"/>
              </w:rPr>
            </w:pPr>
            <w:r>
              <w:rPr>
                <w:rFonts w:ascii="Arial" w:cs="Arial" w:eastAsia="Arial" w:hAnsi="Arial"/>
                <w:sz w:val="18"/>
                <w:szCs w:val="18"/>
                <w:color w:val="auto"/>
              </w:rPr>
              <w:t>Diluted net earnings (loss) per common share: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3.46</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2.81</w:t>
            </w:r>
          </w:p>
        </w:tc>
      </w:tr>
      <w:tr>
        <w:trPr>
          <w:trHeight w:val="405"/>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407</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448</w:t>
            </w:r>
          </w:p>
        </w:tc>
      </w:tr>
      <w:tr>
        <w:trPr>
          <w:trHeight w:val="34"/>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II-52</w:t>
      </w:r>
    </w:p>
    <w:p>
      <w:pPr>
        <w:sectPr>
          <w:pgSz w:w="11900" w:h="16838" w:orient="portrait"/>
          <w:cols w:equalWidth="0" w:num="1">
            <w:col w:w="11400"/>
          </w:cols>
          <w:pgMar w:left="260" w:top="580" w:right="239" w:bottom="1440" w:gutter="0" w:footer="0" w:header="0"/>
        </w:sectPr>
      </w:pPr>
    </w:p>
    <w:bookmarkStart w:id="85" w:name="page86"/>
    <w:bookmarkEnd w:id="85"/>
    <w:p>
      <w:pPr>
        <w:ind w:left="3880"/>
        <w:spacing w:after="0"/>
        <w:rPr>
          <w:sz w:val="20"/>
          <w:szCs w:val="20"/>
          <w:color w:val="auto"/>
        </w:rPr>
      </w:pPr>
      <w:r>
        <w:rPr>
          <w:rFonts w:ascii="Arial" w:cs="Arial" w:eastAsia="Arial" w:hAnsi="Arial"/>
          <w:sz w:val="18"/>
          <w:szCs w:val="18"/>
          <w:b w:val="1"/>
          <w:bCs w:val="1"/>
          <w:color w:val="auto"/>
        </w:rPr>
        <w:t>CBS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716089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322"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34290</wp:posOffset>
            </wp:positionV>
            <wp:extent cx="22898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1,261</w:t>
            </w:r>
          </w:p>
        </w:tc>
      </w:tr>
      <w:tr>
        <w:trPr>
          <w:trHeight w:val="27"/>
        </w:trPr>
        <w:tc>
          <w:tcPr>
            <w:tcW w:w="5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98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1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980" w:type="dxa"/>
            <w:vAlign w:val="bottom"/>
          </w:tcPr>
          <w:p>
            <w:pPr>
              <w:ind w:left="160"/>
              <w:spacing w:after="0"/>
              <w:rPr>
                <w:sz w:val="20"/>
                <w:szCs w:val="20"/>
                <w:color w:val="auto"/>
              </w:rPr>
            </w:pPr>
            <w:r>
              <w:rPr>
                <w:rFonts w:ascii="Arial" w:cs="Arial" w:eastAsia="Arial" w:hAnsi="Arial"/>
                <w:sz w:val="18"/>
                <w:szCs w:val="18"/>
                <w:color w:val="auto"/>
              </w:rPr>
              <w:t>Net actuarial gain (loss) and prior service costs (Note 14)</w:t>
            </w:r>
          </w:p>
        </w:tc>
        <w:tc>
          <w:tcPr>
            <w:tcW w:w="19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9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5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1,264</w:t>
            </w:r>
          </w:p>
        </w:tc>
      </w:tr>
      <w:tr>
        <w:trPr>
          <w:trHeight w:val="34"/>
        </w:trPr>
        <w:tc>
          <w:tcPr>
            <w:tcW w:w="5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II-53</w:t>
      </w:r>
    </w:p>
    <w:p>
      <w:pPr>
        <w:sectPr>
          <w:pgSz w:w="11900" w:h="16838" w:orient="portrait"/>
          <w:cols w:equalWidth="0" w:num="1">
            <w:col w:w="11280"/>
          </w:cols>
          <w:pgMar w:left="320" w:top="364" w:right="29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CBS CORPORATION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69551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At December 31,</w:t>
            </w:r>
          </w:p>
        </w:tc>
        <w:tc>
          <w:tcPr>
            <w:tcW w:w="9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99"/>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322</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285</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Receivables, less allowances of $41 (2018) and $49 (2017)</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4,041</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3,697</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Programming and other inventory (Note 5)</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1,988</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1,828</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27</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78</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149</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194</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225</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191</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6,752</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6,273</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2,926</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2,947</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1,717</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1,701</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60"/>
              <w:spacing w:after="0"/>
              <w:rPr>
                <w:sz w:val="20"/>
                <w:szCs w:val="20"/>
                <w:color w:val="auto"/>
              </w:rPr>
            </w:pPr>
            <w:r>
              <w:rPr>
                <w:rFonts w:ascii="Arial" w:cs="Arial" w:eastAsia="Arial" w:hAnsi="Arial"/>
                <w:sz w:val="16"/>
                <w:szCs w:val="16"/>
                <w:color w:val="auto"/>
              </w:rPr>
              <w:t>Net property and equipment (Note 2)</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1,209</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1,246</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Programming and other inventory (Note 5)</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3,883</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2,881</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Goodwill (Note 3)</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4,920</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4,891</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Intangible assets (Note 3)</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2,638</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2,666</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2,424</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2,852</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Assets held for sale (Note 2)</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33</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34</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21,859</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20,843</w:t>
            </w:r>
          </w:p>
        </w:tc>
      </w:tr>
      <w:tr>
        <w:trPr>
          <w:trHeight w:val="40"/>
        </w:trPr>
        <w:tc>
          <w:tcPr>
            <w:tcW w:w="7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1"/>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9"/>
                <w:szCs w:val="19"/>
                <w:color w:val="auto"/>
              </w:rPr>
              <w:t>’</w:t>
            </w:r>
            <w:r>
              <w:rPr>
                <w:rFonts w:ascii="Arial" w:cs="Arial" w:eastAsia="Arial" w:hAnsi="Arial"/>
                <w:sz w:val="16"/>
                <w:szCs w:val="16"/>
                <w:b w:val="1"/>
                <w:bCs w:val="1"/>
                <w:color w:val="auto"/>
              </w:rPr>
              <w:t xml:space="preserve"> EQUITY</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201</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231</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522</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454</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346</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343</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1,177</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986</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Accrued programming and production costs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704</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497</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222</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219</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Commercial paper (Note 8)</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674</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679</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Current portion of long-term debt (Note 8)</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13</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19</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714</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544</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4,573</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3,972</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Long-term debt (Note 8)</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9,465</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9,464</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1,159</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1,424</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Pension and postretirement benefit obligations (Note 14)</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1,388</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1,328</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 liabilities, net (Note 13)</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399</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480</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2,071</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2,197</w:t>
            </w:r>
          </w:p>
        </w:tc>
      </w:tr>
      <w:tr>
        <w:trPr>
          <w:trHeight w:val="459"/>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79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3"/>
        </w:trPr>
        <w:tc>
          <w:tcPr>
            <w:tcW w:w="7900" w:type="dxa"/>
            <w:vAlign w:val="bottom"/>
          </w:tcPr>
          <w:p>
            <w:pPr>
              <w:ind w:left="160"/>
              <w:spacing w:after="0"/>
              <w:rPr>
                <w:sz w:val="20"/>
                <w:szCs w:val="20"/>
                <w:color w:val="auto"/>
              </w:rPr>
            </w:pPr>
            <w:r>
              <w:rPr>
                <w:rFonts w:ascii="Arial" w:cs="Arial" w:eastAsia="Arial" w:hAnsi="Arial"/>
                <w:sz w:val="16"/>
                <w:szCs w:val="16"/>
                <w:color w:val="auto"/>
              </w:rPr>
              <w:t>Class A Common Stock, par value $.001 per share; 375 shares authorized;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6"/>
        </w:trPr>
        <w:tc>
          <w:tcPr>
            <w:tcW w:w="7900" w:type="dxa"/>
            <w:vAlign w:val="bottom"/>
          </w:tcPr>
          <w:p>
            <w:pPr>
              <w:ind w:left="320"/>
              <w:spacing w:after="0"/>
              <w:rPr>
                <w:sz w:val="20"/>
                <w:szCs w:val="20"/>
                <w:color w:val="auto"/>
              </w:rPr>
            </w:pPr>
            <w:r>
              <w:rPr>
                <w:rFonts w:ascii="Arial" w:cs="Arial" w:eastAsia="Arial" w:hAnsi="Arial"/>
                <w:sz w:val="16"/>
                <w:szCs w:val="16"/>
                <w:color w:val="auto"/>
              </w:rPr>
              <w:t>35 (2018) and 38 (2017) shares issued</w:t>
            </w:r>
          </w:p>
        </w:tc>
        <w:tc>
          <w:tcPr>
            <w:tcW w:w="24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tcPr>
          <w:p>
            <w:pPr>
              <w:ind w:left="160"/>
              <w:spacing w:after="0"/>
              <w:rPr>
                <w:sz w:val="20"/>
                <w:szCs w:val="20"/>
                <w:color w:val="auto"/>
              </w:rPr>
            </w:pPr>
            <w:r>
              <w:rPr>
                <w:rFonts w:ascii="Arial" w:cs="Arial" w:eastAsia="Arial" w:hAnsi="Arial"/>
                <w:sz w:val="16"/>
                <w:szCs w:val="16"/>
                <w:color w:val="auto"/>
              </w:rPr>
              <w:t>Class B Common Stock, par value $.001 per share; 5,000 shares authorized;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6"/>
        </w:trPr>
        <w:tc>
          <w:tcPr>
            <w:tcW w:w="7900" w:type="dxa"/>
            <w:vAlign w:val="bottom"/>
          </w:tcPr>
          <w:p>
            <w:pPr>
              <w:ind w:left="320"/>
              <w:spacing w:after="0"/>
              <w:rPr>
                <w:sz w:val="20"/>
                <w:szCs w:val="20"/>
                <w:color w:val="auto"/>
              </w:rPr>
            </w:pPr>
            <w:r>
              <w:rPr>
                <w:rFonts w:ascii="Arial" w:cs="Arial" w:eastAsia="Arial" w:hAnsi="Arial"/>
                <w:sz w:val="16"/>
                <w:szCs w:val="16"/>
                <w:color w:val="auto"/>
              </w:rPr>
              <w:t>838 (2018) and 834 (2017) shares issued</w:t>
            </w:r>
          </w:p>
        </w:tc>
        <w:tc>
          <w:tcPr>
            <w:tcW w:w="24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6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43,637</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43,797</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(17,201)</w:t>
            </w:r>
          </w:p>
        </w:tc>
        <w:tc>
          <w:tcPr>
            <w:tcW w:w="680" w:type="dxa"/>
            <w:vAlign w:val="bottom"/>
          </w:tcPr>
          <w:p>
            <w:pPr>
              <w:spacing w:after="0"/>
              <w:rPr>
                <w:sz w:val="23"/>
                <w:szCs w:val="23"/>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(18,900)</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Accumulated other comprehensive loss (Note 11)</w:t>
            </w:r>
          </w:p>
        </w:tc>
        <w:tc>
          <w:tcPr>
            <w:tcW w:w="24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(775)</w:t>
            </w:r>
          </w:p>
        </w:tc>
        <w:tc>
          <w:tcPr>
            <w:tcW w:w="680" w:type="dxa"/>
            <w:vAlign w:val="bottom"/>
          </w:tcPr>
          <w:p>
            <w:pPr>
              <w:spacing w:after="0"/>
              <w:rPr>
                <w:sz w:val="23"/>
                <w:szCs w:val="23"/>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(662)</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25,662</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24,236</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Less treasury stock, at cost; 500 (2018) and 489 (2017) Class B Shares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22,858</w:t>
            </w:r>
          </w:p>
        </w:tc>
        <w:tc>
          <w:tcPr>
            <w:tcW w:w="680" w:type="dxa"/>
            <w:vAlign w:val="bottom"/>
          </w:tcPr>
          <w:p>
            <w:pPr>
              <w:spacing w:after="0"/>
              <w:rPr>
                <w:sz w:val="23"/>
                <w:szCs w:val="23"/>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22,258</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2,804</w:t>
            </w:r>
          </w:p>
        </w:tc>
        <w:tc>
          <w:tcPr>
            <w:tcW w:w="68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1,978</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21,859</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20,843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69551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60"/>
          </w:cols>
          <w:pgMar w:left="480" w:top="364" w:right="459" w:bottom="84"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II-54</w:t>
      </w:r>
    </w:p>
    <w:p>
      <w:pPr>
        <w:sectPr>
          <w:pgSz w:w="11900" w:h="16838" w:orient="portrait"/>
          <w:cols w:equalWidth="0" w:num="1">
            <w:col w:w="10960"/>
          </w:cols>
          <w:pgMar w:left="480" w:top="364" w:right="459" w:bottom="84" w:gutter="0" w:footer="0" w:header="0"/>
          <w:type w:val="continuous"/>
        </w:sectPr>
      </w:pPr>
    </w:p>
    <w:bookmarkStart w:id="87" w:name="page88"/>
    <w:bookmarkEnd w:id="87"/>
    <w:p>
      <w:pPr>
        <w:ind w:left="3880"/>
        <w:spacing w:after="0"/>
        <w:rPr>
          <w:sz w:val="20"/>
          <w:szCs w:val="20"/>
          <w:color w:val="auto"/>
        </w:rPr>
      </w:pPr>
      <w:r>
        <w:rPr>
          <w:rFonts w:ascii="Arial" w:cs="Arial" w:eastAsia="Arial" w:hAnsi="Arial"/>
          <w:sz w:val="18"/>
          <w:szCs w:val="18"/>
          <w:b w:val="1"/>
          <w:bCs w:val="1"/>
          <w:color w:val="auto"/>
        </w:rPr>
        <w:t>CBS CORPORATION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691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0"/>
              </w:rPr>
              <w:t>Year Ended December 31,</w:t>
            </w:r>
          </w:p>
        </w:tc>
        <w:tc>
          <w:tcPr>
            <w:tcW w:w="780" w:type="dxa"/>
            <w:vAlign w:val="bottom"/>
          </w:tcPr>
          <w:p>
            <w:pPr>
              <w:spacing w:after="0"/>
              <w:rPr>
                <w:sz w:val="18"/>
                <w:szCs w:val="18"/>
                <w:color w:val="auto"/>
              </w:rPr>
            </w:pPr>
          </w:p>
        </w:tc>
      </w:tr>
      <w:tr>
        <w:trPr>
          <w:trHeight w:val="3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1,960</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357</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1,261</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Less: Net loss from discontinued operations, net of tax</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(952)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1,960</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1,309</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1,552</w:t>
            </w:r>
          </w:p>
        </w:tc>
      </w:tr>
      <w:tr>
        <w:trPr>
          <w:trHeight w:val="253"/>
        </w:trPr>
        <w:tc>
          <w:tcPr>
            <w:tcW w:w="7580" w:type="dxa"/>
            <w:vAlign w:val="bottom"/>
          </w:tcPr>
          <w:p>
            <w:pPr>
              <w:ind w:left="20"/>
              <w:spacing w:after="0"/>
              <w:rPr>
                <w:sz w:val="20"/>
                <w:szCs w:val="20"/>
                <w:color w:val="auto"/>
              </w:rPr>
            </w:pPr>
            <w:r>
              <w:rPr>
                <w:rFonts w:ascii="Arial" w:cs="Arial" w:eastAsia="Arial" w:hAnsi="Arial"/>
                <w:sz w:val="16"/>
                <w:szCs w:val="16"/>
                <w:color w:val="auto"/>
              </w:rPr>
              <w:t>Adjustments to reconcile net earnings from continuing operations to net cash flow</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7580" w:type="dxa"/>
            <w:vAlign w:val="bottom"/>
          </w:tcPr>
          <w:p>
            <w:pPr>
              <w:ind w:left="100"/>
              <w:spacing w:after="0"/>
              <w:rPr>
                <w:sz w:val="20"/>
                <w:szCs w:val="20"/>
                <w:color w:val="auto"/>
              </w:rPr>
            </w:pPr>
            <w:r>
              <w:rPr>
                <w:rFonts w:ascii="Arial" w:cs="Arial" w:eastAsia="Arial" w:hAnsi="Arial"/>
                <w:sz w:val="16"/>
                <w:szCs w:val="16"/>
                <w:color w:val="auto"/>
              </w:rPr>
              <w:t>provided by operating activities from continuing operations: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Deferred tax provision (benefit)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179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Redemption of debt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Net loss (gain) on disposition and write-down of assets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Equity in loss of investee companies, net of tax and distributions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Change in assets and liabilities, net of investing and financing activities</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decrease in receivables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(254)</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(268)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in inventory and related program and participation liabilities,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(830)</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(728)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Decrease (increase) in other assets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Decrease in accounts payable and accrued expenses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(Decrease) increase in pension and postretirement benefit obligations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in income taxes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456</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(Decrease) increase in deferred revenue</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1,425</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793</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1,454</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 from discontinued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1,426</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887</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1,685</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Investments in and advances to investee companies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(185)</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Acquisitions (including acquired television library), net of cash acquired</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(270)</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sale of investments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dispositions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6"/>
        </w:trPr>
        <w:tc>
          <w:tcPr>
            <w:tcW w:w="75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620" w:type="dxa"/>
            <w:vAlign w:val="bottom"/>
          </w:tcPr>
          <w:p>
            <w:pPr>
              <w:spacing w:after="0"/>
              <w:rPr>
                <w:sz w:val="24"/>
                <w:szCs w:val="24"/>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15</w:t>
            </w:r>
          </w:p>
        </w:tc>
      </w:tr>
      <w:tr>
        <w:trPr>
          <w:trHeight w:val="27"/>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investing activities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(523)</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investing activities from discontinued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investing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(348)</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(547)</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(Repayments of) proceeds from short-term debt borrowings,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229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issuance of senior notes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1,773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684</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Repayment of senior notes and debentures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(1,244)</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debt borrowings of CBS Radio</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1,452</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Repayment of debt borrowings of CBS Radio</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Payment of capital lease obligations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Dividends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(296)</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(1,111)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(2,997)</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Payment of payroll taxes in lieu of issuing shares for stock-based compensation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Excess tax benefit from stock-based compensation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financing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(921)</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(677)</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(337)</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253"/>
        </w:trPr>
        <w:tc>
          <w:tcPr>
            <w:tcW w:w="75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7580" w:type="dxa"/>
            <w:vAlign w:val="bottom"/>
          </w:tcPr>
          <w:p>
            <w:pPr>
              <w:ind w:left="180"/>
              <w:spacing w:after="0"/>
              <w:rPr>
                <w:sz w:val="20"/>
                <w:szCs w:val="20"/>
                <w:color w:val="auto"/>
              </w:rPr>
            </w:pPr>
            <w:r>
              <w:rPr>
                <w:rFonts w:ascii="Arial" w:cs="Arial" w:eastAsia="Arial" w:hAnsi="Arial"/>
                <w:sz w:val="16"/>
                <w:szCs w:val="16"/>
                <w:color w:val="auto"/>
              </w:rPr>
              <w:t>(includes $24 (2017) and $6 (2016) of discontinued operations cash)</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62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622</w:t>
            </w:r>
          </w:p>
        </w:tc>
        <w:tc>
          <w:tcPr>
            <w:tcW w:w="4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7580" w:type="dxa"/>
            <w:vAlign w:val="bottom"/>
          </w:tcPr>
          <w:p>
            <w:pPr>
              <w:ind w:left="180"/>
              <w:spacing w:after="0"/>
              <w:rPr>
                <w:sz w:val="20"/>
                <w:szCs w:val="20"/>
                <w:color w:val="auto"/>
              </w:rPr>
            </w:pPr>
            <w:r>
              <w:rPr>
                <w:rFonts w:ascii="Arial" w:cs="Arial" w:eastAsia="Arial" w:hAnsi="Arial"/>
                <w:sz w:val="16"/>
                <w:szCs w:val="16"/>
                <w:color w:val="auto"/>
              </w:rPr>
              <w:t>(includes $120 (2018) of restricted cash and $24 (2016) of discontinued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7580" w:type="dxa"/>
            <w:vAlign w:val="bottom"/>
          </w:tcPr>
          <w:p>
            <w:pPr>
              <w:ind w:left="220"/>
              <w:spacing w:after="0"/>
              <w:rPr>
                <w:sz w:val="20"/>
                <w:szCs w:val="20"/>
                <w:color w:val="auto"/>
              </w:rPr>
            </w:pPr>
            <w:r>
              <w:rPr>
                <w:rFonts w:ascii="Arial" w:cs="Arial" w:eastAsia="Arial" w:hAnsi="Arial"/>
                <w:sz w:val="16"/>
                <w:szCs w:val="16"/>
                <w:color w:val="auto"/>
              </w:rPr>
              <w:t>operations 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442</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285</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622</w:t>
            </w:r>
          </w:p>
        </w:tc>
      </w:tr>
      <w:tr>
        <w:trPr>
          <w:trHeight w:val="40"/>
        </w:trPr>
        <w:tc>
          <w:tcPr>
            <w:tcW w:w="7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sectPr>
          <w:pgSz w:w="11900" w:h="16838" w:orient="portrait"/>
          <w:cols w:equalWidth="0" w:num="1">
            <w:col w:w="11280"/>
          </w:cols>
          <w:pgMar w:left="320" w:top="364" w:right="299" w:bottom="0" w:gutter="0" w:footer="0" w:header="0"/>
        </w:sectPr>
      </w:pPr>
    </w:p>
    <w:p>
      <w:pPr>
        <w:jc w:val="center"/>
        <w:ind w:right="20"/>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280"/>
          </w:cols>
          <w:pgMar w:left="320" w:top="364" w:right="299" w:bottom="0" w:gutter="0" w:footer="0" w:header="0"/>
          <w:type w:val="continuous"/>
        </w:sectPr>
      </w:pPr>
    </w:p>
    <w:bookmarkStart w:id="88" w:name="page89"/>
    <w:bookmarkEnd w:id="88"/>
    <w:p>
      <w:pPr>
        <w:jc w:val="center"/>
        <w:ind w:right="-20"/>
        <w:spacing w:after="0"/>
        <w:rPr>
          <w:sz w:val="20"/>
          <w:szCs w:val="20"/>
          <w:color w:val="auto"/>
        </w:rPr>
      </w:pPr>
      <w:r>
        <w:rPr>
          <w:rFonts w:ascii="Arial" w:cs="Arial" w:eastAsia="Arial" w:hAnsi="Arial"/>
          <w:sz w:val="17"/>
          <w:szCs w:val="17"/>
          <w:color w:val="auto"/>
        </w:rPr>
        <w:t>II-55</w:t>
      </w:r>
    </w:p>
    <w:p>
      <w:pPr>
        <w:sectPr>
          <w:pgSz w:w="11900" w:h="16838" w:orient="portrait"/>
          <w:cols w:equalWidth="0" w:num="1">
            <w:col w:w="9019"/>
          </w:cols>
          <w:pgMar w:left="1440" w:top="638" w:right="1440" w:bottom="1440" w:gutter="0" w:footer="0" w:header="0"/>
        </w:sectPr>
      </w:pPr>
    </w:p>
    <w:bookmarkStart w:id="89" w:name="page90"/>
    <w:bookmarkEnd w:id="89"/>
    <w:p>
      <w:pPr>
        <w:ind w:left="3600"/>
        <w:spacing w:after="0"/>
        <w:rPr>
          <w:sz w:val="20"/>
          <w:szCs w:val="20"/>
          <w:color w:val="auto"/>
        </w:rPr>
      </w:pPr>
      <w:r>
        <w:rPr>
          <w:rFonts w:ascii="Arial" w:cs="Arial" w:eastAsia="Arial" w:hAnsi="Arial"/>
          <w:sz w:val="18"/>
          <w:szCs w:val="18"/>
          <w:b w:val="1"/>
          <w:bCs w:val="1"/>
          <w:color w:val="auto"/>
        </w:rPr>
        <w:t>CBS CORPORATION AND SUBSIDIARIES</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800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Year Ended December 31,</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2018</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2016</w:t>
            </w:r>
          </w:p>
        </w:tc>
        <w:tc>
          <w:tcPr>
            <w:tcW w:w="6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Shares</w:t>
            </w: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Amount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Conversion of A shares into B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Conversion of A shares into B shares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Restricted stock unit vests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Retirement of treasury stock</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4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829</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43,797</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43,913</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44,055</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181</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rPr>
              <w:t>Tax benefit related to employee</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stock-based transactions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Retirement of treasury stock</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Decrease in noncontrolling interest</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43,637</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43,797</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43,913</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(18,900)</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2"/>
              </w:rPr>
              <w:t>(19,257)</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(20,518)</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1,960</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1,261</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Adoption of new accounting standard (Note 16)</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(17,201)</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2"/>
              </w:rPr>
              <w:t>(18,900)</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(19,257)</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(767)</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(662)</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(22,258)</w:t>
            </w: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2"/>
              </w:rPr>
              <w:t>(20,201)</w:t>
            </w: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(17,205)</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Class B Common Stock purchased</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(1,050)</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(2,997)</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CBS Radio Split-Off</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3"/>
                <w:szCs w:val="23"/>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(1,007)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rPr>
              <w:t>Shares paid for tax withholding for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Issuance of stock for deferred compensation</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Retirement of treasury stock</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(22,858)</w:t>
            </w: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2"/>
              </w:rPr>
              <w:t>(22,258)</w:t>
            </w:r>
          </w:p>
        </w:tc>
        <w:tc>
          <w:tcPr>
            <w:tcW w:w="780" w:type="dxa"/>
            <w:vAlign w:val="bottom"/>
          </w:tcPr>
          <w:p>
            <w:pPr>
              <w:jc w:val="right"/>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(20,201)</w:t>
            </w:r>
          </w:p>
        </w:tc>
      </w:tr>
      <w:tr>
        <w:trPr>
          <w:trHeight w:val="27"/>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Pr>
          <w:p>
            <w:pPr>
              <w:spacing w:after="0"/>
              <w:rPr>
                <w:sz w:val="20"/>
                <w:szCs w:val="20"/>
                <w:color w:val="auto"/>
              </w:rPr>
            </w:pP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2,804</w:t>
            </w:r>
          </w:p>
        </w:tc>
        <w:tc>
          <w:tcPr>
            <w:tcW w:w="920" w:type="dxa"/>
            <w:vAlign w:val="bottom"/>
          </w:tcPr>
          <w:p>
            <w:pPr>
              <w:spacing w:after="0"/>
              <w:rPr>
                <w:sz w:val="20"/>
                <w:szCs w:val="20"/>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1,978</w:t>
            </w:r>
          </w:p>
        </w:tc>
        <w:tc>
          <w:tcPr>
            <w:tcW w:w="780" w:type="dxa"/>
            <w:vAlign w:val="bottom"/>
          </w:tcPr>
          <w:p>
            <w:pPr>
              <w:spacing w:after="0"/>
              <w:rPr>
                <w:sz w:val="20"/>
                <w:szCs w:val="20"/>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34"/>
        </w:trPr>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700"/>
          </w:cols>
          <w:pgMar w:left="600" w:top="36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II-56</w:t>
      </w:r>
    </w:p>
    <w:p>
      <w:pPr>
        <w:sectPr>
          <w:pgSz w:w="11900" w:h="16838" w:orient="portrait"/>
          <w:cols w:equalWidth="0" w:num="1">
            <w:col w:w="10700"/>
          </w:cols>
          <w:pgMar w:left="600" w:top="364" w:right="599" w:bottom="1440" w:gutter="0" w:footer="0" w:header="0"/>
          <w:type w:val="continuous"/>
        </w:sectPr>
      </w:pPr>
    </w:p>
    <w:bookmarkStart w:id="90" w:name="page91"/>
    <w:bookmarkEnd w:id="90"/>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 AND SUMMARY OF SIGNIFICANT ACCOUNTING POLICIES</w:t>
      </w:r>
    </w:p>
    <w:p>
      <w:pPr>
        <w:spacing w:after="0" w:line="14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Description of Business</w:t>
      </w:r>
      <w:r>
        <w:rPr>
          <w:rFonts w:ascii="Arial" w:cs="Arial" w:eastAsia="Arial" w:hAnsi="Arial"/>
          <w:sz w:val="20"/>
          <w:szCs w:val="20"/>
          <w:color w:val="auto"/>
        </w:rPr>
        <w:t>—CBS Corporation (together with its consolidated subsidiaries unless the context otherwise requires,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“CBS Corp.”) is comprised of the following segments: Entertainment (CBS Television, comprised of the CBS Television Network, CBS Television Studios, and CBS Global Distribution Group; Network 10; CBS Interactive; CBS Sports Network and CBS Films;), Cable Networks (Showtime Networks and Smithsonian Networks), Publishing (Simon &amp; Schuster) and Local Media (CBS Television Stations and CBS Local Digital Media). 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w:t>
      </w:r>
    </w:p>
    <w:p>
      <w:pPr>
        <w:spacing w:after="0" w:line="21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Discontinued Operations</w:t>
      </w:r>
      <w:r>
        <w:rPr>
          <w:rFonts w:ascii="Arial" w:cs="Arial" w:eastAsia="Arial" w:hAnsi="Arial"/>
          <w:sz w:val="20"/>
          <w:szCs w:val="20"/>
          <w:color w:val="auto"/>
        </w:rPr>
        <w:t>—On November 16, 2017, the Company completed the disposition of CBS Radio Inc. (“CBS Radio”) through a</w:t>
      </w:r>
      <w:r>
        <w:rPr>
          <w:rFonts w:ascii="Arial" w:cs="Arial" w:eastAsia="Arial" w:hAnsi="Arial"/>
          <w:sz w:val="20"/>
          <w:szCs w:val="20"/>
          <w:i w:val="1"/>
          <w:iCs w:val="1"/>
          <w:color w:val="auto"/>
        </w:rPr>
        <w:t xml:space="preserve"> </w:t>
      </w:r>
      <w:r>
        <w:rPr>
          <w:rFonts w:ascii="Arial" w:cs="Arial" w:eastAsia="Arial" w:hAnsi="Arial"/>
          <w:sz w:val="20"/>
          <w:szCs w:val="20"/>
          <w:color w:val="auto"/>
        </w:rPr>
        <w:t>split-off. CBS Radio has been presented as a discontinued operation in the Company’s consolidated financial statements (See Note 17). In addition, certain businesses that were previously disposed of by the Company prior to January 1, 2002, were accounted for as discontinued operations in accordance with accounting rules in effect prior to 2002.</w:t>
      </w:r>
    </w:p>
    <w:p>
      <w:pPr>
        <w:spacing w:after="0" w:line="20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—The consolidated financial statements include the accounts of CBS Corp. and all of its subsidiaries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interest is maintained. Controlling interest is determined by majority ownership interest and the absence of substantive third party participating rights. Investments over which the Company has a significant influence or ownership of more than 20% but less than or equal to 50%, without a controlling interest, are accounted for under the equity method. Investments of 20% or less, over which the Company has no significant influence, that do not have a readily determinable fair value, are measured at cost less impairment, if any, and adjusted for observable price changes. If the fair value is readily determinable, the investment is measured at fair value. Intercompany transactions have been eliminated. Amounts attributable to noncontrolling interests are immaterial for all periods presented.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Reclassifications-</w:t>
      </w:r>
      <w:r>
        <w:rPr>
          <w:rFonts w:ascii="Arial" w:cs="Arial" w:eastAsia="Arial" w:hAnsi="Arial"/>
          <w:sz w:val="19"/>
          <w:szCs w:val="19"/>
          <w:color w:val="auto"/>
        </w:rPr>
        <w:t>Certain amounts reported for prior years have been reclassified to conform to the current year’s presentation.</w:t>
      </w:r>
    </w:p>
    <w:p>
      <w:pPr>
        <w:spacing w:after="0" w:line="241"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accounting principles generally accepted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requires management to make estimates, judgments and assumptions that affect the reported amounts of assets and liabilities, the disclosures of contingent assets and liabilities at the date of the financial statements, and the reported amount of revenues and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15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Cash and Cash Equivalents</w:t>
      </w:r>
      <w:r>
        <w:rPr>
          <w:rFonts w:ascii="Arial" w:cs="Arial" w:eastAsia="Arial" w:hAnsi="Arial"/>
          <w:sz w:val="19"/>
          <w:szCs w:val="19"/>
          <w:color w:val="auto"/>
        </w:rPr>
        <w:t>—Cash and cash equivalents consist of cash on hand and highly liquid investments with maturities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at the date of purchase, including money market funds, commercial paper and bank time deposits. Included within “Other assets” on the Company’s Consolidated Balance Sheet at December 31, 2018 is restricted cash of $120 million. Restricted cash consists of amounts held in a grantor trust related to the separation and settlement agreement between the Company and the former Chairman of the Board, President and Chief Executive Officer of the Company (See Note 18).</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ectPr>
          <w:pgSz w:w="11900" w:h="16838" w:orient="portrait"/>
          <w:cols w:equalWidth="0" w:num="1">
            <w:col w:w="11420"/>
          </w:cols>
          <w:pgMar w:left="240" w:top="454" w:right="239" w:bottom="1440" w:gutter="0" w:footer="0" w:header="0"/>
        </w:sectPr>
      </w:pPr>
    </w:p>
    <w:bookmarkStart w:id="91" w:name="page92"/>
    <w:bookmarkEnd w:id="91"/>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Programming Inventory</w:t>
      </w:r>
      <w:r>
        <w:rPr>
          <w:rFonts w:ascii="Arial" w:cs="Arial" w:eastAsia="Arial" w:hAnsi="Arial"/>
          <w:sz w:val="19"/>
          <w:szCs w:val="19"/>
          <w:color w:val="auto"/>
        </w:rPr>
        <w:t>—The Company acquires rights to programming and produces programming to exhibit on its broadcast and cable</w:t>
      </w:r>
      <w:r>
        <w:rPr>
          <w:rFonts w:ascii="Arial" w:cs="Arial" w:eastAsia="Arial" w:hAnsi="Arial"/>
          <w:sz w:val="19"/>
          <w:szCs w:val="19"/>
          <w:i w:val="1"/>
          <w:iCs w:val="1"/>
          <w:color w:val="auto"/>
        </w:rPr>
        <w:t xml:space="preserve"> </w:t>
      </w:r>
      <w:r>
        <w:rPr>
          <w:rFonts w:ascii="Arial" w:cs="Arial" w:eastAsia="Arial" w:hAnsi="Arial"/>
          <w:sz w:val="19"/>
          <w:szCs w:val="19"/>
          <w:color w:val="auto"/>
        </w:rPr>
        <w:t>networks, broadcast television stations, direct to consumers through its digital streaming services and the internet, and in theaters.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Television production costs (which include direct production costs, production overhead and acquisition costs) are stated at the lower of unamortized cost or net realizable value. The Company then estimates total revenues to be earned and costs to be incurred throughout the life of each television program. For television programming, estimates for remaining total lifetime revenues are initially limited to the amount of revenue contracted for each episode in the initial market. Accordingly, television programming costs and participation costs incurred in excess of the amount of revenue contracted for each episode in the initial market are expensed as incurred on an episode by episode basis. Estimates for all secondary market revenues such as domestic and foreign syndication, basic cable, digital streaming, home entertainment and merchandising are included in the estimated lifetime revenues of such television programming once it can be demonstrated that a program can be successfully licensed in such secondary market. For each television program, management bases these estimates on the performance in the initial markets, the existence of future firm commitments to sell and the past performance of similar television programs. Television programming costs incurred subsequent to the establishment of the secondary market are initially capitalized and amortized, and estimated liabilities for participations are accrued, based on the proportion that current period revenues bear to the estimated remaining total lifetime revenues.</w:t>
      </w:r>
    </w:p>
    <w:p>
      <w:pPr>
        <w:spacing w:after="0" w:line="19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The costs incurred in acquiring television series and feature film programming are capitalized when the program is accepted and available for airing. These costs are amortized over the period in which an economic benefit is expected to be derived based on the timing of the Company’s usage of and benefit from such programming. The costs of programming rights licensed under multi-year sports programming agreements are capitalized if the rights payments are made before the related economic benefit has been received. These costs are expensed over the period in which an economic benefit is expected to be derived based on the relative value of the events broadcast by the Company during a period. The relative value for an event is determined based on the revenues generated for that event in relation to the estimated total revenues over the remaining term of the sports programming agreement.</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Lifetime revenue estimates for internally produced television programming, and the estimated economic benefit for acquired programming, including revenue projections for multi-year sports programming, are periodically reviewed. Adjustments, if any, will result in changes to amortization rates, future net realizable value adjustments and/or estimated accruals for participation expense.</w:t>
      </w:r>
    </w:p>
    <w:p>
      <w:pPr>
        <w:spacing w:after="0" w:line="1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Property and Equipment</w:t>
      </w:r>
      <w:r>
        <w:rPr>
          <w:rFonts w:ascii="Arial" w:cs="Arial" w:eastAsia="Arial" w:hAnsi="Arial"/>
          <w:sz w:val="20"/>
          <w:szCs w:val="20"/>
          <w:color w:val="auto"/>
        </w:rPr>
        <w:t>—Property and equipment is stated at cost. Depreciation is computed by the straight-line method over estimated</w:t>
      </w:r>
      <w:r>
        <w:rPr>
          <w:rFonts w:ascii="Arial" w:cs="Arial" w:eastAsia="Arial" w:hAnsi="Arial"/>
          <w:sz w:val="20"/>
          <w:szCs w:val="20"/>
          <w:i w:val="1"/>
          <w:iCs w:val="1"/>
          <w:color w:val="auto"/>
        </w:rPr>
        <w:t xml:space="preserve"> </w:t>
      </w:r>
      <w:r>
        <w:rPr>
          <w:rFonts w:ascii="Arial" w:cs="Arial" w:eastAsia="Arial" w:hAnsi="Arial"/>
          <w:sz w:val="20"/>
          <w:szCs w:val="20"/>
          <w:color w:val="auto"/>
        </w:rPr>
        <w:t>useful lives as follows:</w:t>
      </w:r>
    </w:p>
    <w:p>
      <w:pPr>
        <w:spacing w:after="0" w:line="123" w:lineRule="exact"/>
        <w:rPr>
          <w:sz w:val="20"/>
          <w:szCs w:val="20"/>
          <w:color w:val="auto"/>
        </w:rPr>
      </w:pPr>
    </w:p>
    <w:tbl>
      <w:tblPr>
        <w:tblLayout w:type="fixed"/>
        <w:tblInd w:w="940" w:type="dxa"/>
        <w:tblCellMar>
          <w:top w:w="0" w:type="dxa"/>
          <w:left w:w="0" w:type="dxa"/>
          <w:bottom w:w="0" w:type="dxa"/>
          <w:right w:w="0" w:type="dxa"/>
        </w:tblCellMar>
      </w:tblPr>
      <w:tr>
        <w:trPr>
          <w:trHeight w:val="250"/>
        </w:trPr>
        <w:tc>
          <w:tcPr>
            <w:tcW w:w="4800" w:type="dxa"/>
            <w:vAlign w:val="bottom"/>
          </w:tcPr>
          <w:p>
            <w:pPr>
              <w:spacing w:after="0"/>
              <w:rPr>
                <w:sz w:val="20"/>
                <w:szCs w:val="20"/>
                <w:color w:val="auto"/>
              </w:rPr>
            </w:pPr>
            <w:r>
              <w:rPr>
                <w:rFonts w:ascii="Arial" w:cs="Arial" w:eastAsia="Arial" w:hAnsi="Arial"/>
                <w:sz w:val="20"/>
                <w:szCs w:val="20"/>
                <w:color w:val="auto"/>
              </w:rPr>
              <w:t>Buildings and building improvements</w:t>
            </w:r>
          </w:p>
        </w:tc>
        <w:tc>
          <w:tcPr>
            <w:tcW w:w="3840" w:type="dxa"/>
            <w:vAlign w:val="bottom"/>
          </w:tcPr>
          <w:p>
            <w:pPr>
              <w:jc w:val="center"/>
              <w:ind w:left="1021"/>
              <w:spacing w:after="0"/>
              <w:rPr>
                <w:sz w:val="20"/>
                <w:szCs w:val="20"/>
                <w:color w:val="auto"/>
              </w:rPr>
            </w:pPr>
            <w:r>
              <w:rPr>
                <w:rFonts w:ascii="Arial" w:cs="Arial" w:eastAsia="Arial" w:hAnsi="Arial"/>
                <w:sz w:val="20"/>
                <w:szCs w:val="20"/>
                <w:color w:val="auto"/>
                <w:w w:val="88"/>
              </w:rPr>
              <w:t>10 to 40 years</w:t>
            </w: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840" w:type="dxa"/>
            <w:vAlign w:val="bottom"/>
          </w:tcPr>
          <w:p>
            <w:pPr>
              <w:jc w:val="center"/>
              <w:ind w:left="1021"/>
              <w:spacing w:after="0"/>
              <w:rPr>
                <w:sz w:val="20"/>
                <w:szCs w:val="20"/>
                <w:color w:val="auto"/>
              </w:rPr>
            </w:pPr>
            <w:r>
              <w:rPr>
                <w:rFonts w:ascii="Arial" w:cs="Arial" w:eastAsia="Arial" w:hAnsi="Arial"/>
                <w:sz w:val="20"/>
                <w:szCs w:val="20"/>
                <w:color w:val="auto"/>
                <w:w w:val="90"/>
              </w:rPr>
              <w:t>Shorter of lease term or useful life</w:t>
            </w: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Equipment and other (including capital leases)</w:t>
            </w:r>
          </w:p>
        </w:tc>
        <w:tc>
          <w:tcPr>
            <w:tcW w:w="3840" w:type="dxa"/>
            <w:vAlign w:val="bottom"/>
          </w:tcPr>
          <w:p>
            <w:pPr>
              <w:jc w:val="center"/>
              <w:ind w:left="1001"/>
              <w:spacing w:after="0"/>
              <w:rPr>
                <w:sz w:val="20"/>
                <w:szCs w:val="20"/>
                <w:color w:val="auto"/>
              </w:rPr>
            </w:pPr>
            <w:r>
              <w:rPr>
                <w:rFonts w:ascii="Arial" w:cs="Arial" w:eastAsia="Arial" w:hAnsi="Arial"/>
                <w:sz w:val="20"/>
                <w:szCs w:val="20"/>
                <w:color w:val="auto"/>
                <w:w w:val="88"/>
              </w:rPr>
              <w:t>3 to 20 years</w:t>
            </w:r>
          </w:p>
        </w:tc>
      </w:tr>
    </w:tbl>
    <w:p>
      <w:pPr>
        <w:spacing w:after="0" w:line="34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i w:val="1"/>
          <w:iCs w:val="1"/>
          <w:color w:val="auto"/>
        </w:rPr>
        <w:t>Impairment of Long-Lived Assets</w:t>
      </w:r>
      <w:r>
        <w:rPr>
          <w:rFonts w:ascii="Arial" w:cs="Arial" w:eastAsia="Arial" w:hAnsi="Arial"/>
          <w:sz w:val="20"/>
          <w:szCs w:val="20"/>
          <w:color w:val="auto"/>
        </w:rPr>
        <w:t>—The Company assesses long-lived assets and intangible assets, other than goodwill and intangible assets</w:t>
      </w:r>
      <w:r>
        <w:rPr>
          <w:rFonts w:ascii="Arial" w:cs="Arial" w:eastAsia="Arial" w:hAnsi="Arial"/>
          <w:sz w:val="20"/>
          <w:szCs w:val="20"/>
          <w:i w:val="1"/>
          <w:iCs w:val="1"/>
          <w:color w:val="auto"/>
        </w:rPr>
        <w:t xml:space="preserve"> </w:t>
      </w:r>
      <w:r>
        <w:rPr>
          <w:rFonts w:ascii="Arial" w:cs="Arial" w:eastAsia="Arial" w:hAnsi="Arial"/>
          <w:sz w:val="20"/>
          <w:szCs w:val="20"/>
          <w:color w:val="auto"/>
        </w:rPr>
        <w:t>with indefinite lives, for impairment whenever there is an indication that the carrying amount of the asset may not be recoverable. Recoverability of these assets is determined by comparing the forecasted undiscounted cash flows expected to be generated by these assets to their net carrying value. If the carrying value is not recoverable, the amount of impairment loss, if any, will be measured by the difference between the net carrying value and the estimated fair value of the asset.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ectPr>
          <w:pgSz w:w="11900" w:h="16838" w:orient="portrait"/>
          <w:cols w:equalWidth="0" w:num="1">
            <w:col w:w="11420"/>
          </w:cols>
          <w:pgMar w:left="240" w:top="400" w:right="239" w:bottom="1440" w:gutter="0" w:footer="0" w:header="0"/>
        </w:sectPr>
      </w:pPr>
    </w:p>
    <w:bookmarkStart w:id="92" w:name="page93"/>
    <w:bookmarkEnd w:id="92"/>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i w:val="1"/>
          <w:iCs w:val="1"/>
          <w:color w:val="auto"/>
        </w:rPr>
        <w:t>Impairment of Investments</w:t>
      </w:r>
      <w:r>
        <w:rPr>
          <w:rFonts w:ascii="Arial" w:cs="Arial" w:eastAsia="Arial" w:hAnsi="Arial"/>
          <w:sz w:val="19"/>
          <w:szCs w:val="19"/>
          <w:color w:val="auto"/>
        </w:rPr>
        <w:t>—Investments are reviewed for impairment on a quarterly basis by comparing their fair value to their respective</w:t>
      </w:r>
      <w:r>
        <w:rPr>
          <w:rFonts w:ascii="Arial" w:cs="Arial" w:eastAsia="Arial" w:hAnsi="Arial"/>
          <w:sz w:val="19"/>
          <w:szCs w:val="19"/>
          <w:i w:val="1"/>
          <w:iCs w:val="1"/>
          <w:color w:val="auto"/>
        </w:rPr>
        <w:t xml:space="preserve"> </w:t>
      </w:r>
      <w:r>
        <w:rPr>
          <w:rFonts w:ascii="Arial" w:cs="Arial" w:eastAsia="Arial" w:hAnsi="Arial"/>
          <w:sz w:val="19"/>
          <w:szCs w:val="19"/>
          <w:color w:val="auto"/>
        </w:rPr>
        <w:t>carrying amounts. The Company determines the fair value of public company investments by reference to their publicly traded stock price. With respect to private company investments, the Company makes its estimate of fair value by considering recent investee equity transactions, discounted cash flow analyses, recent operating results, estimates based on comparable public company operating cash flow multiples and, in certain situations, balance sheet liquidation values. The amount of impairment loss, if any, will be measured by the difference between the net carrying amount and the market value or estimated fair value of the investment.</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—Goodwill is allocated to various reporting units, which are at or one level below the Company’s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Intangible assets with finite lives, which primarily consist of trade names, are generally amortized using the straight-line method over their estimated useful lives, which range from 4 to 40 years. Goodwill and other intangible assets with indefinite lives, which consist of FCC licenses and international broadcast licenses, are not amortized but are tested for impairment on an annual basis and between annual tests if events occur or circumstances change that would more likely than not reduce the fair value below its carrying amount. If the carrying value of goodwill or the intangible asset exceeds its fair value, an impairment loss is recognized (See Note 3).</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i w:val="1"/>
          <w:iCs w:val="1"/>
          <w:color w:val="auto"/>
        </w:rPr>
        <w:t>Other Liabilities</w:t>
      </w:r>
      <w:r>
        <w:rPr>
          <w:rFonts w:ascii="Arial" w:cs="Arial" w:eastAsia="Arial" w:hAnsi="Arial"/>
          <w:sz w:val="19"/>
          <w:szCs w:val="19"/>
          <w:color w:val="auto"/>
        </w:rPr>
        <w:t>—Other liabilities consist primarily of the noncurrent portion of residual liabilities of previously disposed businesses,</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rights obligations, long-term income tax liabilities, deferred compensation and other employee benefit accruals.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Advertising Revenues</w:t>
      </w:r>
      <w:r>
        <w:rPr>
          <w:rFonts w:ascii="Arial" w:cs="Arial" w:eastAsia="Arial" w:hAnsi="Arial"/>
          <w:sz w:val="20"/>
          <w:szCs w:val="20"/>
          <w:color w:val="auto"/>
        </w:rPr>
        <w:t>—Advertising revenues are recognized when the advertising spots are aired on television or displayed on digital</w:t>
      </w:r>
      <w:r>
        <w:rPr>
          <w:rFonts w:ascii="Arial" w:cs="Arial" w:eastAsia="Arial" w:hAnsi="Arial"/>
          <w:sz w:val="20"/>
          <w:szCs w:val="20"/>
          <w:i w:val="1"/>
          <w:iCs w:val="1"/>
          <w:color w:val="auto"/>
        </w:rPr>
        <w:t xml:space="preserve"> </w:t>
      </w:r>
      <w:r>
        <w:rPr>
          <w:rFonts w:ascii="Arial" w:cs="Arial" w:eastAsia="Arial" w:hAnsi="Arial"/>
          <w:sz w:val="20"/>
          <w:szCs w:val="20"/>
          <w:color w:val="auto"/>
        </w:rPr>
        <w:t>platforms. If there is a guarantee to deliver a targeted audience rating or number of impressions, the delivery of the advertising spots that achieve the guarantee represents the performance obligation and revenues are recognized based on the proportion of the audience rating or impressions delivered to the total guaranteed in the contract. Audience ratings and impressions are determined based on data provided by independent third-party companies. Advertising contracts, which are generally short-term, are billed monthly, with payments due shortly after the invoice date.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Advertising revenues are primarily generated by the Entertainment and Local Media segments.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Content Licensing and Distribution Revenues</w:t>
      </w:r>
      <w:r>
        <w:rPr>
          <w:rFonts w:ascii="Arial" w:cs="Arial" w:eastAsia="Arial" w:hAnsi="Arial"/>
          <w:sz w:val="20"/>
          <w:szCs w:val="20"/>
          <w:color w:val="auto"/>
        </w:rPr>
        <w:t>—Content licensing and distribution revenues are generated from the licensing of internally-produced television programming, fees from the distribution of third-party programming, and the publishing and distribution of consumer books.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Program Licensing and Distribution</w:t>
      </w:r>
    </w:p>
    <w:p>
      <w:pPr>
        <w:spacing w:after="0" w:line="135" w:lineRule="exact"/>
        <w:rPr>
          <w:sz w:val="20"/>
          <w:szCs w:val="20"/>
          <w:color w:val="auto"/>
        </w:rPr>
      </w:pPr>
    </w:p>
    <w:p>
      <w:pPr>
        <w:jc w:val="both"/>
        <w:ind w:firstLine="243"/>
        <w:spacing w:after="0" w:line="244" w:lineRule="auto"/>
        <w:rPr>
          <w:sz w:val="20"/>
          <w:szCs w:val="20"/>
          <w:color w:val="auto"/>
        </w:rPr>
      </w:pPr>
      <w:r>
        <w:rPr>
          <w:rFonts w:ascii="Arial" w:cs="Arial" w:eastAsia="Arial" w:hAnsi="Arial"/>
          <w:sz w:val="20"/>
          <w:szCs w:val="20"/>
          <w:color w:val="auto"/>
        </w:rPr>
        <w:t xml:space="preserve">For licenses of internally-produced television programming, each individual episode delivered represents a separate performance obligation and revenues are recognized when the episode is made available to the licensee for exhibition and the license period has begun. For license agreements containing multiple deliverables, revenues are allocated based on the relative standalone selling price of each episode of a television series, which is based on licenses for comparable series within the marketplace. Agreements to license programming are often long term, with collection terms ranging from one to </w:t>
      </w:r>
      <w:r>
        <w:rPr>
          <w:rFonts w:ascii="Arial" w:cs="Arial" w:eastAsia="Arial" w:hAnsi="Arial"/>
          <w:sz w:val="18"/>
          <w:szCs w:val="18"/>
          <w:color w:val="auto"/>
        </w:rPr>
        <w:t>five</w:t>
      </w:r>
      <w:r>
        <w:rPr>
          <w:rFonts w:ascii="Arial" w:cs="Arial" w:eastAsia="Arial" w:hAnsi="Arial"/>
          <w:sz w:val="20"/>
          <w:szCs w:val="20"/>
          <w:color w:val="auto"/>
        </w:rPr>
        <w:t xml:space="preserve"> years.</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also distributes programs on behalf of third parties. In such arrangements, the Company generally obtains control of the program before selling it to the customer. Therefore, revenues from such distribution arrangements, which include both content licensing and advertising revenues, are recognized based on the gross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ectPr>
          <w:pgSz w:w="11900" w:h="16838" w:orient="portrait"/>
          <w:cols w:equalWidth="0" w:num="1">
            <w:col w:w="11420"/>
          </w:cols>
          <w:pgMar w:left="240" w:top="400" w:right="239" w:bottom="1440" w:gutter="0" w:footer="0" w:header="0"/>
        </w:sectPr>
      </w:pPr>
    </w:p>
    <w:bookmarkStart w:id="93" w:name="page94"/>
    <w:bookmarkEnd w:id="93"/>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 of consideration received from the customer, with a participation expense recognized for the fees paid to the third-party producer.</w:t>
      </w:r>
    </w:p>
    <w:p>
      <w:pPr>
        <w:spacing w:after="0" w:line="2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Substantially all of the Company’s program licensing and distribution revenues are generated by the Entertainment segment, with the remainder generated by the Cable Networks segment.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Publishing</w:t>
      </w:r>
    </w:p>
    <w:p>
      <w:pPr>
        <w:spacing w:after="0" w:line="1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Publishing revenues are recognized when merchandise is shipped or electronically delivered to the consumer. Consumer print books are generally sold with a right of return. The Company records a returns reserve and corresponding decrease in revenue at the time of sale based upon historical trends. For publishing revenues, payments are due shortly after shipment or electronic delivery.</w:t>
      </w:r>
    </w:p>
    <w:p>
      <w:pPr>
        <w:spacing w:after="0" w:line="184"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Affiliate and Subscription Fees</w:t>
      </w:r>
      <w:r>
        <w:rPr>
          <w:rFonts w:ascii="Arial" w:cs="Arial" w:eastAsia="Arial" w:hAnsi="Arial"/>
          <w:sz w:val="20"/>
          <w:szCs w:val="20"/>
          <w:color w:val="auto"/>
        </w:rPr>
        <w:t>—A majority of the Company’s affiliate and subscription fees are generated by the Cable Networks segment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consist of fees received from multichannel video programming distributors (“MVPDs”) and third-party live television digital streaming offerings (“virtual MVPDs”) for carriage of the Company’s cable networks and subscription fees for the </w:t>
      </w:r>
      <w:r>
        <w:rPr>
          <w:rFonts w:ascii="Arial" w:cs="Arial" w:eastAsia="Arial" w:hAnsi="Arial"/>
          <w:sz w:val="20"/>
          <w:szCs w:val="20"/>
          <w:i w:val="1"/>
          <w:iCs w:val="1"/>
          <w:color w:val="auto"/>
        </w:rPr>
        <w:t>Showtime</w:t>
      </w:r>
      <w:r>
        <w:rPr>
          <w:rFonts w:ascii="Arial" w:cs="Arial" w:eastAsia="Arial" w:hAnsi="Arial"/>
          <w:sz w:val="20"/>
          <w:szCs w:val="20"/>
          <w:color w:val="auto"/>
        </w:rPr>
        <w:t xml:space="preserve"> direct-to-consumer digital streaming subscription offering. The Entertainment segment generates affiliate and subscription fees primarily from television stations affiliated with the CBS Television Network and subscribers to </w:t>
      </w:r>
      <w:r>
        <w:rPr>
          <w:rFonts w:ascii="Arial" w:cs="Arial" w:eastAsia="Arial" w:hAnsi="Arial"/>
          <w:sz w:val="20"/>
          <w:szCs w:val="20"/>
          <w:i w:val="1"/>
          <w:iCs w:val="1"/>
          <w:color w:val="auto"/>
        </w:rPr>
        <w:t>CBS All Access</w:t>
      </w:r>
      <w:r>
        <w:rPr>
          <w:rFonts w:ascii="Arial" w:cs="Arial" w:eastAsia="Arial" w:hAnsi="Arial"/>
          <w:sz w:val="20"/>
          <w:szCs w:val="20"/>
          <w:color w:val="auto"/>
        </w:rPr>
        <w:t>, its owned streaming subscription service. In addition, the Local Media segment generates retransmission fees from MVPDs and virtual MVPDs for carriage of the Company’s television stations. Costs for advertising and marketing services provided to the Company by cable, satellite and other distributors are recorded in selling, general and administrative expenses.</w:t>
      </w:r>
    </w:p>
    <w:p>
      <w:pPr>
        <w:spacing w:after="0" w:line="21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The performance obligation for the Company’s affiliate agreements is a license to the Company’s programming provided through the continuous delivery of live linear feeds and, for agreements with MVPDs, also includes a license to programming for video on demand viewing. Affiliate and subscription fees are recognized over the term of the agreement as the Company continuously provides its customer with the right to use its programming. For agreements that provide for a variable fee, revenues are determined each month based on an agreed upon contractual rate applied to the number of subscribers to the customer’s service. For agreements that provide for a fixed fee, which primarily include agreements with television stations affiliated with the CBS Television Network (“network affiliates”), revenues are recognized based on the relative fair value of the content provided over the term of the agreement, which is determined based on the fair value of the network affiliate’s service and the value of the Company’s programming. For affiliate and subscription fee revenues, payments are generally due monthly.</w:t>
      </w:r>
    </w:p>
    <w:p>
      <w:pPr>
        <w:spacing w:after="0" w:line="2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Noncurrent Receivables</w:t>
      </w:r>
      <w:r>
        <w:rPr>
          <w:rFonts w:ascii="Arial" w:cs="Arial" w:eastAsia="Arial" w:hAnsi="Arial"/>
          <w:sz w:val="19"/>
          <w:szCs w:val="19"/>
          <w:color w:val="auto"/>
        </w:rPr>
        <w:t>—Included in “Other assets” on the Company’s Consolidated Balance Sheets are noncurrent receivables of $1.55</w:t>
      </w:r>
      <w:r>
        <w:rPr>
          <w:rFonts w:ascii="Arial" w:cs="Arial" w:eastAsia="Arial" w:hAnsi="Arial"/>
          <w:sz w:val="19"/>
          <w:szCs w:val="19"/>
          <w:i w:val="1"/>
          <w:iCs w:val="1"/>
          <w:color w:val="auto"/>
        </w:rPr>
        <w:t xml:space="preserve"> </w:t>
      </w:r>
      <w:r>
        <w:rPr>
          <w:rFonts w:ascii="Arial" w:cs="Arial" w:eastAsia="Arial" w:hAnsi="Arial"/>
          <w:sz w:val="19"/>
          <w:szCs w:val="19"/>
          <w:color w:val="auto"/>
        </w:rPr>
        <w:t>billion at December 31, 2018 and $2.12 billion at December 31, 2017, which decreased to $1.59 billion on January 1, 2018 upon the adoption of new revenue recognition guidance. Noncurrent receivables primarily relate to revenues recognized under long-term television licensing arrangements. Television license fee revenues are recognized at the beginning of the license period in which programs are made available to the licensee for exhibition, while the related cash is collected over the term of the license period.</w:t>
      </w:r>
    </w:p>
    <w:p>
      <w:pPr>
        <w:spacing w:after="0" w:line="1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Deferred Revenues</w:t>
      </w:r>
      <w:r>
        <w:rPr>
          <w:rFonts w:ascii="Arial" w:cs="Arial" w:eastAsia="Arial" w:hAnsi="Arial"/>
          <w:sz w:val="20"/>
          <w:szCs w:val="20"/>
          <w:color w:val="auto"/>
        </w:rPr>
        <w:t>—Deferred revenues primarily consist of cash received related to advertising arrangements and the licensing of</w:t>
      </w:r>
      <w:r>
        <w:rPr>
          <w:rFonts w:ascii="Arial" w:cs="Arial" w:eastAsia="Arial" w:hAnsi="Arial"/>
          <w:sz w:val="20"/>
          <w:szCs w:val="20"/>
          <w:i w:val="1"/>
          <w:iCs w:val="1"/>
          <w:color w:val="auto"/>
        </w:rPr>
        <w:t xml:space="preserve"> </w:t>
      </w:r>
      <w:r>
        <w:rPr>
          <w:rFonts w:ascii="Arial" w:cs="Arial" w:eastAsia="Arial" w:hAnsi="Arial"/>
          <w:sz w:val="20"/>
          <w:szCs w:val="20"/>
          <w:color w:val="auto"/>
        </w:rPr>
        <w:t>television programming for which the revenues have not yet been earned. Advertising revenues that have been deferred are recognized when the required audience rating or impressions are delivered and revenues deferred under licensing arrangements are recognized when the content is made available to the customer and the license period has begun.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ectPr>
          <w:pgSz w:w="11900" w:h="16838" w:orient="portrait"/>
          <w:cols w:equalWidth="0" w:num="1">
            <w:col w:w="11420"/>
          </w:cols>
          <w:pgMar w:left="240" w:top="400" w:right="239" w:bottom="1440" w:gutter="0" w:footer="0" w:header="0"/>
        </w:sectPr>
      </w:pPr>
    </w:p>
    <w:bookmarkStart w:id="94" w:name="page95"/>
    <w:bookmarkEnd w:id="94"/>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Total deferred revenues, including both current and noncurrent, were $274 million and $284 million at December 31, 2018 and January 1, 2018, respectively. The change in deferred revenue for the year ended December 31, 2018 primarily reflects $201 million of revenues recognized that were included in deferred revenues at January 1, 2018, offset by cash payments received during the period for which the performance obligation was not satisfied prior to the end of the period.</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Unrecognized Revenues Under Contract</w:t>
      </w:r>
      <w:r>
        <w:rPr>
          <w:rFonts w:ascii="Arial" w:cs="Arial" w:eastAsia="Arial" w:hAnsi="Arial"/>
          <w:sz w:val="19"/>
          <w:szCs w:val="19"/>
          <w:color w:val="auto"/>
        </w:rPr>
        <w:t>—As of December 31, 2018, unrecognized revenue attributable to unsatisfied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under the Company’s long-term contracts was $3.45 billion, of which $2.02 billion is expected to be recognized for 2019, $806 million for 2020, $445 million for 2021, and $175 million thereafter. These amounts only include contracts subject to a guaranteed fixed amount or the guaranteed minimum under variable contracts. Such amounts change on a regular basis as the Company renews existing agreements or enters into new agreements. Unrecognized revenues under contract disclosed above do not include (i) contracts with an original expected term of one year or less, mainly consisting of the Company’s advertising contracts (ii) contracts for which variable consideration is determined based on the customer’s subsequent sale or usage, mainly consisting of affiliate and subscription fee agreements and (iii) long-term licensing agreements for multiple programs for which the Company’s right to invoice corresponds with the value of the programs provided to the customer.</w:t>
      </w:r>
    </w:p>
    <w:p>
      <w:pPr>
        <w:spacing w:after="0" w:line="19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Collaborative Arrangements</w:t>
      </w:r>
      <w:r>
        <w:rPr>
          <w:rFonts w:ascii="Arial" w:cs="Arial" w:eastAsia="Arial" w:hAnsi="Arial"/>
          <w:sz w:val="19"/>
          <w:szCs w:val="19"/>
          <w:color w:val="auto"/>
        </w:rPr>
        <w:t>—Collaborative arrangements primarily consist of joint efforts with third parties to produce and distribute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programming such as television series and live sporting events, including the agreement between the Company and Turner Broadcasting System, Inc. to telecast the </w:t>
      </w:r>
      <w:r>
        <w:rPr>
          <w:rFonts w:ascii="Arial" w:cs="Arial" w:eastAsia="Arial" w:hAnsi="Arial"/>
          <w:sz w:val="19"/>
          <w:szCs w:val="19"/>
          <w:i w:val="1"/>
          <w:iCs w:val="1"/>
          <w:color w:val="auto"/>
        </w:rPr>
        <w:t>NCAA Division I Men’s Basketball Championship</w:t>
      </w:r>
      <w:r>
        <w:rPr>
          <w:rFonts w:ascii="Arial" w:cs="Arial" w:eastAsia="Arial" w:hAnsi="Arial"/>
          <w:sz w:val="19"/>
          <w:szCs w:val="19"/>
          <w:color w:val="auto"/>
        </w:rPr>
        <w:t xml:space="preserve"> (“NCAA Tournament”), which runs through 2032. In connection with this agreement for the NCAA Tournament, advertisements aired on the CBS Television Network are recorded as revenues and the Company’s share of the program rights fees and other operating costs are recorded as operating expenses.</w:t>
      </w:r>
    </w:p>
    <w:p>
      <w:pPr>
        <w:spacing w:after="0" w:line="19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For episodic television programming, co-production costs are initially capitalized as programming inventory and amortized over the television series’ estimated economic life. In such arrangements where the Company has distribution rights, all proceeds generated from such distribution are recorded as revenues and any participation profits due to third party collaborators are recorded as operating expenses. In co-production arrangements where third party collaborators have distribution rights, the Company’s net participating profits are recorded as revenues.</w:t>
      </w:r>
    </w:p>
    <w:p>
      <w:pPr>
        <w:spacing w:after="0" w:line="20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Amounts attributable to transactions arising from collaborative arrangements between participants were not material to the Company’s consolidated financial statements for all periods presented.</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Advertising</w:t>
      </w:r>
      <w:r>
        <w:rPr>
          <w:rFonts w:ascii="Arial" w:cs="Arial" w:eastAsia="Arial" w:hAnsi="Arial"/>
          <w:sz w:val="20"/>
          <w:szCs w:val="20"/>
          <w:color w:val="auto"/>
        </w:rPr>
        <w:t>—Advertising costs are expensed as incurred. The Company incurred total advertising expenses of $448 million in 2018, $426</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in 2017 and $373 million in 2016.</w:t>
      </w:r>
    </w:p>
    <w:p>
      <w:pPr>
        <w:spacing w:after="0" w:line="19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i w:val="1"/>
          <w:iCs w:val="1"/>
          <w:color w:val="auto"/>
        </w:rPr>
        <w:t>Other Operating Items, Net</w:t>
      </w:r>
      <w:r>
        <w:rPr>
          <w:rFonts w:ascii="Arial" w:cs="Arial" w:eastAsia="Arial" w:hAnsi="Arial"/>
          <w:sz w:val="20"/>
          <w:szCs w:val="20"/>
          <w:color w:val="auto"/>
        </w:rPr>
        <w:t>—Other operating items, net for 2017 reflects a net gain relating to the disposal of property and equipment and</w:t>
      </w:r>
      <w:r>
        <w:rPr>
          <w:rFonts w:ascii="Arial" w:cs="Arial" w:eastAsia="Arial" w:hAnsi="Arial"/>
          <w:sz w:val="20"/>
          <w:szCs w:val="20"/>
          <w:i w:val="1"/>
          <w:iCs w:val="1"/>
          <w:color w:val="auto"/>
        </w:rPr>
        <w:t xml:space="preserve"> </w:t>
      </w:r>
      <w:r>
        <w:rPr>
          <w:rFonts w:ascii="Arial" w:cs="Arial" w:eastAsia="Arial" w:hAnsi="Arial"/>
          <w:sz w:val="20"/>
          <w:szCs w:val="20"/>
          <w:color w:val="auto"/>
        </w:rPr>
        <w:t>for 2016 includes a gain from the sales of businesses and a multiyear, retroactive impact of a new operating tax.</w:t>
      </w:r>
    </w:p>
    <w:p>
      <w:pPr>
        <w:spacing w:after="0" w:line="1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—Costs associated with the refinancing or issuance of debt, as well as debt discounts or premiums, are recorded as interest over the</w:t>
      </w:r>
      <w:r>
        <w:rPr>
          <w:rFonts w:ascii="Arial" w:cs="Arial" w:eastAsia="Arial" w:hAnsi="Arial"/>
          <w:sz w:val="19"/>
          <w:szCs w:val="19"/>
          <w:i w:val="1"/>
          <w:iCs w:val="1"/>
          <w:color w:val="auto"/>
        </w:rPr>
        <w:t xml:space="preserve"> </w:t>
      </w:r>
      <w:r>
        <w:rPr>
          <w:rFonts w:ascii="Arial" w:cs="Arial" w:eastAsia="Arial" w:hAnsi="Arial"/>
          <w:sz w:val="19"/>
          <w:szCs w:val="19"/>
          <w:color w:val="auto"/>
        </w:rPr>
        <w:t>term of its related debt. The Company may enter into interest rate exchange agreements; the amount to be paid or received under such agreements is accrued and recognized over the life of the agreements as an adjustment to interest expense.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ectPr>
          <w:pgSz w:w="11900" w:h="16838" w:orient="portrait"/>
          <w:cols w:equalWidth="0" w:num="1">
            <w:col w:w="11420"/>
          </w:cols>
          <w:pgMar w:left="240" w:top="400" w:right="239" w:bottom="1440" w:gutter="0" w:footer="0" w:header="0"/>
        </w:sectPr>
      </w:pPr>
    </w:p>
    <w:bookmarkStart w:id="95" w:name="page96"/>
    <w:bookmarkEnd w:id="95"/>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—The provision for income taxes includes federal, state, local, and foreign taxes. Deferred tax assets and liabilities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The Company evaluates the realizability of deferred tax assets and establishes a valuation allowance when it is more likely than not that all or a portion of deferred tax assets will not be realized. For tax positions taken in a previously filed tax return or expected to be taken in a future tax return, the Company evaluates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w:t>
      </w:r>
    </w:p>
    <w:p>
      <w:pPr>
        <w:spacing w:after="0" w:line="18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i w:val="1"/>
          <w:iCs w:val="1"/>
          <w:color w:val="auto"/>
        </w:rPr>
        <w:t>Foreign Currency Translation and Transactions</w:t>
      </w:r>
      <w:r>
        <w:rPr>
          <w:rFonts w:ascii="Arial" w:cs="Arial" w:eastAsia="Arial" w:hAnsi="Arial"/>
          <w:sz w:val="20"/>
          <w:szCs w:val="20"/>
          <w:color w:val="auto"/>
        </w:rPr>
        <w:t>—The Company’s assets and liabilities denominated in foreign currencies are translated at</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exchange rates in effect at the balance sheet date, while results of operations are translated at average foreign exchange rates for the respective periods. The resulting translation gains or losses are included as a separate component of stockholders’ equity in accumulated other comprehensive income (loss). Foreign currency transaction gains and losses have been included in “Other items, net” in the Consolidated Statements of Operations.</w:t>
      </w:r>
    </w:p>
    <w:p>
      <w:pPr>
        <w:spacing w:after="0" w:line="20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Other Items, net</w:t>
      </w:r>
      <w:r>
        <w:rPr>
          <w:rFonts w:ascii="Arial" w:cs="Arial" w:eastAsia="Arial" w:hAnsi="Arial"/>
          <w:sz w:val="20"/>
          <w:szCs w:val="20"/>
          <w:color w:val="auto"/>
        </w:rPr>
        <w:t>—“Other items, net” primarily consists of pension and postretirement benefit costs, other than service costs, and foreign</w:t>
      </w:r>
      <w:r>
        <w:rPr>
          <w:rFonts w:ascii="Arial" w:cs="Arial" w:eastAsia="Arial" w:hAnsi="Arial"/>
          <w:sz w:val="20"/>
          <w:szCs w:val="20"/>
          <w:i w:val="1"/>
          <w:iCs w:val="1"/>
          <w:color w:val="auto"/>
        </w:rPr>
        <w:t xml:space="preserve"> </w:t>
      </w:r>
      <w:r>
        <w:rPr>
          <w:rFonts w:ascii="Arial" w:cs="Arial" w:eastAsia="Arial" w:hAnsi="Arial"/>
          <w:sz w:val="20"/>
          <w:szCs w:val="20"/>
          <w:color w:val="auto"/>
        </w:rPr>
        <w:t>exchange gains and losses.</w:t>
      </w:r>
    </w:p>
    <w:p>
      <w:pPr>
        <w:spacing w:after="0" w:line="1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i w:val="1"/>
          <w:iCs w:val="1"/>
          <w:color w:val="auto"/>
        </w:rPr>
        <w:t>Provision for Doubtful Accounts</w:t>
      </w:r>
      <w:r>
        <w:rPr>
          <w:rFonts w:ascii="Arial" w:cs="Arial" w:eastAsia="Arial" w:hAnsi="Arial"/>
          <w:sz w:val="19"/>
          <w:szCs w:val="19"/>
          <w:color w:val="auto"/>
        </w:rPr>
        <w:t>—The provision for doubtful accounts is estimated based on historical bad debt experience, the aging of</w:t>
      </w:r>
      <w:r>
        <w:rPr>
          <w:rFonts w:ascii="Arial" w:cs="Arial" w:eastAsia="Arial" w:hAnsi="Arial"/>
          <w:sz w:val="19"/>
          <w:szCs w:val="19"/>
          <w:i w:val="1"/>
          <w:iCs w:val="1"/>
          <w:color w:val="auto"/>
        </w:rPr>
        <w:t xml:space="preserve"> </w:t>
      </w:r>
      <w:r>
        <w:rPr>
          <w:rFonts w:ascii="Arial" w:cs="Arial" w:eastAsia="Arial" w:hAnsi="Arial"/>
          <w:sz w:val="19"/>
          <w:szCs w:val="19"/>
          <w:color w:val="auto"/>
        </w:rPr>
        <w:t>accounts receivable, industry trends and economic indicators, as well as recent payment history for specific customers. The provision for doubtful accounts charged to expense was $5 million, in each of the years 2018 and 2017, and $12 million in 2016.</w:t>
      </w:r>
    </w:p>
    <w:p>
      <w:pPr>
        <w:spacing w:after="0" w:line="1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Net Earnings (Loss) per Common Share</w:t>
      </w:r>
      <w:r>
        <w:rPr>
          <w:rFonts w:ascii="Arial" w:cs="Arial" w:eastAsia="Arial" w:hAnsi="Arial"/>
          <w:sz w:val="19"/>
          <w:szCs w:val="19"/>
          <w:color w:val="auto"/>
        </w:rPr>
        <w:t>—Basic earnings (loss) per share (“EPS”) is based upon net earnings (loss) divided by the weighted</w:t>
      </w:r>
      <w:r>
        <w:rPr>
          <w:rFonts w:ascii="Arial" w:cs="Arial" w:eastAsia="Arial" w:hAnsi="Arial"/>
          <w:sz w:val="19"/>
          <w:szCs w:val="19"/>
          <w:i w:val="1"/>
          <w:iCs w:val="1"/>
          <w:color w:val="auto"/>
        </w:rPr>
        <w:t xml:space="preserve"> </w:t>
      </w:r>
      <w:r>
        <w:rPr>
          <w:rFonts w:ascii="Arial" w:cs="Arial" w:eastAsia="Arial" w:hAnsi="Arial"/>
          <w:sz w:val="19"/>
          <w:szCs w:val="19"/>
          <w:color w:val="auto"/>
        </w:rPr>
        <w:t>average number of common shares outstanding during the period. Diluted EPS reflects the effect of the assumed exercise of stock options and vesting of restricted stock units (“RSUs”) only in the periods in which such effect would have been dilutive. Excluded from the calculation of diluted EPS because their inclusion would have been anti-dilutive, were 6 million stock options for the year ended December 31, 2018 and 4 million stock options for each of the years ended December 31, 2017 and 2016.</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205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7"/>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shares for basic EPS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377</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444</w:t>
            </w: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shares for diluted EPS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381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34"/>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ectPr>
          <w:pgSz w:w="11900" w:h="16838" w:orient="portrait"/>
          <w:cols w:equalWidth="0" w:num="1">
            <w:col w:w="11420"/>
          </w:cols>
          <w:pgMar w:left="240" w:top="400" w:right="239" w:bottom="1440" w:gutter="0" w:footer="0" w:header="0"/>
        </w:sectPr>
      </w:pPr>
    </w:p>
    <w:bookmarkStart w:id="96" w:name="page97"/>
    <w:bookmarkEnd w:id="96"/>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i w:val="1"/>
          <w:iCs w:val="1"/>
          <w:color w:val="auto"/>
        </w:rPr>
        <w:t>Stock-based Compensation-</w:t>
      </w:r>
      <w:r>
        <w:rPr>
          <w:rFonts w:ascii="Arial" w:cs="Arial" w:eastAsia="Arial" w:hAnsi="Arial"/>
          <w:sz w:val="20"/>
          <w:szCs w:val="20"/>
          <w:color w:val="auto"/>
        </w:rPr>
        <w:t>The Company measures the cost of employee services received in exchange for an award of equity instruments</w:t>
      </w:r>
      <w:r>
        <w:rPr>
          <w:rFonts w:ascii="Arial" w:cs="Arial" w:eastAsia="Arial" w:hAnsi="Arial"/>
          <w:sz w:val="20"/>
          <w:szCs w:val="20"/>
          <w:i w:val="1"/>
          <w:iCs w:val="1"/>
          <w:color w:val="auto"/>
        </w:rPr>
        <w:t xml:space="preserve"> </w:t>
      </w:r>
      <w:r>
        <w:rPr>
          <w:rFonts w:ascii="Arial" w:cs="Arial" w:eastAsia="Arial" w:hAnsi="Arial"/>
          <w:sz w:val="20"/>
          <w:szCs w:val="20"/>
          <w:color w:val="auto"/>
        </w:rPr>
        <w:t>based on the grant date fair value of the award. The cost is recognized over the vesting period during which an employee is required to provide service in exchange for the award.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from Contracts with Customers</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During the first quarter of 2018, the Company adopted Financial Accounting Standards Board (“FASB”) guidance on the recognition of revenues which provides a single, comprehensive revenue recognition model for all contracts with customers and supersedes most existing revenue recognition guidance. The main principle under this guidance is that an entity should recognize revenue at the amount it expects to be entitled to in exchange for the transfer of goods or services to customers. The Company applied the modified retrospective method of adoption with the cumulative effect of the initial adoption of $261 million reflected as an adjustment to the opening balance of accumulated deficit as of January 1, 2018. Prior periods continue to be presented under previous accounting guidance (See Note 16).</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Improving the Presentation of Net Periodic Pension Cost and Net Periodic Postretirement Benefit Cost</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During the first quarter of 2018, the Company adopted FASB amended guidance on the presentation of net periodic pension and postretirement benefit cost (“net benefit cost”). This guidance requires the Company to present the service cost component of net benefit cost in the same line items on the statement of operations as other compensation costs of the related employees. All of the other components of net benefit cost are presented in the statement of operations separately from the service cost component and below the subtotal of operating income. As a result of the adoption of this guidance, the Company presented $63 million of net benefit costs in “Other items, net” on the Consolidated Statement of Operations for 2018 representing the components of net benefit cost other than service cost. This guidance is required to be applied retrospectively and therefore, the Company reclassified net benefit costs of $438 million and $281 million, including pension settlement charges, below operating income for 2017 and 2016, respectively, on the Consolidated Statements of Operations (See Note 14). All related amounts presented herein have been recast to conform to this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Compensation: Scope of Modification Accounting</w:t>
      </w:r>
    </w:p>
    <w:p>
      <w:pPr>
        <w:spacing w:after="0" w:line="17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During the first quarter of 2018, the Company adopted FASB amended guidance on the accounting for stock-based compensation which clarifies when to account for a change to the terms or conditions of a share-based payment award as a modification. Under this guidance, modification accounting is required only if the fair value, the vesting conditions, or the classification of the award as equity or liability changes as a result of the change in the terms or conditions of a share-based payment award. The adoption of this guidance did not have an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Clarifying the Definition of a Business</w:t>
      </w:r>
    </w:p>
    <w:p>
      <w:pPr>
        <w:spacing w:after="0" w:line="135"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6"/>
          <w:szCs w:val="16"/>
          <w:color w:val="auto"/>
        </w:rPr>
        <w:t>During the first quarter of 2018, the Company adopted FASB amended guidance on the accounting for business combinations which clarifies the definition of a business and assists entities with evaluating whether transactions should be accounted for as acquisitions (or disposals) of assets or businesses. Under this guidance, when substantially all of the fair value of gross assets acquired is concentrated in a single asset (or group of similar assets), the assets acquired would not represent a business. In addition, in order to be considered a business, an acquisition would have to include at a minimum an input and a substantive process that together significantly contribute to the ability to create an output. The amended guidance also narrows the definition of outputs by more closely aligning it with how outputs are described in FASB guidance for revenue recognition. The adoption of this guidance did not have an impact on the Company’s consolidated financial statements.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ectPr>
          <w:pgSz w:w="11900" w:h="16838" w:orient="portrait"/>
          <w:cols w:equalWidth="0" w:num="1">
            <w:col w:w="11420"/>
          </w:cols>
          <w:pgMar w:left="240" w:top="400" w:right="239" w:bottom="1440" w:gutter="0" w:footer="0" w:header="0"/>
        </w:sectPr>
      </w:pPr>
    </w:p>
    <w:bookmarkStart w:id="97" w:name="page98"/>
    <w:bookmarkEnd w:id="97"/>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Intra-Entity Transfers of Assets Other than Inventory</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During the first quarter of 2018, the Company adopted FASB amended guidance on the accounting for income taxes, which eliminates the exception in existing guidance that defers the recognition of the tax effects of intra-entity asset transfers other than inventory until the transferred asset is sold to a third party. Under this guidance, an entity recognizes the income tax consequences of an intra-entity transfer of an asset other than inventory when the transfer occurs. The adoption of this guidance did not have an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Statement of Cash Flows: Restricted Cash</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During 2018, the Company adopted FASB amended guidance on the presentation of restricted cash in the statement of cash flows. The guidance requires companies to include restricted cash and restricted cash equivalents in their cash and cash equivalents balance in the statements of cash flows. This guidance also requires a reconciliation of the total of cash, cash equivalents, restricted cash and restricted cash equivalents on the statement of cash flows to the related balance sheet line items. This guidance is required to be applied retrospectively; however, it did not have an impact on the Company’s consolidated financial statements for prior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Not Yet Adopted</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Collaborative Arrangements: Clarifying the Interaction with the New Revenue Standard</w:t>
      </w:r>
    </w:p>
    <w:p>
      <w:pPr>
        <w:spacing w:after="0" w:line="2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 November 2018, the FASB issued guidance to clarify that certain transactions between parties to collaborative arrangements should be accounted for in 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with early adoption permitted, is not expected to have an impact on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 Accounting for Implementation Costs Incurred in a Cloud Computing Arrangement that is a Service Contract</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In August 2018, the FASB issued guidance on the accounting for implementation costs of a cloud computing arrangement that is considered to be a service contract. This guidance requires companies to follow the guidance for capitalizing costs associated with internal-use software to determine which costs to capitalize in a cloud computing arrangement that is a service contract. The guidance also specifies the financial statement presentation for capitalized implementation costs and the related amortization, as well as required financial statement disclosures. The Company is currently evaluating the impact of this guidance, which is effective for interim and annual periods beginning after December 15, 2019, with early adoption permitted.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to the Disclosure Requirements for Defined Benefit Plans</w:t>
      </w:r>
    </w:p>
    <w:p>
      <w:pPr>
        <w:spacing w:after="0" w:line="1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In August 2018, the FASB issued amended guidance that eliminates, adds and clarifies certain disclosure requirements for defined benefit pension or other postretirement plans. The Company is currently evaluating the impact of this guidance, which is required to be applied retrospectively and is effective for annual periods ending after December 15, 2020, with early adoption permitted.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ectPr>
          <w:pgSz w:w="11900" w:h="16838" w:orient="portrait"/>
          <w:cols w:equalWidth="0" w:num="1">
            <w:col w:w="11420"/>
          </w:cols>
          <w:pgMar w:left="240" w:top="400" w:right="239" w:bottom="1440" w:gutter="0" w:footer="0" w:header="0"/>
        </w:sectPr>
      </w:pPr>
    </w:p>
    <w:bookmarkStart w:id="98" w:name="page99"/>
    <w:bookmarkEnd w:id="98"/>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to the Disclosure Requirements for Fair Value Measurements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August 2018, the FASB issued amended guidance that eliminates, adds and modifies certain disclosure requirements for fair value measurements. This guidance, which is effective for interim and annual periods beginning after December 15, 2019, with early adoption permitted, is not expected to have an impact on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Reclassification of Certain Tax Effects from Accumulated Other Comprehensive Income</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February 2018, the FASB issued amended guidance that permits an entity to reclassify the income tax effects of federal tax legislation enacted in December 2017 (the “Tax Reform Act”) on items within accumulated other comprehensive income to retained earnings. The Company is currently evaluating the impact of this guidance, which is effective for interim and annual periods beginning after December 15, 2018, with early adoption permitted.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Targeted Improvements to Accounting for Hedging Activities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August 2017, the FASB issued amended guidance for hedge accounting, which expands the eligibility of hedging strategies that qualify for hedge accounting, modifies the recognition and presentation of hedges in the financial statements, and changes how companies assess hedge effectiveness. In addition, this guidance amends and expands disclosure requirements. This guidance, which is effective for interim and annual periods beginning after December 15, 2018, with early adoption permitted, is not expected to have a material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February 2016, the FASB issued new guidance on the accounting for leases, which supersedes previous lease guidance. Under this guidance, for all leases with terms in excess of one year, including operating leases, the Company will be required to recognize on its balance sheet a lease liability and a right-of-use asset representing its right to use the underlying asset for the lease term. The new guidance retains a distinction between finance leases and operating leases and the classification criteria is substantially similar to previous guidance. Additionally, the recognition, measurement, and presentation of expenses and cash flows arising from a lease by a lessee have not significantly changed. This guidance is effective for the Company in the first quarter of 2019. The Company will apply the modified retrospective method of adoption as of January 1, 2019 and comparative periods will continue to be presented under existing lease guidance. The Company is still in the process of evaluating the impact of this guidance, including reviewing its lease portfolio as well as implementing new lease accounting software for administering its leases under the new guidance and therefore the estimated impact on the Company’s Consolidated Balance Sheet cannot currently be determined. This change is not expected to have a material impact on the Company’s Consolidated Statement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186055</wp:posOffset>
            </wp:positionV>
            <wp:extent cx="6612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Land</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3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795</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729</w:t>
            </w:r>
          </w:p>
        </w:tc>
      </w:tr>
      <w:tr>
        <w:trPr>
          <w:trHeight w:val="310"/>
        </w:trPr>
        <w:tc>
          <w:tcPr>
            <w:tcW w:w="5680" w:type="dxa"/>
            <w:vAlign w:val="bottom"/>
          </w:tcPr>
          <w:p>
            <w:pPr>
              <w:ind w:left="40"/>
              <w:spacing w:after="0"/>
              <w:rPr>
                <w:sz w:val="20"/>
                <w:szCs w:val="20"/>
                <w:color w:val="auto"/>
              </w:rPr>
            </w:pPr>
            <w:r>
              <w:rPr>
                <w:rFonts w:ascii="Arial" w:cs="Arial" w:eastAsia="Arial" w:hAnsi="Arial"/>
                <w:sz w:val="18"/>
                <w:szCs w:val="18"/>
                <w:color w:val="auto"/>
              </w:rPr>
              <w:t xml:space="preserve">Capital leases </w:t>
            </w:r>
            <w:r>
              <w:rPr>
                <w:rFonts w:ascii="Arial" w:cs="Arial" w:eastAsia="Arial" w:hAnsi="Arial"/>
                <w:sz w:val="25"/>
                <w:szCs w:val="25"/>
                <w:color w:val="auto"/>
                <w:vertAlign w:val="superscript"/>
              </w:rPr>
              <w:t>(a)</w:t>
            </w:r>
          </w:p>
        </w:tc>
        <w:tc>
          <w:tcPr>
            <w:tcW w:w="238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30"/>
        </w:trPr>
        <w:tc>
          <w:tcPr>
            <w:tcW w:w="568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3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1,798</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1,867</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2,926</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2,947</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1,717</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1,209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1,246</w:t>
            </w:r>
          </w:p>
        </w:tc>
      </w:tr>
      <w:tr>
        <w:trPr>
          <w:trHeight w:val="34"/>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ind w:left="720" w:hanging="22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Accumulated amortization of capital leases was $106 million and $112 million at December 31, 2018 and 2017, respectively.</w:t>
      </w:r>
    </w:p>
    <w:p>
      <w:pPr>
        <w:spacing w:after="0" w:line="200" w:lineRule="exact"/>
        <w:rPr>
          <w:rFonts w:ascii="Arial" w:cs="Arial" w:eastAsia="Arial" w:hAnsi="Arial"/>
          <w:sz w:val="16"/>
          <w:szCs w:val="16"/>
          <w:color w:val="auto"/>
        </w:rPr>
      </w:pPr>
    </w:p>
    <w:p>
      <w:pPr>
        <w:spacing w:after="0" w:line="34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II-65</w:t>
      </w:r>
    </w:p>
    <w:p>
      <w:pPr>
        <w:sectPr>
          <w:pgSz w:w="11900" w:h="16838" w:orient="portrait"/>
          <w:cols w:equalWidth="0" w:num="1">
            <w:col w:w="11420"/>
          </w:cols>
          <w:pgMar w:left="240" w:top="400" w:right="239" w:bottom="1440" w:gutter="0" w:footer="0" w:header="0"/>
        </w:sectPr>
      </w:pPr>
    </w:p>
    <w:bookmarkStart w:id="99" w:name="page100"/>
    <w:bookmarkEnd w:id="99"/>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471805</wp:posOffset>
            </wp:positionV>
            <wp:extent cx="66122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7"/>
        </w:trPr>
        <w:tc>
          <w:tcPr>
            <w:tcW w:w="5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22"/>
        </w:trPr>
        <w:tc>
          <w:tcPr>
            <w:tcW w:w="5560" w:type="dxa"/>
            <w:vAlign w:val="bottom"/>
          </w:tcPr>
          <w:p>
            <w:pPr>
              <w:ind w:left="40"/>
              <w:spacing w:after="0"/>
              <w:rPr>
                <w:sz w:val="20"/>
                <w:szCs w:val="20"/>
                <w:color w:val="auto"/>
              </w:rPr>
            </w:pPr>
            <w:r>
              <w:rPr>
                <w:rFonts w:ascii="Arial" w:cs="Arial" w:eastAsia="Arial" w:hAnsi="Arial"/>
                <w:sz w:val="18"/>
                <w:szCs w:val="18"/>
                <w:color w:val="auto"/>
              </w:rPr>
              <w:t xml:space="preserve">Depreciation expense, including capitalized lease amortization </w:t>
            </w:r>
            <w:r>
              <w:rPr>
                <w:rFonts w:ascii="Arial" w:cs="Arial" w:eastAsia="Arial" w:hAnsi="Arial"/>
                <w:sz w:val="25"/>
                <w:szCs w:val="25"/>
                <w:color w:val="auto"/>
                <w:vertAlign w:val="superscript"/>
              </w:rPr>
              <w:t>(a)</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205</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203</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-36195</wp:posOffset>
            </wp:positionV>
            <wp:extent cx="66122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(a) Amortization expense related to capital leases was $18 million, $16 million and $17 million in 2018, 2017, and 2016, respectively.</w:t>
      </w:r>
    </w:p>
    <w:p>
      <w:pPr>
        <w:spacing w:after="0" w:line="11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 January 2019, the Company completed the sale of its CBS Television City property and sound stage operation for $750 million. The Company has guaranteed a specified level of cash flows to be generated by the business during the first five years following the completion of the sale. The Company expects to record a liability of approximately $130 million reflecting the estimated amount payable under the guarantee obligation. This transaction is expected to result in a pre-tax gain of approximately $540 million, which includes a reduction for the guarantee obligation. CBS Television City has been classified as held for sale on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GOODWILL AND OTHER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Company performs a fair value-based impairment test of goodwill and intangible assets with indefinite lives, comprised of television FCC licenses and international broadcast licenses, annually during the fourth quarter and also between annual tests if an event occurs or if circumstances change that would more likely than not reduce the fair value of a reporting unit or an indefinite-lived intangible asset below its carrying value.</w:t>
      </w:r>
    </w:p>
    <w:p>
      <w:pPr>
        <w:spacing w:after="0" w:line="20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FCC licenses are tested for impairment at the geographic market level. The Company considers each geographic market, which is comprised of all of the Company’s television stations within that geographic market, to be a single unit of accounting because the FCC licenses at this level represent their highest and best use. At December 31, 2018, the Company had 14 television markets with FCC license book values. For international broadcast licenses, the Company considers all of its broadcast licenses within a country to be a single unit of accounting because the international broadcast licenses at this level represent their highest and best use. At December 31, 2018, the Company had international broadcast licenses in Australia.</w:t>
      </w:r>
    </w:p>
    <w:p>
      <w:pPr>
        <w:spacing w:after="0" w:line="21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Goodwill is tested for impairment at the reporting unit level. During the fourth quarter of 2018, the Company began including CBS Sports Network within the Television reporting unit, which is a component of the Entertainment operating segment, reflecting changes in management structure and the integration of CBS Sports Network programming with the CBS Television Network. Prior to this change, CBS Sports Network was a standalone reporting unit and a component of the Cable Networks operating segment. At December 31, 2018, the Company had seven reporting units with goodwill balances, each one level below their respective operating segments, except for the Cable Networks reporting unit and the Publishing reporting unit, which are each the same as their respective operating segments because these operating segments each have only one component.</w:t>
      </w:r>
    </w:p>
    <w:p>
      <w:pPr>
        <w:spacing w:after="0" w:line="2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For its annual impairment test, the Company performs qualitative assessments for the reporting units, U.S. television markets with FCC licenses, and international broadcast licenses that management estimates have fair values that significantly exceed their respective carrying values. In selecting reporting units, markets, and broadcast licenses for a qualitative assessment, the Company also considers the duration of time since a quantitative test was performed. For the 2018 annual impairment test, the Company performed qualitative assessments for seven reporting units and all of its 14 U.S. television markets. For each reporting unit, the Company weighed the relative impact of factors that are specific to the reporting unit as well as industry and macroeconomic factors. For each television market, the Company weighed the relative impact of market-specific and macroeconomic factors. Based on the qualitative assessments, considering the aggregation of the relevant factors, the Company concluded that it is not more likely than not that the fair values of these reporting units and the fair value of FCC licenses within each market are less than their respective carrying values. Therefore, performing the quantitative impairment test was unnecessary.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ectPr>
          <w:pgSz w:w="11900" w:h="16838" w:orient="portrait"/>
          <w:cols w:equalWidth="0" w:num="1">
            <w:col w:w="11420"/>
          </w:cols>
          <w:pgMar w:left="240" w:top="400" w:right="239" w:bottom="1440" w:gutter="0" w:footer="0" w:header="0"/>
        </w:sectPr>
      </w:pPr>
    </w:p>
    <w:bookmarkStart w:id="100" w:name="page101"/>
    <w:bookmarkEnd w:id="100"/>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For 2018, the Company performed a quantitative impairment test for international broadcast licenses. A quantitative impairment test compares the estimated fair value of the licenses with their carrying value. The estimated fair value is computed using the Greenfield Discounted Cash Flow Method (‘‘Greenfield Method’’), which attempts to isolate the income that is attributable to the license alone. The Greenfield Method is based upon modeling a hypothetical start-up station and building it up to a normalized operation that, by design, lacks inherent goodwill and whose other assets have essentially been added as part of the build-up process. The Greenfield Method adds the present value of the estimated annual cash flows of the start-up station over a projection period to the residual value at the end of the projection period. The annual cash flows over the projection period include assumptions for overall revenues in the relevant market, the start-up station’s operating costs and capital expenditures, and a five-year build-up period for the start-up station to reach a normalized state of operations, which reflects the point at which it achieves an average market share. The overall revenues in the subject market are estimated based on recent industry projections. Operating costs and capital expenditures are estimated based on both industry and internal data. The residual value is calculated using a perpetual nominal growth rate, which is based on projected long-range inflation and long-term industry projections. The discount rate is determined based on the risk of achieving the projected cash flows, including the risk applicable to the industry and the market as a whole. The discount rate and perpetual nominal growth rate used for international broadcast licenses for 2018 were 11% and 0.5%, respectively. The Company concluded that the estimated fair value of international broadcast licenses, which were recorded at fair value in the fourth quarter of 2017 when the Company acquired Ten Network Holdings Limited (“Network 10”), continues to approximate the carrying value and therefore no impairment charge was required.</w:t>
      </w:r>
    </w:p>
    <w:p>
      <w:pPr>
        <w:spacing w:after="0" w:line="1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For 2018, the Company performed a quantitative goodwill impairment test for the CBS Sports Network reporting unit prior to the inclusion of this business in the CBS Television reporting unit. The quantitative goodwill impairment test examines whether the carrying value of a reporting unit exceeds its estimated fair value, which is computed based upon the present value of future cash flows (“Discounted Cash Flow Method”) and the traded or transaction values of comparable businesses (“Market Comparable Method”). If the carrying value exceeds the estimated fair value, an impairment charge is recognized as the amount by which the carrying value exceeds the fair value. For 2018, the Discounted Cash Flow Method and Market Comparable Method for CBS Sports Network resulted in similar estimated fair values. The Discounted Cash Flow Method includes the Company’s assumptions for growth rates, operating margins and capital expenditures for the projection period plus the residual value of the business at the end of the projection period. The estimated growth rates, operating margins and capital expenditures for the projection period are based on the Company’s internal forecasts of future performance as well as historical trends. The residual value is estimated based on a perpetual nominal growth rate, which is based on projected long-range inflation and long-term industry projections and for 2018 was 2.0%. The discount rate, which for 2018 was 8.5%, is determined based on the risk of achieving the projected cash flows, including the risk applicable to the industry and the market as a whole.</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the 2018 annual impairment test, the Company concluded that the estimated fair value of the CBS Sports Network reporting unit exceeded its carrying value and therefore no impairment charge was required.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the fourth quarter of 2017, the Company completed the acquisition of Network 10, one of three major commercial broadcast networks in Australia, for approximately $124 million, which is net of cash acquired. The assets acquired primarily consist of broadcast licenses, net operating loss carryforwards and working capital.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ectPr>
          <w:pgSz w:w="11900" w:h="16838" w:orient="portrait"/>
          <w:cols w:equalWidth="0" w:num="1">
            <w:col w:w="11420"/>
          </w:cols>
          <w:pgMar w:left="240" w:top="400" w:right="239" w:bottom="1440" w:gutter="0" w:footer="0" w:header="0"/>
        </w:sectPr>
      </w:pPr>
    </w:p>
    <w:bookmarkStart w:id="101" w:name="page102"/>
    <w:bookmarkEnd w:id="101"/>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following tables present the changes in the book value of goodwill by segment for the years ended December 31, 2018 and 2017. During the fourth quarter of 2018, the Company began presenting CBS Sports Network, which was previously included in the Cable Networks segment, in the Entertainment segment. As a result, goodwill of $261 million associated with CBS Sports Network has been reclassified from Cable Networks to Entertainment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149225</wp:posOffset>
            </wp:positionV>
            <wp:extent cx="70923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 at</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b w:val="1"/>
                <w:bCs w:val="1"/>
                <w:color w:val="auto"/>
              </w:rPr>
              <w:t>Balance at</w:t>
            </w:r>
          </w:p>
        </w:tc>
      </w:tr>
      <w:tr>
        <w:trPr>
          <w:trHeight w:val="270"/>
        </w:trPr>
        <w:tc>
          <w:tcPr>
            <w:tcW w:w="2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December 31, 2017</w:t>
            </w:r>
          </w:p>
        </w:tc>
        <w:tc>
          <w:tcPr>
            <w:tcW w:w="38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Acquisitions</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380" w:type="dxa"/>
            <w:vAlign w:val="bottom"/>
          </w:tcPr>
          <w:p>
            <w:pPr>
              <w:spacing w:after="0"/>
              <w:rPr>
                <w:sz w:val="23"/>
                <w:szCs w:val="23"/>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Entertainment:</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9,584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ind w:left="80"/>
              <w:spacing w:after="0"/>
              <w:rPr>
                <w:sz w:val="20"/>
                <w:szCs w:val="20"/>
                <w:color w:val="auto"/>
              </w:rPr>
            </w:pPr>
            <w:r>
              <w:rPr>
                <w:rFonts w:ascii="Arial" w:cs="Arial" w:eastAsia="Arial" w:hAnsi="Arial"/>
                <w:sz w:val="13"/>
                <w:szCs w:val="13"/>
                <w:color w:val="auto"/>
              </w:rPr>
              <w:t>(a)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9,611</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(6,294)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(6,294)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3,317</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Cable Networks:</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221</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221</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Publishing:</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Local Media:</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8,007</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8,007</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(7,060)</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(7,060)</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947</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18,245</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18,274</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(13,354)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(13,354)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4,891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70923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Amount reflects the acquisition of a digital entertainment media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II-68</w:t>
      </w:r>
    </w:p>
    <w:p>
      <w:pPr>
        <w:sectPr>
          <w:pgSz w:w="11900" w:h="16838" w:orient="portrait"/>
          <w:cols w:equalWidth="0" w:num="1">
            <w:col w:w="11420"/>
          </w:cols>
          <w:pgMar w:left="240" w:top="400" w:right="239" w:bottom="1440" w:gutter="0" w:footer="0" w:header="0"/>
        </w:sectPr>
      </w:pPr>
    </w:p>
    <w:bookmarkStart w:id="102" w:name="page103"/>
    <w:bookmarkEnd w:id="102"/>
    <w:p>
      <w:pPr>
        <w:spacing w:after="0" w:line="37"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471805</wp:posOffset>
            </wp:positionV>
            <wp:extent cx="70923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 at</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b w:val="1"/>
                <w:bCs w:val="1"/>
                <w:color w:val="auto"/>
              </w:rPr>
              <w:t>Balance at</w:t>
            </w:r>
          </w:p>
        </w:tc>
      </w:tr>
      <w:tr>
        <w:trPr>
          <w:trHeight w:val="270"/>
        </w:trPr>
        <w:tc>
          <w:tcPr>
            <w:tcW w:w="2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December 31, 2016</w:t>
            </w:r>
          </w:p>
        </w:tc>
        <w:tc>
          <w:tcPr>
            <w:tcW w:w="38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Acquisitions</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380" w:type="dxa"/>
            <w:vAlign w:val="bottom"/>
          </w:tcPr>
          <w:p>
            <w:pPr>
              <w:spacing w:after="0"/>
              <w:rPr>
                <w:sz w:val="23"/>
                <w:szCs w:val="23"/>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 2017</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Entertainment:</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9,561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ind w:left="80"/>
              <w:spacing w:after="0"/>
              <w:rPr>
                <w:sz w:val="20"/>
                <w:szCs w:val="20"/>
                <w:color w:val="auto"/>
              </w:rPr>
            </w:pPr>
            <w:r>
              <w:rPr>
                <w:rFonts w:ascii="Arial" w:cs="Arial" w:eastAsia="Arial" w:hAnsi="Arial"/>
                <w:sz w:val="13"/>
                <w:szCs w:val="13"/>
                <w:color w:val="auto"/>
              </w:rPr>
              <w:t>(a)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9,584</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(6,294)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(6,294)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3,267</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3,290</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Cable Networks:</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219</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219</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Publishing:</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431</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Local Media:</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8,007</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8,007</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(7,060)</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(7,060)</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947</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18,218</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18,245</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(13,354)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(13,354)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4,864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0923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51" w:lineRule="exact"/>
        <w:rPr>
          <w:sz w:val="20"/>
          <w:szCs w:val="20"/>
          <w:color w:val="auto"/>
        </w:rPr>
      </w:pPr>
    </w:p>
    <w:p>
      <w:pPr>
        <w:ind w:left="280" w:hanging="230"/>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reflects the acquisitions of a television production business and a digital sports publishing business.</w:t>
      </w:r>
    </w:p>
    <w:p>
      <w:pPr>
        <w:spacing w:after="0" w:line="59" w:lineRule="exact"/>
        <w:rPr>
          <w:rFonts w:ascii="Arial" w:cs="Arial" w:eastAsia="Arial" w:hAnsi="Arial"/>
          <w:sz w:val="16"/>
          <w:szCs w:val="16"/>
          <w:color w:val="auto"/>
        </w:rPr>
      </w:pPr>
    </w:p>
    <w:p>
      <w:pPr>
        <w:ind w:left="280" w:hanging="230"/>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relates to the acquisition of a publishing business in the fourth quarter of 2016.</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The Company’s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207645</wp:posOffset>
            </wp:positionV>
            <wp:extent cx="68179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34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300" w:type="dxa"/>
            <w:vAlign w:val="bottom"/>
          </w:tcPr>
          <w:p>
            <w:pPr>
              <w:spacing w:after="0"/>
              <w:rPr>
                <w:sz w:val="23"/>
                <w:szCs w:val="23"/>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Amortization</w:t>
            </w:r>
          </w:p>
        </w:tc>
        <w:tc>
          <w:tcPr>
            <w:tcW w:w="36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Net</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 subject to amortization</w:t>
            </w:r>
          </w:p>
        </w:tc>
        <w:tc>
          <w:tcPr>
            <w:tcW w:w="18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FCC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2,441</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broadcast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2,638</w:t>
            </w:r>
          </w:p>
        </w:tc>
      </w:tr>
      <w:tr>
        <w:trPr>
          <w:trHeight w:val="34"/>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120015</wp:posOffset>
            </wp:positionV>
            <wp:extent cx="68179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80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300" w:type="dxa"/>
            <w:vAlign w:val="bottom"/>
          </w:tcPr>
          <w:p>
            <w:pPr>
              <w:spacing w:after="0"/>
              <w:rPr>
                <w:sz w:val="23"/>
                <w:szCs w:val="23"/>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Amortization</w:t>
            </w:r>
          </w:p>
        </w:tc>
        <w:tc>
          <w:tcPr>
            <w:tcW w:w="36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Net</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 subject to amortization</w:t>
            </w:r>
          </w:p>
        </w:tc>
        <w:tc>
          <w:tcPr>
            <w:tcW w:w="18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FCC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2,441</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broadcast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2,818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2,666</w:t>
            </w:r>
          </w:p>
        </w:tc>
      </w:tr>
      <w:tr>
        <w:trPr>
          <w:trHeight w:val="34"/>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0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Amortization expense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96520</wp:posOffset>
            </wp:positionV>
            <wp:extent cx="59772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77255" cy="17145"/>
                    </a:xfrm>
                    <a:prstGeom prst="rect">
                      <a:avLst/>
                    </a:prstGeom>
                    <a:noFill/>
                  </pic:spPr>
                </pic:pic>
              </a:graphicData>
            </a:graphic>
          </wp:anchor>
        </w:drawing>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2017</w:t>
            </w:r>
          </w:p>
        </w:tc>
        <w:tc>
          <w:tcPr>
            <w:tcW w:w="4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38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34"/>
        </w:trPr>
        <w:tc>
          <w:tcPr>
            <w:tcW w:w="38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76" w:orient="portrait"/>
          <w:cols w:equalWidth="0" w:num="1">
            <w:col w:w="11180"/>
          </w:cols>
          <w:pgMar w:left="360" w:top="400" w:right="359"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II-69</w:t>
      </w:r>
    </w:p>
    <w:p>
      <w:pPr>
        <w:sectPr>
          <w:pgSz w:w="11900" w:h="16876" w:orient="portrait"/>
          <w:cols w:equalWidth="0" w:num="1">
            <w:col w:w="11180"/>
          </w:cols>
          <w:pgMar w:left="360" w:top="400" w:right="359" w:bottom="0" w:gutter="0" w:footer="0" w:header="0"/>
          <w:type w:val="continuous"/>
        </w:sectPr>
      </w:pPr>
    </w:p>
    <w:bookmarkStart w:id="103" w:name="page104"/>
    <w:bookmarkEnd w:id="103"/>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Company expects its aggregate annual amortization expense for existing intangible assets subject to amortization for each of the years, 2019 through 2023,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71755</wp:posOffset>
            </wp:positionV>
            <wp:extent cx="58400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4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46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44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4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2023</w:t>
            </w:r>
          </w:p>
        </w:tc>
      </w:tr>
      <w:tr>
        <w:trPr>
          <w:trHeight w:val="27"/>
        </w:trPr>
        <w:tc>
          <w:tcPr>
            <w:tcW w:w="2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Future amortization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10</w:t>
            </w:r>
          </w:p>
        </w:tc>
      </w:tr>
      <w:tr>
        <w:trPr>
          <w:trHeight w:val="34"/>
        </w:trPr>
        <w:tc>
          <w:tcPr>
            <w:tcW w:w="2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RESTRUCTURING, PROGRAMMING CHARGES AND OTHER CORPORATE MATTERS</w:t>
      </w:r>
    </w:p>
    <w:p>
      <w:pPr>
        <w:spacing w:after="0" w:line="1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During the year ended December 31, 2018, in a continued effort to reduce its cost structure, the Company initiated restructuring plans across several of its businesses, primarily for the reorganization and closure of certain business operations. As a result, the Company recorded restructuring charges of $67 million, reflecting $57 million of severance costs and $10 million of costs associated with exiting contractual obligations and other related costs. During the year ended December 31, 2017, the Company recorded restructuring charges of $63 million, reflecting $54 million of severance costs and $9 million of costs associated with exiting contractual obligations and other related costs. During the year ended December 31, 2016, the Company recorded restructuring charges of $30 million, reflecting $19 million of severance costs and $11 million of costs associated with exiting contractual obligations and other related costs. As of December 31, 2018, the cumulative settlements for the 2018, 2017, and 2016 restructuring charges were $88 million, of which $74 million was for severance costs and $14 million related to costs associated with exiting contractual obligations and other related costs. The Company expects to substantially utilize its restructuring reserves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108585</wp:posOffset>
            </wp:positionV>
            <wp:extent cx="63976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w w:val="88"/>
              </w:rPr>
              <w:t>Balance at</w:t>
            </w:r>
          </w:p>
        </w:tc>
        <w:tc>
          <w:tcPr>
            <w:tcW w:w="4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1940" w:type="dxa"/>
            <w:vAlign w:val="bottom"/>
          </w:tcPr>
          <w:p>
            <w:pPr>
              <w:spacing w:after="0"/>
              <w:rPr>
                <w:sz w:val="23"/>
                <w:szCs w:val="23"/>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2017</w:t>
            </w:r>
          </w:p>
        </w:tc>
        <w:tc>
          <w:tcPr>
            <w:tcW w:w="46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Charges</w:t>
            </w:r>
          </w:p>
        </w:tc>
        <w:tc>
          <w:tcPr>
            <w:tcW w:w="18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Settlements</w:t>
            </w: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45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34</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Local Media</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23</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13</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66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72</w:t>
            </w:r>
          </w:p>
        </w:tc>
      </w:tr>
      <w:tr>
        <w:trPr>
          <w:trHeight w:val="34"/>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154305</wp:posOffset>
            </wp:positionV>
            <wp:extent cx="63976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w w:val="88"/>
              </w:rPr>
              <w:t>Balance at</w:t>
            </w:r>
          </w:p>
        </w:tc>
        <w:tc>
          <w:tcPr>
            <w:tcW w:w="4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1940" w:type="dxa"/>
            <w:vAlign w:val="bottom"/>
          </w:tcPr>
          <w:p>
            <w:pPr>
              <w:spacing w:after="0"/>
              <w:rPr>
                <w:sz w:val="23"/>
                <w:szCs w:val="23"/>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2016</w:t>
            </w:r>
          </w:p>
        </w:tc>
        <w:tc>
          <w:tcPr>
            <w:tcW w:w="46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Charges</w:t>
            </w:r>
          </w:p>
        </w:tc>
        <w:tc>
          <w:tcPr>
            <w:tcW w:w="18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Settlements</w:t>
            </w: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45</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Local Media</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14</w:t>
            </w:r>
          </w:p>
        </w:tc>
      </w:tr>
      <w:tr>
        <w:trPr>
          <w:trHeight w:val="270"/>
        </w:trPr>
        <w:tc>
          <w:tcPr>
            <w:tcW w:w="19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3"/>
                <w:szCs w:val="23"/>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w:t>
            </w:r>
          </w:p>
        </w:tc>
      </w:tr>
      <w:tr>
        <w:trPr>
          <w:trHeight w:val="27"/>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66</w:t>
            </w:r>
          </w:p>
        </w:tc>
      </w:tr>
      <w:tr>
        <w:trPr>
          <w:trHeight w:val="34"/>
        </w:trPr>
        <w:tc>
          <w:tcPr>
            <w:tcW w:w="1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2018, the Company recorded expenses of $128 million primarily for professional fees related to legal proceedings, recent investigations at the Company (see Note 18) and the evaluation of a potential combination with Viacom Inc.</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2016, the Company incurred professional fees of $8 million associated with merger and acquisition-related activities.</w:t>
      </w:r>
    </w:p>
    <w:p>
      <w:pPr>
        <w:spacing w:after="0" w:line="22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the fourth quarter of 2018, in connection with recent management changes, the Company implemented changes to its programming strategy, primarily at CBS Films, which will shift its focus from theatrical films to developing content for the Company’s direct-to-consumer digital streaming services. As a result, the Company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II-70</w:t>
      </w:r>
    </w:p>
    <w:p>
      <w:pPr>
        <w:sectPr>
          <w:pgSz w:w="11900" w:h="16838" w:orient="portrait"/>
          <w:cols w:equalWidth="0" w:num="1">
            <w:col w:w="11420"/>
          </w:cols>
          <w:pgMar w:left="240" w:top="400" w:right="239" w:bottom="1440" w:gutter="0" w:footer="0" w:header="0"/>
          <w:type w:val="continuous"/>
        </w:sectPr>
      </w:pPr>
    </w:p>
    <w:bookmarkStart w:id="104" w:name="page105"/>
    <w:bookmarkEnd w:id="104"/>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recorded programming charges of $85 million in 2018, which are included in “Operating expenses” on the Consolidated Statement of Operations.</w:t>
      </w:r>
    </w:p>
    <w:p>
      <w:pPr>
        <w:spacing w:after="0" w:line="17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February 2019, the Company initiated a restructuring plan under which severance payments will be provided to certain eligible employees who voluntarily elect to participate. As a result, the Company expects to record a restructuring charge in the first quarter of 2019. The amount of this charge and the associated future savings will be based on the number of eligible employees who elect to participate in the restructuring plan and therefore cannot currently be determined.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PROGRAMMING AND OTHER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186055</wp:posOffset>
            </wp:positionV>
            <wp:extent cx="66636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0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00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Acquired program rights</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2,400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2,234</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Acquired television library</w:t>
            </w:r>
          </w:p>
        </w:tc>
        <w:tc>
          <w:tcPr>
            <w:tcW w:w="200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Internally produced programming:</w:t>
            </w:r>
          </w:p>
        </w:tc>
        <w:tc>
          <w:tcPr>
            <w:tcW w:w="2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380" w:type="dxa"/>
            <w:vAlign w:val="bottom"/>
          </w:tcPr>
          <w:p>
            <w:pPr>
              <w:ind w:left="160"/>
              <w:spacing w:after="0"/>
              <w:rPr>
                <w:sz w:val="20"/>
                <w:szCs w:val="20"/>
                <w:color w:val="auto"/>
              </w:rPr>
            </w:pPr>
            <w:r>
              <w:rPr>
                <w:rFonts w:ascii="Arial" w:cs="Arial" w:eastAsia="Arial" w:hAnsi="Arial"/>
                <w:sz w:val="18"/>
                <w:szCs w:val="18"/>
                <w:color w:val="auto"/>
              </w:rPr>
              <w:t>Released</w:t>
            </w:r>
          </w:p>
        </w:tc>
        <w:tc>
          <w:tcPr>
            <w:tcW w:w="200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2,477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1,780</w:t>
            </w:r>
          </w:p>
        </w:tc>
      </w:tr>
      <w:tr>
        <w:trPr>
          <w:trHeight w:val="270"/>
        </w:trPr>
        <w:tc>
          <w:tcPr>
            <w:tcW w:w="5380" w:type="dxa"/>
            <w:vAlign w:val="bottom"/>
          </w:tcPr>
          <w:p>
            <w:pPr>
              <w:ind w:left="160"/>
              <w:spacing w:after="0"/>
              <w:rPr>
                <w:sz w:val="20"/>
                <w:szCs w:val="20"/>
                <w:color w:val="auto"/>
              </w:rPr>
            </w:pPr>
            <w:r>
              <w:rPr>
                <w:rFonts w:ascii="Arial" w:cs="Arial" w:eastAsia="Arial" w:hAnsi="Arial"/>
                <w:sz w:val="18"/>
                <w:szCs w:val="18"/>
                <w:color w:val="auto"/>
              </w:rPr>
              <w:t>In process and other</w:t>
            </w:r>
          </w:p>
        </w:tc>
        <w:tc>
          <w:tcPr>
            <w:tcW w:w="200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839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Publishing, primarily finished goods</w:t>
            </w:r>
          </w:p>
        </w:tc>
        <w:tc>
          <w:tcPr>
            <w:tcW w:w="200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5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programming and other inventory</w:t>
            </w:r>
          </w:p>
        </w:tc>
        <w:tc>
          <w:tcPr>
            <w:tcW w:w="200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5,871</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4,709</w:t>
            </w:r>
          </w:p>
        </w:tc>
      </w:tr>
      <w:tr>
        <w:trPr>
          <w:trHeight w:val="270"/>
        </w:trPr>
        <w:tc>
          <w:tcPr>
            <w:tcW w:w="538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200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1,988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5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noncurrent programming and other inventory</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3,883</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2,881</w:t>
            </w:r>
          </w:p>
        </w:tc>
      </w:tr>
      <w:tr>
        <w:trPr>
          <w:trHeight w:val="34"/>
        </w:trPr>
        <w:tc>
          <w:tcPr>
            <w:tcW w:w="5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Company expects to amortize approximately $1.1 billion of its released internally produced programming during the year ended December 31, 2019. In addition, while it is difficult to determine the precise timing of the amortization of the remaining released internally produced programming, the Company estimates that substantially all of the December 31, 2018 balance will be amortized over the next three years.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RELATED PARTIES</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and Viacom Inc. Mr. Sumner</w:t>
      </w:r>
      <w:r>
        <w:rPr>
          <w:rFonts w:ascii="Arial" w:cs="Arial" w:eastAsia="Arial" w:hAnsi="Arial"/>
          <w:sz w:val="18"/>
          <w:szCs w:val="18"/>
          <w:i w:val="1"/>
          <w:iCs w:val="1"/>
          <w:color w:val="auto"/>
        </w:rPr>
        <w:t xml:space="preserve"> </w:t>
      </w:r>
      <w:r>
        <w:rPr>
          <w:rFonts w:ascii="Arial" w:cs="Arial" w:eastAsia="Arial" w:hAnsi="Arial"/>
          <w:sz w:val="18"/>
          <w:szCs w:val="18"/>
          <w:color w:val="auto"/>
        </w:rPr>
        <w:t>M. Redstone, the controlling stockholder, chairman of the board of directors and chief executive officer of NAI, is the Chairman Emeritus of CBS Corp. and the Chairman Emeritus of Viacom Inc. In addition, Ms. Shari Redstone, Mr. Sumner M. Redstone’s daughter, is the president and a director of NAI and the vice chair of the Board of Directors of each of CBS Corp. and Viacom Inc. At February 13, 2019, NAI directly or indirectly owned approximately 79.8% of CBS Corp.’s voting Class A Common Stock and owned approximately 10.5% of CBS Corp.’s Class A Common Stock and non-voting Class B Common Stock on a combined basis.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CBS Corporation director Ms. Shari Redstone. No member of the Company’s management is a trustee of the SMR Trust. Pursuant to a settlement and release agreement entered into by the Company and NAI, among others, with respect to legal proceedings involving these parties, the Company paid $30 million for professional fees incurred by NAI during 2018 relating to these legal proceedings, which are included in “Restructuring and other corporate matters” on the Consolidated Statement of Operations for the year ended December 31, 2018.</w:t>
      </w:r>
    </w:p>
    <w:p>
      <w:pPr>
        <w:spacing w:after="0" w:line="18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20"/>
          <w:szCs w:val="20"/>
          <w:i w:val="1"/>
          <w:iCs w:val="1"/>
          <w:color w:val="auto"/>
        </w:rPr>
        <w:t xml:space="preserve">Viacom Inc. </w:t>
      </w:r>
      <w:r>
        <w:rPr>
          <w:rFonts w:ascii="Arial" w:cs="Arial" w:eastAsia="Arial" w:hAnsi="Arial"/>
          <w:sz w:val="20"/>
          <w:szCs w:val="20"/>
          <w:color w:val="auto"/>
        </w:rPr>
        <w:t>As part of its normal course of business, the Company licenses its television content, leases production facilities and sells</w:t>
      </w:r>
      <w:r>
        <w:rPr>
          <w:rFonts w:ascii="Arial" w:cs="Arial" w:eastAsia="Arial" w:hAnsi="Arial"/>
          <w:sz w:val="20"/>
          <w:szCs w:val="20"/>
          <w:i w:val="1"/>
          <w:iCs w:val="1"/>
          <w:color w:val="auto"/>
        </w:rPr>
        <w:t xml:space="preserve"> </w:t>
      </w:r>
      <w:r>
        <w:rPr>
          <w:rFonts w:ascii="Arial" w:cs="Arial" w:eastAsia="Arial" w:hAnsi="Arial"/>
          <w:sz w:val="20"/>
          <w:szCs w:val="20"/>
          <w:color w:val="auto"/>
        </w:rPr>
        <w:t>advertising spots to various subsidiaries of Viacom Inc. Viacom Inc. also distributes certain of the Company’s television programs in the home entertainment market. The Company’s total revenues from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ectPr>
          <w:pgSz w:w="11900" w:h="16838" w:orient="portrait"/>
          <w:cols w:equalWidth="0" w:num="1">
            <w:col w:w="11420"/>
          </w:cols>
          <w:pgMar w:left="240" w:top="400" w:right="239" w:bottom="1440" w:gutter="0" w:footer="0" w:header="0"/>
        </w:sectPr>
      </w:pPr>
    </w:p>
    <w:bookmarkStart w:id="105" w:name="page106"/>
    <w:bookmarkEnd w:id="105"/>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$88 million, $145 million and $120 million for the years ended December 31, 2018, 2017 and 2016, respectively.</w:t>
      </w:r>
    </w:p>
    <w:p>
      <w:pPr>
        <w:spacing w:after="0" w:line="25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 Company leases production facilities, licenses feature films and purchases advertising spots from various subsidiaries of Viacom Inc. The total amounts for these transactions were $30 million, $21 million and $24 million for the years ended December 31, 2018, 2017 and 2016, respectively.</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following table presents the amounts due from Viacom Inc. in the normal course of business as reflected on the Company’s Consolidated Balance Sheets. Amounts due to Viacom Inc. were minimal at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71755</wp:posOffset>
            </wp:positionV>
            <wp:extent cx="64058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05880" cy="17145"/>
                    </a:xfrm>
                    <a:prstGeom prst="rect">
                      <a:avLst/>
                    </a:prstGeom>
                    <a:noFill/>
                  </pic:spPr>
                </pic:pic>
              </a:graphicData>
            </a:graphic>
          </wp:anchor>
        </w:drawing>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5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Other assets (Receivables, noncurrent)</w:t>
            </w:r>
          </w:p>
        </w:tc>
        <w:tc>
          <w:tcPr>
            <w:tcW w:w="244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Total amounts due from Viacom Inc.</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34"/>
        </w:trPr>
        <w:tc>
          <w:tcPr>
            <w:tcW w:w="5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Other Related Parties </w:t>
      </w:r>
      <w:r>
        <w:rPr>
          <w:rFonts w:ascii="Arial" w:cs="Arial" w:eastAsia="Arial" w:hAnsi="Arial"/>
          <w:sz w:val="18"/>
          <w:szCs w:val="18"/>
          <w:color w:val="auto"/>
        </w:rPr>
        <w:t>The Company has equity interests in two domestic television networks and several international joint ventures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channels, from which the Company earns revenues primarily by selling its television programming. Total revenues earned from sales to these joint ventures were $110 million, $99 million and $112 million for the years ended December 31, 2018, 2017 and 2016, respectively. Total amounts due from these joint ventures were $34 million and $27 million at December 31, 2018 and 2017, respectively.</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 through the normal course of business, is involved in transactions with other related parties that have not been material in any of the periods presented.</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INVESTMENTS</w:t>
      </w:r>
    </w:p>
    <w:p>
      <w:pPr>
        <w:spacing w:after="0" w:line="1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Company’s investments consist of equity investments. Investments over which the Company has significant influence or ownership of more than 20% but less than or equal to 50%, without a controlling interest, are accounted for under the equity method. Such investments include the Company’s 50% interests in the broadcast network, The CW, and the entertainment cable network, Pop. In addition, the Company has interests in several international television joint ventures including a 49% interest in a joint venture with a subsidiary of AMC Networks Inc., which owns and operates channels in the United Kingdom and Ireland, including CBS branded channels; and a 30% interest in a joint venture with another subsidiary of AMC Networks Inc., which owns and operates cable and satellite channels in Europe, the Middle East and Africa.</w:t>
      </w:r>
    </w:p>
    <w:p>
      <w:pPr>
        <w:spacing w:after="0" w:line="20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and 2017, respectively, the Company had $329 million and $283 million of equity-method investments, which are included in “Other assets” on the Consolidated Balance Sheets.</w:t>
      </w:r>
    </w:p>
    <w:p>
      <w:pPr>
        <w:spacing w:after="0" w:line="1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Investments of 20% or less, over which the Company has no significant influence, that do not have a readily determinable fair value are measured at cost less impairment, if any, and adjusted for any observable price changes. At December 31, 2018 and 2017, respectively, the Company had $23 million and $24 million of such investments, which are included in “Other assets” on the Consolidated Balance Sheets.</w:t>
      </w:r>
    </w:p>
    <w:p>
      <w:pPr>
        <w:spacing w:after="0" w:line="1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 invested $124 million</w:t>
      </w:r>
      <w:r>
        <w:rPr>
          <w:rFonts w:ascii="Arial" w:cs="Arial" w:eastAsia="Arial" w:hAnsi="Arial"/>
          <w:sz w:val="18"/>
          <w:szCs w:val="18"/>
          <w:color w:val="auto"/>
        </w:rPr>
        <w:t>,</w:t>
      </w:r>
      <w:r>
        <w:rPr>
          <w:rFonts w:ascii="Arial" w:cs="Arial" w:eastAsia="Arial" w:hAnsi="Arial"/>
          <w:sz w:val="20"/>
          <w:szCs w:val="20"/>
          <w:color w:val="auto"/>
        </w:rPr>
        <w:t xml:space="preserve"> $110 million and $81 million into its equity investments during the years ended December 31, 2018, 2017 and 2016,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ectPr>
          <w:pgSz w:w="11900" w:h="16838" w:orient="portrait"/>
          <w:cols w:equalWidth="0" w:num="1">
            <w:col w:w="11420"/>
          </w:cols>
          <w:pgMar w:left="240" w:top="400" w:right="239" w:bottom="1440" w:gutter="0" w:footer="0" w:header="0"/>
        </w:sectPr>
      </w:pPr>
    </w:p>
    <w:bookmarkStart w:id="106" w:name="page107"/>
    <w:bookmarkEnd w:id="106"/>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2018 and 2017, respectively, other items, net on the statement of operations included $3 million and $13 million for the write-down of investments without readily determinable fair values. For 2016, equity in loss of investee companies, net of tax on the statement of operations included $10 million for the write-down of an international television joint venture to its fair value.</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BANK FINANCING AND DEBT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Company’s debt consists of the following </w:t>
      </w:r>
      <w:r>
        <w:rPr>
          <w:rFonts w:ascii="Arial" w:cs="Arial" w:eastAsia="Arial" w:hAnsi="Arial"/>
          <w:sz w:val="25"/>
          <w:szCs w:val="25"/>
          <w:color w:val="auto"/>
          <w:vertAlign w:val="superscript"/>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59690</wp:posOffset>
            </wp:positionV>
            <wp:extent cx="66636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100" w:type="dxa"/>
            <w:vAlign w:val="bottom"/>
            <w:gridSpan w:val="2"/>
          </w:tcPr>
          <w:p>
            <w:pPr>
              <w:ind w:left="40"/>
              <w:spacing w:after="0"/>
              <w:rPr>
                <w:sz w:val="20"/>
                <w:szCs w:val="20"/>
                <w:color w:val="auto"/>
              </w:rPr>
            </w:pPr>
            <w:r>
              <w:rPr>
                <w:rFonts w:ascii="Arial" w:cs="Arial" w:eastAsia="Arial" w:hAnsi="Arial"/>
                <w:sz w:val="18"/>
                <w:szCs w:val="18"/>
                <w:b w:val="1"/>
                <w:bCs w:val="1"/>
                <w:color w:val="auto"/>
              </w:rPr>
              <w:t>At December 31,</w:t>
            </w:r>
          </w:p>
        </w:tc>
        <w:tc>
          <w:tcPr>
            <w:tcW w:w="228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Commercial paper</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674</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2.30%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2019</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601</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4.30%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3.375% Senior Notes due 2022</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697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2.50%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397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7.875% Debentures due 2023</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31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 xml:space="preserve">7.125% Senior Notes due 2023 </w:t>
            </w:r>
            <w:r>
              <w:rPr>
                <w:rFonts w:ascii="Arial" w:cs="Arial" w:eastAsia="Arial" w:hAnsi="Arial"/>
                <w:sz w:val="25"/>
                <w:szCs w:val="25"/>
                <w:color w:val="auto"/>
                <w:vertAlign w:val="superscript"/>
              </w:rPr>
              <w:t>(b)</w:t>
            </w:r>
          </w:p>
        </w:tc>
        <w:tc>
          <w:tcPr>
            <w:tcW w:w="228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30"/>
        </w:trPr>
        <w:tc>
          <w:tcPr>
            <w:tcW w:w="520" w:type="dxa"/>
            <w:vAlign w:val="bottom"/>
          </w:tcPr>
          <w:p>
            <w:pPr>
              <w:ind w:left="40"/>
              <w:spacing w:after="0"/>
              <w:rPr>
                <w:sz w:val="20"/>
                <w:szCs w:val="20"/>
                <w:color w:val="auto"/>
              </w:rPr>
            </w:pPr>
            <w:r>
              <w:rPr>
                <w:rFonts w:ascii="Arial" w:cs="Arial" w:eastAsia="Arial" w:hAnsi="Arial"/>
                <w:sz w:val="18"/>
                <w:szCs w:val="18"/>
                <w:color w:val="auto"/>
                <w:w w:val="90"/>
              </w:rPr>
              <w:t>3.70%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28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597</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3.50%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590</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787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2027</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686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3.375% Senior Notes due 2028</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3.70%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490</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7.875% Senior Debentures due 2030</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832</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5.50%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Debentures due 2033</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426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5.90%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2040</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4.85%</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2042</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486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4.90%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2044</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539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4.60%</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Notes due 2045</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588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0"/>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1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1"/>
                <w:szCs w:val="21"/>
                <w:color w:val="auto"/>
                <w:vertAlign w:val="superscript"/>
              </w:rPr>
              <w:t>(c)</w:t>
            </w:r>
          </w:p>
        </w:tc>
        <w:tc>
          <w:tcPr>
            <w:tcW w:w="228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10,152</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10,162</w:t>
            </w:r>
          </w:p>
        </w:tc>
      </w:tr>
      <w:tr>
        <w:trPr>
          <w:trHeight w:val="230"/>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Less commercial paper</w:t>
            </w:r>
          </w:p>
        </w:tc>
        <w:tc>
          <w:tcPr>
            <w:tcW w:w="228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674</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0"/>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Less current portion</w:t>
            </w:r>
          </w:p>
        </w:tc>
        <w:tc>
          <w:tcPr>
            <w:tcW w:w="228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1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9,465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6636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4" w:lineRule="exact"/>
        <w:rPr>
          <w:sz w:val="20"/>
          <w:szCs w:val="20"/>
          <w:color w:val="auto"/>
        </w:rPr>
      </w:pPr>
    </w:p>
    <w:p>
      <w:pPr>
        <w:ind w:left="560" w:hanging="22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Unless otherwise noted, the long-term debt instruments are issuances of CBS Corp. and are guaranteed by CBS Operations Inc.</w:t>
      </w:r>
    </w:p>
    <w:p>
      <w:pPr>
        <w:spacing w:after="0" w:line="32" w:lineRule="exact"/>
        <w:rPr>
          <w:rFonts w:ascii="Arial" w:cs="Arial" w:eastAsia="Arial" w:hAnsi="Arial"/>
          <w:sz w:val="16"/>
          <w:szCs w:val="16"/>
          <w:color w:val="auto"/>
        </w:rPr>
      </w:pPr>
    </w:p>
    <w:p>
      <w:pPr>
        <w:ind w:left="560" w:hanging="22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Debt instrument is an issuance of CBS Broadcasting Inc., a wholly owned subsidiary of CBS Corp., and has no guarantor.</w:t>
      </w:r>
    </w:p>
    <w:p>
      <w:pPr>
        <w:spacing w:after="0" w:line="32" w:lineRule="exact"/>
        <w:rPr>
          <w:rFonts w:ascii="Arial" w:cs="Arial" w:eastAsia="Arial" w:hAnsi="Arial"/>
          <w:sz w:val="16"/>
          <w:szCs w:val="16"/>
          <w:color w:val="auto"/>
        </w:rPr>
      </w:pPr>
    </w:p>
    <w:p>
      <w:pPr>
        <w:jc w:val="both"/>
        <w:ind w:left="500" w:hanging="168"/>
        <w:spacing w:after="0" w:line="256" w:lineRule="auto"/>
        <w:tabs>
          <w:tab w:leader="none" w:pos="5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December 31, 2018 and 2017, the senior debt balances included (i) a net unamortized discount of $58 million and $65 million, respectively, (ii) unamortized deferred financing costs of $43 million and $47 million, respectively, and (iii) a decrease in the carrying value of the debt relating to previously settled fair value hedges of $5 million and $3 million, respectively. The face value of the Company’s total debt was $10.26 billion at December 31, 2018 and $10.28 billion at December 31, 2017.</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During the year ended December 31, 2017, the Company issued $1.80 billion of senior notes and used the net proceeds for the redemption and repayment of $1.20 billion of senior notes, of which $800 million was redeemed prior to maturity, resulting in a pre-tax loss on early extinguishment of debt of $49 million ($31 million, net of tax). The remaining proceeds were used for general corporate purposes, including discretionary contributions to the Company’s qualified pension plans and the repayment of short-term borrowings, including commercial paper.</w:t>
      </w:r>
    </w:p>
    <w:p>
      <w:pPr>
        <w:spacing w:after="0" w:line="1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the Company classified $600 million of debt maturing in August 2019 as long-term debt on the Consolidated Balance Sheet, reflecting its intent and ability to refinance this debt on a long-term basis.</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II-73</w:t>
      </w:r>
    </w:p>
    <w:p>
      <w:pPr>
        <w:sectPr>
          <w:pgSz w:w="11900" w:h="16838" w:orient="portrait"/>
          <w:cols w:equalWidth="0" w:num="1">
            <w:col w:w="11420"/>
          </w:cols>
          <w:pgMar w:left="240" w:top="400" w:right="239" w:bottom="1440" w:gutter="0" w:footer="0" w:header="0"/>
          <w:type w:val="continuous"/>
        </w:sectPr>
      </w:pPr>
    </w:p>
    <w:bookmarkStart w:id="107" w:name="page108"/>
    <w:bookmarkEnd w:id="107"/>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the Company’s scheduled maturities of long-term debt at face value, excluding capital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110490</wp:posOffset>
            </wp:positionV>
            <wp:extent cx="65347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2024 and</w:t>
            </w:r>
          </w:p>
        </w:tc>
      </w:tr>
      <w:tr>
        <w:trPr>
          <w:trHeight w:val="270"/>
        </w:trPr>
        <w:tc>
          <w:tcPr>
            <w:tcW w:w="2280" w:type="dxa"/>
            <w:vAlign w:val="bottom"/>
          </w:tcPr>
          <w:p>
            <w:pPr>
              <w:spacing w:after="0"/>
              <w:rPr>
                <w:sz w:val="23"/>
                <w:szCs w:val="23"/>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3"/>
                <w:szCs w:val="23"/>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3"/>
                <w:szCs w:val="23"/>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2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   600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   300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  1,033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6,907</w:t>
            </w:r>
          </w:p>
        </w:tc>
      </w:tr>
      <w:tr>
        <w:trPr>
          <w:trHeight w:val="34"/>
        </w:trPr>
        <w:tc>
          <w:tcPr>
            <w:tcW w:w="2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Paper</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had outstanding commercial paper borrowings under its $2.50 billion commercial paper program of $674 million and $679 million at December 31, 2018 and 2017, respectively, each with maturities of less than 90 days. The weighted average interest rate for these borrowings was 3.02% and 1.88% at December 31, 2018 and 2017,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At December 31, 2018, the Company had a $2.5 billion revolving credit facility (the “Credit Facility”) which expires in June 2021. The Company, at its option, may also borrow in certain foreign currencies up to specified limits under the Credit Facility. Borrowing rates under the Credit Facility are determined at the Company’s option at the time of each borrowing and are based generally on the prime rate in the U.S. or LIBOR plus a margin based on the Company’s senior unsecured debt rating. The Company pays a facility fee based on the total amount of the commitments.</w:t>
      </w:r>
    </w:p>
    <w:p>
      <w:pPr>
        <w:spacing w:after="0" w:line="1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Credit Facility requires the Company to maintain a maximum Consolidated Leverage Ratio of 4.5x at the end of each quarter as further described in the Credit Facility. At December 31, 2018, the Company’s Consolidated Leverage Ratio was approximately 3.1x.</w:t>
      </w:r>
    </w:p>
    <w:p>
      <w:pPr>
        <w:spacing w:after="0" w:line="16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Consolidated Leverage Ratio reflects the ratio of the Company’s indebtedness from continuing operations, adjusted to exclude certain capital lease obligations, at the end of a quarter, to the Company’s Consolidated EBITDA for the trailing four consecutive quarters. Consolidated EBITDA is defined in the Credit Facility as operating income plus interest income and before depreciation, amortization and certain other noncash items.</w:t>
      </w:r>
    </w:p>
    <w:p>
      <w:pPr>
        <w:spacing w:after="0" w:line="2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Credit Facility is used for general corporate purposes. At December 31, 2018, the Company had no borrowings outstanding under the Credit Facility and the remaining availability under the Credit Facility, net of outstanding letters of credit, was $2.49 billion.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FINANCIAL INSTRUMENTS</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 carrying value of financial instruments approximates fair value, except for notes and debentures, which are not recorded at fair value. At both December 31, 2018 and 2017, the carrying value of the Company’s senior debt was $9.43 billion and the fair value, which is estimated based on quoted market prices for similar liabilities (Level 2) and includes accrued interest, was $9.48 billion and $10.16 billion, respectively.</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uses derivative financial instruments primarily to manage its exposure to market risks from fluctuations in foreign currency exchange rates. The Company does not use derivative instruments unless there is an underlying exposure and, therefore, the Company does not hold or enter into derivative financial instruments for speculative trading purposes.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ectPr>
          <w:pgSz w:w="11900" w:h="16838" w:orient="portrait"/>
          <w:cols w:equalWidth="0" w:num="1">
            <w:col w:w="11420"/>
          </w:cols>
          <w:pgMar w:left="240" w:top="400" w:right="239" w:bottom="1440" w:gutter="0" w:footer="0" w:header="0"/>
        </w:sectPr>
      </w:pPr>
    </w:p>
    <w:bookmarkStart w:id="108" w:name="page109"/>
    <w:bookmarkEnd w:id="108"/>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Contracts</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Foreign exchange forward contracts have principally been used to hedge projected cash flows, in currencies such as the British Pound, the Euro, the Canadian Dollar and the Australian Dollar, generally for periods up to 24 months. The Company designates foreign exchange forward contracts used to hedge committed and forecasted foreign currency transactions as cash flow hedges. Gains or losses on the effective portion of designated cash flow hedges are initially recorded in other comprehensive income and reclassified to the statement of operations when the hedged item is recognized. Additionally, the Company enters into non-designated forward contracts to hedge non-U.S. dollar denominated cash flows.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and 2017, the notional amount of all foreign currency contracts was $325 million and $410 million, respectively.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Gains (losses) recognized on derivative financial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96520</wp:posOffset>
            </wp:positionV>
            <wp:extent cx="60115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40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2017</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Financial Statement Account</w:t>
            </w:r>
          </w:p>
        </w:tc>
      </w:tr>
      <w:tr>
        <w:trPr>
          <w:trHeight w:val="27"/>
        </w:trPr>
        <w:tc>
          <w:tcPr>
            <w:tcW w:w="3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Non-designated foreign exchange contracts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Other items, net</w:t>
            </w:r>
          </w:p>
        </w:tc>
      </w:tr>
      <w:tr>
        <w:trPr>
          <w:trHeight w:val="34"/>
        </w:trPr>
        <w:tc>
          <w:tcPr>
            <w:tcW w:w="3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fair value of the Company’s derivative instruments was not material to the Consolidated Balance Sheets for any of the periods presented.</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continually monitors its positions with, and credit quality of, the financial institutions that are counterparties to its financial instruments. The Company is exposed to credit loss in the event of nonperformance by the counterparties to the agreements. However, the Company does not anticipate nonperformance by the counterparties.</w:t>
      </w:r>
    </w:p>
    <w:p>
      <w:pPr>
        <w:spacing w:after="0" w:line="18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Company’s receivables do not represent significant concentrations of credit risk at December 31, 2018 and 2017, due to the wide variety of customers, markets and geographic areas to which the Company’s products and services are sold.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 MEASUREMENTS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The following tables set forth the Company’s assets and liabilities measured at fair value on a recurring basis at December 31, 2018 and 2017.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the Company’s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ectPr>
          <w:pgSz w:w="11900" w:h="16838" w:orient="portrait"/>
          <w:cols w:equalWidth="0" w:num="1">
            <w:col w:w="11420"/>
          </w:cols>
          <w:pgMar w:left="240" w:top="400" w:right="239" w:bottom="1440" w:gutter="0" w:footer="0" w:header="0"/>
        </w:sectPr>
      </w:pPr>
    </w:p>
    <w:bookmarkStart w:id="109" w:name="page110"/>
    <w:bookmarkEnd w:id="109"/>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471805</wp:posOffset>
            </wp:positionV>
            <wp:extent cx="62687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160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336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34"/>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2"/>
        </w:trPr>
        <w:tc>
          <w:tcPr>
            <w:tcW w:w="3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At December 31, 2017</w:t>
            </w:r>
          </w:p>
        </w:tc>
        <w:tc>
          <w:tcPr>
            <w:tcW w:w="160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34"/>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07"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STOCKHOLDERS’ EQUITY</w:t>
      </w:r>
    </w:p>
    <w:p>
      <w:pPr>
        <w:spacing w:after="0" w:line="2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In general, CBS Corp. Class A Common Stock and CBS Corp. Class B Common Stock have the same economic rights; however, holders of CBS Corp. Class B Common Stock do not have any voting rights, except as required by law. Holders of CBS Corp. Class A Common Stock are entitled to one vote per share with respect to all matters on which the holders of CBS Corp. Common Stock are entitled to vote.</w:t>
      </w:r>
    </w:p>
    <w:p>
      <w:pPr>
        <w:spacing w:after="0" w:line="16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declared a quarterly cash dividend on its Class A and Class B Common Stock during each of the four quarters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2017, and 2016. For the years ended December 31, 2018, 2017 and 2016, the Company declared total per share dividends of $.72, $.72, and $.66, respectively, resulting in total annual dividends of $274 million, $289 million and $294 million, respectively. Dividends have been recorded as a reduction to additional paid-in capital as the Company has an accumulated deficit balance.</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Purchase of Company Stock</w:t>
      </w:r>
      <w:r>
        <w:rPr>
          <w:rFonts w:ascii="Arial" w:cs="Arial" w:eastAsia="Arial" w:hAnsi="Arial"/>
          <w:sz w:val="20"/>
          <w:szCs w:val="20"/>
          <w:color w:val="auto"/>
        </w:rPr>
        <w:t>—During 2018, the Company repurchased 11.5 million shares of CBS Corp. Class B Common Stock under its</w:t>
      </w:r>
      <w:r>
        <w:rPr>
          <w:rFonts w:ascii="Arial" w:cs="Arial" w:eastAsia="Arial" w:hAnsi="Arial"/>
          <w:sz w:val="20"/>
          <w:szCs w:val="20"/>
          <w:i w:val="1"/>
          <w:iCs w:val="1"/>
          <w:color w:val="auto"/>
        </w:rPr>
        <w:t xml:space="preserve"> </w:t>
      </w:r>
      <w:r>
        <w:rPr>
          <w:rFonts w:ascii="Arial" w:cs="Arial" w:eastAsia="Arial" w:hAnsi="Arial"/>
          <w:sz w:val="20"/>
          <w:szCs w:val="20"/>
          <w:color w:val="auto"/>
        </w:rPr>
        <w:t>share repurchase program for $600 million, at an average cost of $52.06 per share. At December 31, 2018, $2.46 billion of authorization remained under the share repurchase program.</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Conversion Rights</w:t>
      </w:r>
      <w:r>
        <w:rPr>
          <w:rFonts w:ascii="Arial" w:cs="Arial" w:eastAsia="Arial" w:hAnsi="Arial"/>
          <w:sz w:val="20"/>
          <w:szCs w:val="20"/>
          <w:color w:val="auto"/>
        </w:rPr>
        <w:t>—Holders of Class A Common Stock have the right to convert their shares to Class B Common Stock as long as there</w:t>
      </w:r>
      <w:r>
        <w:rPr>
          <w:rFonts w:ascii="Arial" w:cs="Arial" w:eastAsia="Arial" w:hAnsi="Arial"/>
          <w:sz w:val="20"/>
          <w:szCs w:val="20"/>
          <w:i w:val="1"/>
          <w:iCs w:val="1"/>
          <w:color w:val="auto"/>
        </w:rPr>
        <w:t xml:space="preserve"> </w:t>
      </w:r>
      <w:r>
        <w:rPr>
          <w:rFonts w:ascii="Arial" w:cs="Arial" w:eastAsia="Arial" w:hAnsi="Arial"/>
          <w:sz w:val="20"/>
          <w:szCs w:val="20"/>
          <w:color w:val="auto"/>
        </w:rPr>
        <w:t>are at least 5,000 shares of Class A Common Stock outstanding. Conversions of CBS Corp. Class A Common Stock into Class B Common Stock were 2.5 million for 2018 and 0.1 million for 2016. Conversions of CBS Corp. Class A Common Stock into Class B Common Stock for 2017 were minimal.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ectPr>
          <w:pgSz w:w="11900" w:h="16838" w:orient="portrait"/>
          <w:cols w:equalWidth="0" w:num="1">
            <w:col w:w="11420"/>
          </w:cols>
          <w:pgMar w:left="240" w:top="400" w:right="239" w:bottom="1440" w:gutter="0" w:footer="0" w:header="0"/>
        </w:sectPr>
      </w:pPr>
    </w:p>
    <w:bookmarkStart w:id="110" w:name="page111"/>
    <w:bookmarkEnd w:id="110"/>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i w:val="1"/>
          <w:iCs w:val="1"/>
          <w:color w:val="auto"/>
        </w:rPr>
        <w:t>Accumulated Other Comprehensive Income—</w:t>
      </w:r>
      <w:r>
        <w:rPr>
          <w:rFonts w:ascii="Arial" w:cs="Arial" w:eastAsia="Arial" w:hAnsi="Arial"/>
          <w:sz w:val="20"/>
          <w:szCs w:val="20"/>
          <w:color w:val="auto"/>
        </w:rPr>
        <w:t>The following table presents the changes in the components of accumulated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923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95"/>
              </w:rPr>
              <w:t>Net Actuarial</w:t>
            </w:r>
          </w:p>
        </w:tc>
        <w:tc>
          <w:tcPr>
            <w:tcW w:w="480" w:type="dxa"/>
            <w:vAlign w:val="bottom"/>
          </w:tcPr>
          <w:p>
            <w:pPr>
              <w:spacing w:after="0"/>
              <w:rPr>
                <w:sz w:val="19"/>
                <w:szCs w:val="19"/>
                <w:color w:val="auto"/>
              </w:rPr>
            </w:pPr>
          </w:p>
        </w:tc>
        <w:tc>
          <w:tcPr>
            <w:tcW w:w="140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Accumulated</w:t>
            </w:r>
          </w:p>
        </w:tc>
      </w:tr>
      <w:tr>
        <w:trPr>
          <w:trHeight w:val="270"/>
        </w:trPr>
        <w:tc>
          <w:tcPr>
            <w:tcW w:w="5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Cumulative</w:t>
            </w:r>
          </w:p>
        </w:tc>
        <w:tc>
          <w:tcPr>
            <w:tcW w:w="240" w:type="dxa"/>
            <w:vAlign w:val="bottom"/>
          </w:tcPr>
          <w:p>
            <w:pPr>
              <w:spacing w:after="0"/>
              <w:rPr>
                <w:sz w:val="23"/>
                <w:szCs w:val="23"/>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w w:val="85"/>
              </w:rPr>
              <w:t>Loss and</w:t>
            </w:r>
          </w:p>
        </w:tc>
        <w:tc>
          <w:tcPr>
            <w:tcW w:w="480" w:type="dxa"/>
            <w:vAlign w:val="bottom"/>
          </w:tcPr>
          <w:p>
            <w:pPr>
              <w:spacing w:after="0"/>
              <w:rPr>
                <w:sz w:val="23"/>
                <w:szCs w:val="23"/>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96"/>
              </w:rPr>
              <w:t>Other</w:t>
            </w:r>
          </w:p>
        </w:tc>
      </w:tr>
      <w:tr>
        <w:trPr>
          <w:trHeight w:val="270"/>
        </w:trPr>
        <w:tc>
          <w:tcPr>
            <w:tcW w:w="5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Translation</w:t>
            </w:r>
          </w:p>
        </w:tc>
        <w:tc>
          <w:tcPr>
            <w:tcW w:w="240" w:type="dxa"/>
            <w:vAlign w:val="bottom"/>
          </w:tcPr>
          <w:p>
            <w:pPr>
              <w:spacing w:after="0"/>
              <w:rPr>
                <w:sz w:val="23"/>
                <w:szCs w:val="23"/>
                <w:color w:val="auto"/>
              </w:rPr>
            </w:pPr>
          </w:p>
        </w:tc>
        <w:tc>
          <w:tcPr>
            <w:tcW w:w="1280" w:type="dxa"/>
            <w:vAlign w:val="bottom"/>
          </w:tcPr>
          <w:p>
            <w:pPr>
              <w:jc w:val="center"/>
              <w:ind w:right="115"/>
              <w:spacing w:after="0"/>
              <w:rPr>
                <w:sz w:val="20"/>
                <w:szCs w:val="20"/>
                <w:color w:val="auto"/>
              </w:rPr>
            </w:pPr>
            <w:r>
              <w:rPr>
                <w:rFonts w:ascii="Arial" w:cs="Arial" w:eastAsia="Arial" w:hAnsi="Arial"/>
                <w:sz w:val="17"/>
                <w:szCs w:val="17"/>
                <w:b w:val="1"/>
                <w:bCs w:val="1"/>
                <w:color w:val="auto"/>
              </w:rPr>
              <w:t>Prior</w:t>
            </w:r>
          </w:p>
        </w:tc>
        <w:tc>
          <w:tcPr>
            <w:tcW w:w="480" w:type="dxa"/>
            <w:vAlign w:val="bottom"/>
          </w:tcPr>
          <w:p>
            <w:pPr>
              <w:spacing w:after="0"/>
              <w:rPr>
                <w:sz w:val="23"/>
                <w:szCs w:val="23"/>
                <w:color w:val="auto"/>
              </w:rPr>
            </w:pPr>
          </w:p>
        </w:tc>
        <w:tc>
          <w:tcPr>
            <w:tcW w:w="140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Comprehensive</w:t>
            </w:r>
          </w:p>
        </w:tc>
      </w:tr>
      <w:tr>
        <w:trPr>
          <w:trHeight w:val="270"/>
        </w:trPr>
        <w:tc>
          <w:tcPr>
            <w:tcW w:w="5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w w:val="89"/>
              </w:rPr>
              <w:t>Adjustments</w:t>
            </w:r>
          </w:p>
        </w:tc>
        <w:tc>
          <w:tcPr>
            <w:tcW w:w="240" w:type="dxa"/>
            <w:vAlign w:val="bottom"/>
          </w:tcPr>
          <w:p>
            <w:pPr>
              <w:spacing w:after="0"/>
              <w:rPr>
                <w:sz w:val="23"/>
                <w:szCs w:val="23"/>
                <w:color w:val="auto"/>
              </w:rPr>
            </w:pPr>
          </w:p>
        </w:tc>
        <w:tc>
          <w:tcPr>
            <w:tcW w:w="128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Service Cost</w:t>
            </w:r>
          </w:p>
        </w:tc>
        <w:tc>
          <w:tcPr>
            <w:tcW w:w="480" w:type="dxa"/>
            <w:vAlign w:val="bottom"/>
          </w:tcPr>
          <w:p>
            <w:pPr>
              <w:spacing w:after="0"/>
              <w:rPr>
                <w:sz w:val="23"/>
                <w:szCs w:val="23"/>
                <w:color w:val="auto"/>
              </w:rPr>
            </w:pPr>
          </w:p>
        </w:tc>
        <w:tc>
          <w:tcPr>
            <w:tcW w:w="1400" w:type="dxa"/>
            <w:vAlign w:val="bottom"/>
          </w:tcPr>
          <w:p>
            <w:pPr>
              <w:jc w:val="center"/>
              <w:ind w:right="95"/>
              <w:spacing w:after="0"/>
              <w:rPr>
                <w:sz w:val="20"/>
                <w:szCs w:val="20"/>
                <w:color w:val="auto"/>
              </w:rPr>
            </w:pPr>
            <w:r>
              <w:rPr>
                <w:rFonts w:ascii="Arial" w:cs="Arial" w:eastAsia="Arial" w:hAnsi="Arial"/>
                <w:sz w:val="17"/>
                <w:szCs w:val="17"/>
                <w:b w:val="1"/>
                <w:bCs w:val="1"/>
                <w:color w:val="auto"/>
                <w:w w:val="85"/>
              </w:rPr>
              <w:t>Loss</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40"/>
              <w:spacing w:after="0"/>
              <w:rPr>
                <w:sz w:val="20"/>
                <w:szCs w:val="20"/>
                <w:color w:val="auto"/>
              </w:rPr>
            </w:pPr>
            <w:r>
              <w:rPr>
                <w:rFonts w:ascii="Arial" w:cs="Arial" w:eastAsia="Arial" w:hAnsi="Arial"/>
                <w:sz w:val="17"/>
                <w:szCs w:val="17"/>
                <w:color w:val="auto"/>
              </w:rPr>
              <w:t>At December 31, 2015</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152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(922)</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reclassifications</w:t>
            </w:r>
          </w:p>
        </w:tc>
        <w:tc>
          <w:tcPr>
            <w:tcW w:w="12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(165)</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70"/>
        </w:trPr>
        <w:tc>
          <w:tcPr>
            <w:tcW w:w="526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120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169</w:t>
            </w:r>
          </w:p>
        </w:tc>
        <w:tc>
          <w:tcPr>
            <w:tcW w:w="480" w:type="dxa"/>
            <w:vAlign w:val="bottom"/>
          </w:tcPr>
          <w:p>
            <w:pPr>
              <w:ind w:left="80"/>
              <w:spacing w:after="0"/>
              <w:rPr>
                <w:sz w:val="20"/>
                <w:szCs w:val="20"/>
                <w:color w:val="auto"/>
              </w:rPr>
            </w:pPr>
            <w:r>
              <w:rPr>
                <w:rFonts w:ascii="Arial" w:cs="Arial" w:eastAsia="Arial" w:hAnsi="Arial"/>
                <w:sz w:val="14"/>
                <w:szCs w:val="14"/>
                <w:color w:val="auto"/>
              </w:rPr>
              <w:t>(a)</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169</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2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48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3</w:t>
            </w:r>
          </w:p>
        </w:tc>
      </w:tr>
      <w:tr>
        <w:trPr>
          <w:trHeight w:val="27"/>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40"/>
              <w:spacing w:after="0"/>
              <w:rPr>
                <w:sz w:val="20"/>
                <w:szCs w:val="20"/>
                <w:color w:val="auto"/>
              </w:rPr>
            </w:pPr>
            <w:r>
              <w:rPr>
                <w:rFonts w:ascii="Arial" w:cs="Arial" w:eastAsia="Arial" w:hAnsi="Arial"/>
                <w:sz w:val="17"/>
                <w:szCs w:val="17"/>
                <w:color w:val="auto"/>
              </w:rPr>
              <w:t>At December 31, 2016</w:t>
            </w:r>
          </w:p>
        </w:tc>
        <w:tc>
          <w:tcPr>
            <w:tcW w:w="120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151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(918)</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(767)</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180"/>
              <w:spacing w:after="0"/>
              <w:rPr>
                <w:sz w:val="20"/>
                <w:szCs w:val="20"/>
                <w:color w:val="auto"/>
              </w:rPr>
            </w:pPr>
            <w:r>
              <w:rPr>
                <w:rFonts w:ascii="Arial" w:cs="Arial" w:eastAsia="Arial" w:hAnsi="Arial"/>
                <w:sz w:val="17"/>
                <w:szCs w:val="17"/>
                <w:color w:val="auto"/>
              </w:rPr>
              <w:t>Other comprehensive income (loss) before reclassifications</w:t>
            </w:r>
          </w:p>
        </w:tc>
        <w:tc>
          <w:tcPr>
            <w:tcW w:w="120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(173)</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70"/>
        </w:trPr>
        <w:tc>
          <w:tcPr>
            <w:tcW w:w="526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120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23"/>
                <w:szCs w:val="23"/>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270</w:t>
            </w:r>
          </w:p>
        </w:tc>
        <w:tc>
          <w:tcPr>
            <w:tcW w:w="480" w:type="dxa"/>
            <w:vAlign w:val="bottom"/>
          </w:tcPr>
          <w:p>
            <w:pPr>
              <w:ind w:left="80"/>
              <w:spacing w:after="0"/>
              <w:rPr>
                <w:sz w:val="20"/>
                <w:szCs w:val="20"/>
                <w:color w:val="auto"/>
              </w:rPr>
            </w:pPr>
            <w:r>
              <w:rPr>
                <w:rFonts w:ascii="Arial" w:cs="Arial" w:eastAsia="Arial" w:hAnsi="Arial"/>
                <w:sz w:val="14"/>
                <w:szCs w:val="14"/>
                <w:color w:val="auto"/>
              </w:rPr>
              <w:t>(a)</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272</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0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97</w:t>
            </w:r>
          </w:p>
        </w:tc>
        <w:tc>
          <w:tcPr>
            <w:tcW w:w="48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105</w:t>
            </w:r>
          </w:p>
        </w:tc>
      </w:tr>
      <w:tr>
        <w:trPr>
          <w:trHeight w:val="27"/>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40"/>
              <w:spacing w:after="0"/>
              <w:rPr>
                <w:sz w:val="20"/>
                <w:szCs w:val="20"/>
                <w:color w:val="auto"/>
              </w:rPr>
            </w:pPr>
            <w:r>
              <w:rPr>
                <w:rFonts w:ascii="Arial" w:cs="Arial" w:eastAsia="Arial" w:hAnsi="Arial"/>
                <w:sz w:val="17"/>
                <w:szCs w:val="17"/>
                <w:color w:val="auto"/>
              </w:rPr>
              <w:t>At December 31, 2017</w:t>
            </w:r>
          </w:p>
        </w:tc>
        <w:tc>
          <w:tcPr>
            <w:tcW w:w="120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159</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(821)</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(662)</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reclassifications</w:t>
            </w:r>
          </w:p>
        </w:tc>
        <w:tc>
          <w:tcPr>
            <w:tcW w:w="12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(143)</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70"/>
        </w:trPr>
        <w:tc>
          <w:tcPr>
            <w:tcW w:w="526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120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56</w:t>
            </w:r>
          </w:p>
        </w:tc>
        <w:tc>
          <w:tcPr>
            <w:tcW w:w="480" w:type="dxa"/>
            <w:vAlign w:val="bottom"/>
          </w:tcPr>
          <w:p>
            <w:pPr>
              <w:ind w:left="80"/>
              <w:spacing w:after="0"/>
              <w:rPr>
                <w:sz w:val="20"/>
                <w:szCs w:val="20"/>
                <w:color w:val="auto"/>
              </w:rPr>
            </w:pPr>
            <w:r>
              <w:rPr>
                <w:rFonts w:ascii="Arial" w:cs="Arial" w:eastAsia="Arial" w:hAnsi="Arial"/>
                <w:sz w:val="14"/>
                <w:szCs w:val="14"/>
                <w:color w:val="auto"/>
              </w:rPr>
              <w:t>(a)</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56</w:t>
            </w:r>
          </w:p>
        </w:tc>
      </w:tr>
      <w:tr>
        <w:trPr>
          <w:trHeight w:val="31"/>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2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w:t>
            </w:r>
          </w:p>
        </w:tc>
        <w:tc>
          <w:tcPr>
            <w:tcW w:w="4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7"/>
        </w:trPr>
        <w:tc>
          <w:tcPr>
            <w:tcW w:w="5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260" w:type="dxa"/>
            <w:vAlign w:val="bottom"/>
          </w:tcPr>
          <w:p>
            <w:pPr>
              <w:ind w:left="40"/>
              <w:spacing w:after="0"/>
              <w:rPr>
                <w:sz w:val="20"/>
                <w:szCs w:val="20"/>
                <w:color w:val="auto"/>
              </w:rPr>
            </w:pPr>
            <w:r>
              <w:rPr>
                <w:rFonts w:ascii="Arial" w:cs="Arial" w:eastAsia="Arial" w:hAnsi="Arial"/>
                <w:sz w:val="17"/>
                <w:szCs w:val="17"/>
                <w:color w:val="auto"/>
              </w:rPr>
              <w:t>At December 31, 2018</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133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(908)</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(775)</w:t>
            </w:r>
          </w:p>
        </w:tc>
      </w:tr>
      <w:tr>
        <w:trPr>
          <w:trHeight w:val="38"/>
        </w:trPr>
        <w:tc>
          <w:tcPr>
            <w:tcW w:w="5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bl>
    <w:p>
      <w:pPr>
        <w:spacing w:after="0" w:line="44" w:lineRule="exact"/>
        <w:rPr>
          <w:sz w:val="20"/>
          <w:szCs w:val="20"/>
          <w:color w:val="auto"/>
        </w:rPr>
      </w:pPr>
    </w:p>
    <w:p>
      <w:pPr>
        <w:ind w:left="420" w:hanging="250"/>
        <w:spacing w:after="0" w:line="275" w:lineRule="auto"/>
        <w:tabs>
          <w:tab w:leader="none" w:pos="4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amortization of net actuarial losses which includes the accelerated recognition of a portion of the unamortized actuarial losses as a result of pension settlements for the years ended December 31, 2018, 2017 and 2016 (See Note 14).</w:t>
      </w:r>
    </w:p>
    <w:p>
      <w:pPr>
        <w:spacing w:after="0" w:line="16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net actuarial loss and prior service cost related to pension and other postretirement benefit plans included in other comprehensive income (loss) is net of a tax benefit (provision) for the years ended December 31, 2018, 2017 and 2016 of $29 million, $(106) million and $(3)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The Company has equity incentive plans (the “Plans”) under which stock options, RSUs and market-based performance share units (“PSUs”) were issued. The purpose of the Plans is to benefit and advance the interests of the Company by attracting, retaining and motivating participants and to compensate participants for their contributions to the financial success of the Company. The Plans provide for awards of stock options, stock appreciation rights, restricted and unrestricted shares, RSUs, dividend equivalents, performance awards and other equity-related awards. Upon exercise of stock options or vesting of RSUs, the Company issues new shares from its existing authorization. At December 31, 2018, there were 41 million shares available for future grant under the Plans.</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following table summarizes the Company’s stock-based compensation expense for the years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71755</wp:posOffset>
            </wp:positionV>
            <wp:extent cx="646620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120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152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Stock-based compensation expense, before income taxes</w:t>
            </w:r>
          </w:p>
        </w:tc>
        <w:tc>
          <w:tcPr>
            <w:tcW w:w="14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Related tax benefit</w:t>
            </w:r>
          </w:p>
        </w:tc>
        <w:tc>
          <w:tcPr>
            <w:tcW w:w="1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Stock-based compensation expense, net of tax benefit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34"/>
        </w:trPr>
        <w:tc>
          <w:tcPr>
            <w:tcW w:w="5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Stock-based compensation expenses for 2018 included forfeitures of $28 million and accelerations of $6 million relating to changes in senior management, which are included in “Restructuring and other corporate matters” on the Consolidated Statement of Operations. Included in net loss from discontinued operations was stock-based compensation expense of $2 million and $12 million for 2017 and 2016, respectively.</w:t>
      </w:r>
    </w:p>
    <w:p>
      <w:pPr>
        <w:sectPr>
          <w:pgSz w:w="11900" w:h="16838" w:orient="portrait"/>
          <w:cols w:equalWidth="0" w:num="1">
            <w:col w:w="11420"/>
          </w:cols>
          <w:pgMar w:left="240" w:top="400" w:right="2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II-77</w:t>
      </w:r>
    </w:p>
    <w:p>
      <w:pPr>
        <w:sectPr>
          <w:pgSz w:w="11900" w:h="16838" w:orient="portrait"/>
          <w:cols w:equalWidth="0" w:num="1">
            <w:col w:w="11420"/>
          </w:cols>
          <w:pgMar w:left="240" w:top="400" w:right="239" w:bottom="1440" w:gutter="0" w:footer="0" w:header="0"/>
          <w:type w:val="continuous"/>
        </w:sectPr>
      </w:pPr>
    </w:p>
    <w:bookmarkStart w:id="111" w:name="page112"/>
    <w:bookmarkEnd w:id="111"/>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RSUs and PSUs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Compensation expense for RSUs is determined based upon the market price of the shares underlying the awards on the date of grant and expensed over the vesting period, which is generally a one- to four-year service period. Certain RSU awards are also subject to satisfying performance conditions. Compensation expense is recorded based on the probable outcome of the performance conditions. Forfeitures for RSUs are estimated on the date of grant based on historical forfeiture rates. On an annual basis, the Company adjusts the compensation expense based on actual forfeitures and revises the forfeiture rate as necessary.</w:t>
      </w:r>
    </w:p>
    <w:p>
      <w:pPr>
        <w:spacing w:after="0" w:line="1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color w:val="auto"/>
        </w:rPr>
        <w:t>The weighted average grant date fair value of RSUs was $53.96</w:t>
      </w:r>
      <w:r>
        <w:rPr>
          <w:rFonts w:ascii="Arial" w:cs="Arial" w:eastAsia="Arial" w:hAnsi="Arial"/>
          <w:sz w:val="18"/>
          <w:szCs w:val="18"/>
          <w:color w:val="auto"/>
        </w:rPr>
        <w:t>,</w:t>
      </w:r>
      <w:r>
        <w:rPr>
          <w:rFonts w:ascii="Arial" w:cs="Arial" w:eastAsia="Arial" w:hAnsi="Arial"/>
          <w:sz w:val="20"/>
          <w:szCs w:val="20"/>
          <w:color w:val="auto"/>
        </w:rPr>
        <w:t xml:space="preserve"> $66.59 and $47.30 in 2018, 2017, and 2016, respectively. The total market value of RSUs that vested during 2018, 2017, and 2016 was $135 million, $193 million and $129 million, respectively. Total unrecognized compensation cost related to non-vested RSUs at December 31, 2018 was $164 million which is expected to be recognized over a weighted average period of 2.4 years.</w:t>
      </w:r>
    </w:p>
    <w:p>
      <w:pPr>
        <w:spacing w:after="0" w:line="20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During 2018, 2017, and 2016, the Company also granted PSU awards. The number of shares to be issued upon vesting of the PSUs is based on the Company’s stock price performance over a designated measurement period, as well as the achievement of established operating goals. The fair value of PSU awards is determined using a Monte Carlo simulation model. Compensation expense for PSUs is expensed over the required employee service period. The fair value of the PSU awards granted during the years ended December 31, 2018, 2017 and 2016 was $16 million</w:t>
      </w:r>
      <w:r>
        <w:rPr>
          <w:rFonts w:ascii="Arial" w:cs="Arial" w:eastAsia="Arial" w:hAnsi="Arial"/>
          <w:sz w:val="16"/>
          <w:szCs w:val="16"/>
          <w:color w:val="auto"/>
        </w:rPr>
        <w:t>,</w:t>
      </w:r>
      <w:r>
        <w:rPr>
          <w:rFonts w:ascii="Arial" w:cs="Arial" w:eastAsia="Arial" w:hAnsi="Arial"/>
          <w:sz w:val="18"/>
          <w:szCs w:val="18"/>
          <w:color w:val="auto"/>
        </w:rPr>
        <w:t xml:space="preserve"> $23 million and $4 million, respectively. All PSU awards were forfeited during 2018.</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the Company’s RSU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96520</wp:posOffset>
            </wp:positionV>
            <wp:extent cx="66808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80835" cy="17145"/>
                    </a:xfrm>
                    <a:prstGeom prst="rect">
                      <a:avLst/>
                    </a:prstGeom>
                    <a:noFill/>
                  </pic:spPr>
                </pic:pic>
              </a:graphicData>
            </a:graphic>
          </wp:anchor>
        </w:drawing>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3"/>
                <w:szCs w:val="23"/>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RSUs</w:t>
            </w:r>
          </w:p>
        </w:tc>
        <w:tc>
          <w:tcPr>
            <w:tcW w:w="29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Grant Date Fair Value</w:t>
            </w:r>
          </w:p>
        </w:tc>
        <w:tc>
          <w:tcPr>
            <w:tcW w:w="0" w:type="dxa"/>
            <w:vAlign w:val="bottom"/>
          </w:tcPr>
          <w:p>
            <w:pPr>
              <w:spacing w:after="0"/>
              <w:rPr>
                <w:sz w:val="1"/>
                <w:szCs w:val="1"/>
                <w:color w:val="auto"/>
              </w:rPr>
            </w:pPr>
          </w:p>
        </w:tc>
      </w:tr>
      <w:tr>
        <w:trPr>
          <w:trHeight w:val="27"/>
        </w:trPr>
        <w:tc>
          <w:tcPr>
            <w:tcW w:w="6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Non-vested at December 31, 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5,323,987</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0"/>
        </w:trPr>
        <w:tc>
          <w:tcPr>
            <w:tcW w:w="6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3,093,130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70"/>
        </w:trPr>
        <w:tc>
          <w:tcPr>
            <w:tcW w:w="6000" w:type="dxa"/>
            <w:vAlign w:val="bottom"/>
          </w:tcPr>
          <w:p>
            <w:pPr>
              <w:ind w:left="16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(2,443,125)</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70"/>
        </w:trPr>
        <w:tc>
          <w:tcPr>
            <w:tcW w:w="60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(788,923)</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Non-vested at December 31, 2018</w:t>
            </w:r>
          </w:p>
        </w:tc>
        <w:tc>
          <w:tcPr>
            <w:tcW w:w="16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5,185,069</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Stock Options</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On an annual basis, the Company adjusts the compensation expense based on actual forfeitures and revises the forfeiture rate as necessary.</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weighted average fair value of stock options as of the grant date was $14.48, $17.50 and $12.30 in 2018, 2017, and 2016, respectively. The fair value of each option grant is estimated on the date of grant using the Black-Scholes option-pricing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77470</wp:posOffset>
            </wp:positionV>
            <wp:extent cx="65519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pacing w:after="0" w:line="13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2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5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240" w:type="dxa"/>
            <w:vAlign w:val="bottom"/>
          </w:tcPr>
          <w:p>
            <w:pPr>
              <w:jc w:val="right"/>
              <w:ind w:right="270"/>
              <w:spacing w:after="0"/>
              <w:rPr>
                <w:sz w:val="20"/>
                <w:szCs w:val="20"/>
                <w:color w:val="auto"/>
              </w:rPr>
            </w:pPr>
            <w:r>
              <w:rPr>
                <w:rFonts w:ascii="Arial" w:cs="Arial" w:eastAsia="Arial" w:hAnsi="Arial"/>
                <w:sz w:val="18"/>
                <w:szCs w:val="18"/>
                <w:color w:val="auto"/>
              </w:rPr>
              <w:t>1.33%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1.09%</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3240" w:type="dxa"/>
            <w:vAlign w:val="bottom"/>
          </w:tcPr>
          <w:p>
            <w:pPr>
              <w:jc w:val="right"/>
              <w:ind w:right="270"/>
              <w:spacing w:after="0"/>
              <w:rPr>
                <w:sz w:val="20"/>
                <w:szCs w:val="20"/>
                <w:color w:val="auto"/>
              </w:rPr>
            </w:pPr>
            <w:r>
              <w:rPr>
                <w:rFonts w:ascii="Arial" w:cs="Arial" w:eastAsia="Arial" w:hAnsi="Arial"/>
                <w:sz w:val="18"/>
                <w:szCs w:val="18"/>
                <w:color w:val="auto"/>
              </w:rPr>
              <w:t>29.52%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29.89%</w:t>
            </w:r>
          </w:p>
        </w:tc>
        <w:tc>
          <w:tcPr>
            <w:tcW w:w="1100" w:type="dxa"/>
            <w:vAlign w:val="bottom"/>
          </w:tcPr>
          <w:p>
            <w:pPr>
              <w:jc w:val="right"/>
              <w:spacing w:after="0"/>
              <w:rPr>
                <w:sz w:val="20"/>
                <w:szCs w:val="20"/>
                <w:color w:val="auto"/>
              </w:rPr>
            </w:pPr>
            <w:r>
              <w:rPr>
                <w:rFonts w:ascii="Arial" w:cs="Arial" w:eastAsia="Arial" w:hAnsi="Arial"/>
                <w:sz w:val="18"/>
                <w:szCs w:val="18"/>
                <w:color w:val="auto"/>
              </w:rPr>
              <w:t>32.55%</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40" w:type="dxa"/>
            <w:vAlign w:val="bottom"/>
          </w:tcPr>
          <w:p>
            <w:pPr>
              <w:jc w:val="right"/>
              <w:ind w:right="270"/>
              <w:spacing w:after="0"/>
              <w:rPr>
                <w:sz w:val="20"/>
                <w:szCs w:val="20"/>
                <w:color w:val="auto"/>
              </w:rPr>
            </w:pPr>
            <w:r>
              <w:rPr>
                <w:rFonts w:ascii="Arial" w:cs="Arial" w:eastAsia="Arial" w:hAnsi="Arial"/>
                <w:sz w:val="18"/>
                <w:szCs w:val="18"/>
                <w:color w:val="auto"/>
              </w:rPr>
              <w:t>2.73%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2.00%</w:t>
            </w: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Expected term of options (years)</w:t>
            </w:r>
          </w:p>
        </w:tc>
        <w:tc>
          <w:tcPr>
            <w:tcW w:w="3240" w:type="dxa"/>
            <w:vAlign w:val="bottom"/>
          </w:tcPr>
          <w:p>
            <w:pPr>
              <w:jc w:val="right"/>
              <w:ind w:right="410"/>
              <w:spacing w:after="0"/>
              <w:rPr>
                <w:sz w:val="20"/>
                <w:szCs w:val="20"/>
                <w:color w:val="auto"/>
              </w:rPr>
            </w:pPr>
            <w:r>
              <w:rPr>
                <w:rFonts w:ascii="Arial" w:cs="Arial" w:eastAsia="Arial" w:hAnsi="Arial"/>
                <w:sz w:val="18"/>
                <w:szCs w:val="18"/>
                <w:color w:val="auto"/>
              </w:rPr>
              <w:t>5.00</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5.00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5.00</w:t>
            </w:r>
          </w:p>
        </w:tc>
      </w:tr>
      <w:tr>
        <w:trPr>
          <w:trHeight w:val="34"/>
        </w:trPr>
        <w:tc>
          <w:tcPr>
            <w:tcW w:w="45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II-78</w:t>
      </w:r>
    </w:p>
    <w:p>
      <w:pPr>
        <w:sectPr>
          <w:pgSz w:w="11900" w:h="16838" w:orient="portrait"/>
          <w:cols w:equalWidth="0" w:num="1">
            <w:col w:w="11420"/>
          </w:cols>
          <w:pgMar w:left="240" w:top="400" w:right="239" w:bottom="1440" w:gutter="0" w:footer="0" w:header="0"/>
          <w:type w:val="continuous"/>
        </w:sectPr>
      </w:pPr>
    </w:p>
    <w:bookmarkStart w:id="112" w:name="page113"/>
    <w:bookmarkEnd w:id="112"/>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expected stock price volatility is determined using a weighted average of historical volatility for CBS Corp. Class B Common Stock and implied volatility of publicly traded options to purchase CBS Corp. Class B Common Stock. Given the existence of an actively traded market for CBS Corp. options, the Company was able to derive implied volatility using publicly traded options to purchase CBS Corp. Class B Common Stock that were trading near the grant date of the employee stock options at a similar exercise price and a remaining term of greater than one year.</w:t>
      </w:r>
    </w:p>
    <w:p>
      <w:pPr>
        <w:spacing w:after="0" w:line="2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 risk-free interest rate is based on a U.S. Treasury rate in effect on the date of grant with a term equal to the expected term. The expected term is determined based on historical employee exercise and post-vesting termination behavior. The expected dividend yield represents the Company’s future expectation of the dividend yield based on current rates and historical patterns of dividend changes.</w:t>
      </w:r>
    </w:p>
    <w:p>
      <w:pPr>
        <w:spacing w:after="0" w:line="1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unrecognized compensation cost related to non-vested stock option awards at December 31, 2018 was $31 million, which is expected to be recognized over a weighted average period of 2.5 years.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the Company’s stock option activity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96520</wp:posOffset>
            </wp:positionV>
            <wp:extent cx="60801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80" w:type="dxa"/>
            <w:vAlign w:val="bottom"/>
            <w:gridSpan w:val="2"/>
          </w:tcPr>
          <w:p>
            <w:pPr>
              <w:ind w:left="8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Stock Options</w:t>
            </w:r>
          </w:p>
        </w:tc>
        <w:tc>
          <w:tcPr>
            <w:tcW w:w="1000" w:type="dxa"/>
            <w:vAlign w:val="bottom"/>
          </w:tcPr>
          <w:p>
            <w:pPr>
              <w:spacing w:after="0"/>
              <w:rPr>
                <w:sz w:val="23"/>
                <w:szCs w:val="23"/>
                <w:color w:val="auto"/>
              </w:rPr>
            </w:pPr>
          </w:p>
        </w:tc>
        <w:tc>
          <w:tcPr>
            <w:tcW w:w="168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620" w:type="dxa"/>
            <w:vAlign w:val="bottom"/>
          </w:tcPr>
          <w:p>
            <w:pPr>
              <w:jc w:val="right"/>
              <w:spacing w:after="0"/>
              <w:rPr>
                <w:sz w:val="20"/>
                <w:szCs w:val="20"/>
                <w:color w:val="auto"/>
              </w:rPr>
            </w:pPr>
            <w:r>
              <w:rPr>
                <w:rFonts w:ascii="Arial" w:cs="Arial" w:eastAsia="Arial" w:hAnsi="Arial"/>
                <w:sz w:val="18"/>
                <w:szCs w:val="18"/>
                <w:color w:val="auto"/>
              </w:rPr>
              <w:t>10,113,836</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1,774,181</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(760,503)</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(220,544)</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10,906,970</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34"/>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Exercisable at December 31, 2018</w:t>
            </w:r>
          </w:p>
        </w:tc>
        <w:tc>
          <w:tcPr>
            <w:tcW w:w="1620" w:type="dxa"/>
            <w:vAlign w:val="bottom"/>
          </w:tcPr>
          <w:p>
            <w:pPr>
              <w:jc w:val="right"/>
              <w:spacing w:after="0"/>
              <w:rPr>
                <w:sz w:val="20"/>
                <w:szCs w:val="20"/>
                <w:color w:val="auto"/>
              </w:rPr>
            </w:pPr>
            <w:r>
              <w:rPr>
                <w:rFonts w:ascii="Arial" w:cs="Arial" w:eastAsia="Arial" w:hAnsi="Arial"/>
                <w:sz w:val="18"/>
                <w:szCs w:val="18"/>
                <w:color w:val="auto"/>
              </w:rPr>
              <w:t>7,310,228</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34"/>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table summarizes other information relating to stock option exercises during the years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71755</wp:posOffset>
            </wp:positionV>
            <wp:extent cx="65519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4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Cash received from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27</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91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Tax benefit of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36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Intrinsic value of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16</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96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34"/>
        </w:trPr>
        <w:tc>
          <w:tcPr>
            <w:tcW w:w="4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table summarizes information concerning outstanding and exercisable stock options to purchase CBS Corp. Class B Common Stock under the Plans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71755</wp:posOffset>
            </wp:positionV>
            <wp:extent cx="66122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tcPr>
          <w:p>
            <w:pPr>
              <w:ind w:left="600"/>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Exercisable</w:t>
            </w:r>
          </w:p>
        </w:tc>
      </w:tr>
      <w:tr>
        <w:trPr>
          <w:trHeight w:val="27"/>
        </w:trPr>
        <w:tc>
          <w:tcPr>
            <w:tcW w:w="24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80" w:type="dxa"/>
            <w:vAlign w:val="bottom"/>
          </w:tcPr>
          <w:p>
            <w:pPr>
              <w:spacing w:after="0"/>
              <w:rPr>
                <w:sz w:val="20"/>
                <w:szCs w:val="20"/>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Weighted</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Range of</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80" w:type="dxa"/>
            <w:vAlign w:val="bottom"/>
          </w:tcPr>
          <w:p>
            <w:pPr>
              <w:spacing w:after="0"/>
              <w:rPr>
                <w:sz w:val="23"/>
                <w:szCs w:val="23"/>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580" w:type="dxa"/>
            <w:vAlign w:val="bottom"/>
          </w:tcPr>
          <w:p>
            <w:pPr>
              <w:spacing w:after="0"/>
              <w:rPr>
                <w:sz w:val="23"/>
                <w:szCs w:val="23"/>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Average</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of Options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980" w:type="dxa"/>
            <w:vAlign w:val="bottom"/>
            <w:gridSpan w:val="3"/>
          </w:tcPr>
          <w:p>
            <w:pPr>
              <w:ind w:left="240"/>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of Options</w:t>
            </w:r>
          </w:p>
        </w:tc>
        <w:tc>
          <w:tcPr>
            <w:tcW w:w="1760" w:type="dxa"/>
            <w:vAlign w:val="bottom"/>
            <w:gridSpan w:val="2"/>
          </w:tcPr>
          <w:p>
            <w:pPr>
              <w:ind w:left="440"/>
              <w:spacing w:after="0"/>
              <w:rPr>
                <w:sz w:val="20"/>
                <w:szCs w:val="20"/>
                <w:color w:val="auto"/>
              </w:rPr>
            </w:pPr>
            <w:r>
              <w:rPr>
                <w:rFonts w:ascii="Arial" w:cs="Arial" w:eastAsia="Arial" w:hAnsi="Arial"/>
                <w:sz w:val="18"/>
                <w:szCs w:val="18"/>
                <w:b w:val="1"/>
                <w:bCs w:val="1"/>
                <w:color w:val="auto"/>
              </w:rPr>
              <w:t>Exercise Price</w:t>
            </w:r>
          </w:p>
        </w:tc>
      </w:tr>
      <w:tr>
        <w:trPr>
          <w:trHeight w:val="27"/>
        </w:trPr>
        <w:tc>
          <w:tcPr>
            <w:tcW w:w="2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color w:val="auto"/>
                <w:w w:val="92"/>
              </w:rPr>
              <w:t>$5 to 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10,186</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0.08</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5.72</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10,186</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5.72</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$10 to 19.99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42,442</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1.61</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16.52</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42,442</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16.52</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 to 29.99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932,407</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0.72</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26.71</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932,407</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26.71</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$30 to 39.99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791,703</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1.82</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34.27</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791,703</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34.27</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$40 to 49.99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2,741,793</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3.72</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44.96</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1,994,388</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44.64</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$50 to 59.99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3,225,456</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5.73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56.71</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1,287,783</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59.27</w:t>
            </w:r>
          </w:p>
        </w:tc>
      </w:tr>
      <w:tr>
        <w:trPr>
          <w:trHeight w:val="27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$60 to 69.99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3,162,983</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66.04</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2,251,319</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65.96</w:t>
            </w:r>
          </w:p>
        </w:tc>
      </w:tr>
      <w:tr>
        <w:trPr>
          <w:trHeight w:val="27"/>
        </w:trPr>
        <w:tc>
          <w:tcPr>
            <w:tcW w:w="24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10,906,970</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7,310,228</w:t>
            </w: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4"/>
        </w:trPr>
        <w:tc>
          <w:tcPr>
            <w:tcW w:w="2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At December 31, 2018 stock options outstanding have a weighted average remaining contractual life of 4.08 years and the total intrinsic value for “in-the-money” options, based on the Company’s closing stock price of $43.72, was</w:t>
      </w:r>
    </w:p>
    <w:p>
      <w:pPr>
        <w:sectPr>
          <w:pgSz w:w="11900" w:h="16838" w:orient="portrait"/>
          <w:cols w:equalWidth="0" w:num="1">
            <w:col w:w="11420"/>
          </w:cols>
          <w:pgMar w:left="240" w:top="400" w:right="239" w:bottom="1084"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II-79</w:t>
      </w:r>
    </w:p>
    <w:p>
      <w:pPr>
        <w:sectPr>
          <w:pgSz w:w="11900" w:h="16838" w:orient="portrait"/>
          <w:cols w:equalWidth="0" w:num="1">
            <w:col w:w="11420"/>
          </w:cols>
          <w:pgMar w:left="240" w:top="400" w:right="239" w:bottom="1084" w:gutter="0" w:footer="0" w:header="0"/>
          <w:type w:val="continuous"/>
        </w:sectPr>
      </w:pPr>
    </w:p>
    <w:bookmarkStart w:id="113" w:name="page114"/>
    <w:bookmarkEnd w:id="113"/>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$25 million. At December 31, 2018 stock options exercisable have a weighted average remaining contractual life of 3.02 years and the total intrinsic value for “in-the-money” exercisable options was $25 million.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222" w:lineRule="exact"/>
        <w:rPr>
          <w:sz w:val="20"/>
          <w:szCs w:val="20"/>
          <w:color w:val="auto"/>
        </w:rPr>
      </w:pPr>
    </w:p>
    <w:p>
      <w:pPr>
        <w:ind w:right="380" w:firstLine="324"/>
        <w:spacing w:after="0" w:line="260" w:lineRule="auto"/>
        <w:rPr>
          <w:sz w:val="20"/>
          <w:szCs w:val="20"/>
          <w:color w:val="auto"/>
        </w:rPr>
      </w:pPr>
      <w:r>
        <w:rPr>
          <w:rFonts w:ascii="Arial" w:cs="Arial" w:eastAsia="Arial" w:hAnsi="Arial"/>
          <w:sz w:val="20"/>
          <w:szCs w:val="20"/>
          <w:color w:val="auto"/>
        </w:rPr>
        <w:t>The U.S. and foreign components of earnings from continuing operations before income taxes and equity in loss of investee companies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1,743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1,441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546</w:t>
            </w:r>
          </w:p>
        </w:tc>
        <w:tc>
          <w:tcPr>
            <w:tcW w:w="46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538</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4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2,289</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1,979</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34"/>
        </w:trPr>
        <w:tc>
          <w:tcPr>
            <w:tcW w:w="4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components of the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Current:</w:t>
            </w: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41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720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0"/>
        </w:trPr>
        <w:tc>
          <w:tcPr>
            <w:tcW w:w="412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0"/>
        </w:trPr>
        <w:tc>
          <w:tcPr>
            <w:tcW w:w="41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821</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4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273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633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34"/>
        </w:trPr>
        <w:tc>
          <w:tcPr>
            <w:tcW w:w="4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addition, included in net loss from discontinued operations was an income tax provision of $8 million and $124 million in 2017 and 2016, respectively.</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equity in loss of investee companies is shown net of tax on the Company’s Consolidated Statements of Operations. The tax benefits relating to losses from equity investments in 2018, 2017, and 2016 were $19 million, $22 million, and $25 million, respectively, which represented an effective tax rate of 25.3%, 37.9% and 33.5% for 2018, 2017, and 2016, respectively.</w:t>
      </w:r>
    </w:p>
    <w:p>
      <w:pPr>
        <w:spacing w:after="0" w:line="18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In 2018 and 2017, the Company realized tax benefits from the exercise of stock options and vesting of RSUs of $37 million and $104 million, respectively.</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difference between income taxes expected at the U.S. federal statutory income tax rate of 21% and the provision for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r>
      <w:tr>
        <w:trPr>
          <w:trHeight w:val="27"/>
        </w:trPr>
        <w:tc>
          <w:tcPr>
            <w:tcW w:w="4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Taxes on income at U.S. federal statutory rate</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481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693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780</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State and local taxes, net of federal tax benefit</w:t>
            </w:r>
          </w:p>
        </w:tc>
        <w:tc>
          <w:tcPr>
            <w:tcW w:w="140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Effect of foreign operations</w:t>
            </w:r>
          </w:p>
        </w:tc>
        <w:tc>
          <w:tcPr>
            <w:tcW w:w="1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Impact of federal tax legislation</w:t>
            </w:r>
          </w:p>
        </w:tc>
        <w:tc>
          <w:tcPr>
            <w:tcW w:w="14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0"/>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Reversal of valuation allowance </w:t>
            </w:r>
            <w:r>
              <w:rPr>
                <w:rFonts w:ascii="Arial" w:cs="Arial" w:eastAsia="Arial" w:hAnsi="Arial"/>
                <w:sz w:val="25"/>
                <w:szCs w:val="25"/>
                <w:color w:val="auto"/>
                <w:vertAlign w:val="superscript"/>
              </w:rPr>
              <w:t>(a)</w:t>
            </w:r>
          </w:p>
        </w:tc>
        <w:tc>
          <w:tcPr>
            <w:tcW w:w="140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14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Domestic production deduction</w:t>
            </w:r>
          </w:p>
        </w:tc>
        <w:tc>
          <w:tcPr>
            <w:tcW w:w="140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25"/>
                <w:szCs w:val="25"/>
                <w:color w:val="auto"/>
                <w:vertAlign w:val="superscript"/>
              </w:rPr>
              <w:t>(b)</w:t>
            </w: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273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633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34"/>
        </w:trPr>
        <w:tc>
          <w:tcPr>
            <w:tcW w:w="4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900" w:right="520" w:hanging="244"/>
        <w:spacing w:after="0" w:line="255" w:lineRule="auto"/>
        <w:tabs>
          <w:tab w:leader="none" w:pos="8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reversal of a valuation allowance of $140 million relating to capital loss carryforwards that will be utilized in connection with the sale of CBS Television City in the first quarter of 2019.</w:t>
      </w:r>
    </w:p>
    <w:p>
      <w:pPr>
        <w:spacing w:after="0" w:line="1" w:lineRule="exact"/>
        <w:rPr>
          <w:rFonts w:ascii="Arial" w:cs="Arial" w:eastAsia="Arial" w:hAnsi="Arial"/>
          <w:sz w:val="16"/>
          <w:szCs w:val="16"/>
          <w:color w:val="auto"/>
        </w:rPr>
      </w:pPr>
    </w:p>
    <w:p>
      <w:pPr>
        <w:ind w:left="900" w:right="240" w:hanging="244"/>
        <w:spacing w:after="0" w:line="257" w:lineRule="auto"/>
        <w:tabs>
          <w:tab w:leader="none" w:pos="8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2016 includes a one-time tax benefit of $47 million associated with a multiyear adjustment to a tax deduction, which was approved by the IRS during the third quarter of 2016.</w:t>
      </w:r>
    </w:p>
    <w:p>
      <w:pPr>
        <w:sectPr>
          <w:pgSz w:w="11900" w:h="16838" w:orient="portrait"/>
          <w:cols w:equalWidth="0" w:num="1">
            <w:col w:w="11420"/>
          </w:cols>
          <w:pgMar w:left="240" w:top="400" w:right="239" w:bottom="1097"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II-80</w:t>
      </w:r>
    </w:p>
    <w:p>
      <w:pPr>
        <w:sectPr>
          <w:pgSz w:w="11900" w:h="16838" w:orient="portrait"/>
          <w:cols w:equalWidth="0" w:num="1">
            <w:col w:w="11420"/>
          </w:cols>
          <w:pgMar w:left="240" w:top="400" w:right="239" w:bottom="1097" w:gutter="0" w:footer="0" w:header="0"/>
          <w:type w:val="continuous"/>
        </w:sectPr>
      </w:pPr>
    </w:p>
    <w:bookmarkStart w:id="114" w:name="page115"/>
    <w:bookmarkEnd w:id="114"/>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the components of deferred income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8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Reserves and other accrued liabilities</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Pension, postretirement and other employee benefits</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492</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Tax credit and loss carryforwards</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723</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Total deferred income tax assets</w:t>
            </w:r>
          </w:p>
        </w:tc>
        <w:tc>
          <w:tcPr>
            <w:tcW w:w="18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1,634</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1,774</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(719)</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18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915</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(844)</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Unbilled licensing receivables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(401)</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Property, equipment and other assets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Total deferred income tax liabilities</w:t>
            </w:r>
          </w:p>
        </w:tc>
        <w:tc>
          <w:tcPr>
            <w:tcW w:w="18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(1,285)</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34"/>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In addition to the deferred income taxes reflected in the table above, included in other liabilities on the Consolidated Balance Sheets are net deferred income tax assets of $12 million at both December 31, 2018 and 2017 relating to discontinued operations.</w:t>
      </w:r>
    </w:p>
    <w:p>
      <w:pPr>
        <w:spacing w:after="0" w:line="16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the Company had net operating loss carryforwards for federal, state and local, and foreign jurisdictions of approximately $1.73 billion, the majority of which expire in various years from 2019 through 2038.</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2018 and 2017 deferred income tax assets were reduced by a valuation allowance of $719 million and $974 million, respectively, principally relating to income tax benefits from capital losses and net operating losses in foreign jurisdictions which are not expected to be realized.</w:t>
      </w:r>
    </w:p>
    <w:p>
      <w:pPr>
        <w:spacing w:after="0" w:line="2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In December 2017, the U.S. government enacted the Tax Reform Act which contained significant changes to U.S. federal tax law, including a reduction in the federal corporate tax rate from 35% </w:t>
      </w:r>
      <w:r>
        <w:rPr>
          <w:rFonts w:ascii="Arial" w:cs="Arial" w:eastAsia="Arial" w:hAnsi="Arial"/>
          <w:sz w:val="16"/>
          <w:szCs w:val="16"/>
          <w:color w:val="auto"/>
        </w:rPr>
        <w:t>to</w:t>
      </w:r>
      <w:r>
        <w:rPr>
          <w:rFonts w:ascii="Arial" w:cs="Arial" w:eastAsia="Arial" w:hAnsi="Arial"/>
          <w:sz w:val="18"/>
          <w:szCs w:val="18"/>
          <w:color w:val="auto"/>
        </w:rPr>
        <w:t xml:space="preserve"> 21% and a one-time transition tax on cumulative foreign earnings and profits. For the year ended December 31, 2017, the Company recorded a net provisional charge of $129 million, reflecting the estimated transition tax of $407 million on cumulative foreign earnings and profits, offset by an estimated benefit of $278 million to adjust the Company’s deferred income tax balances as a result of the reduced corporate income tax rate. During 2018, the Company completed its analysis of these provisional amounts and recorded a charge of $15 million to adjust the estimated transition tax on cumulative foreign earnings and profits. In January 2019, the U.S. government issued guidance relating to the transition tax. The Company is currently evaluating the impact of this guidance, which will be recorded in the Company’s consolidated financial statements in the first quarter of 2019.</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 Tax Reform Act includes a deduction for foreign derived intangible income and a tax on global intangible low-taxed income (“GILTI”), which imposes a U.S. tax on certain income earned by the Company’s foreign subsidiaries. The Company elected to treat the tax on GILTI as a period cost when incurred and therefore, the tax on GILTI is included in its tax provision for the year ended December 31, 2018.</w:t>
      </w:r>
    </w:p>
    <w:p>
      <w:pPr>
        <w:spacing w:after="0" w:line="15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Generally, the future remittance of foreign undistributed earnings will not be subject to U.S. federal income taxes under the provisions of the Tax Reform Act and as a result, for substantially all of its foreign subsidiaries, the Company does not intend to assert indefinite reinvestment of both cash held outside of the U.S. and future cash earnings. However, a future repatriation of cash could be subject to state and local income taxes, foreign income taxes, and withholding taxes. Accordingly, the Company recorded deferred income tax liabilities associated with future</w:t>
      </w:r>
    </w:p>
    <w:p>
      <w:pPr>
        <w:sectPr>
          <w:pgSz w:w="11900" w:h="16838" w:orient="portrait"/>
          <w:cols w:equalWidth="0" w:num="1">
            <w:col w:w="11420"/>
          </w:cols>
          <w:pgMar w:left="240" w:top="400"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II-81</w:t>
      </w:r>
    </w:p>
    <w:p>
      <w:pPr>
        <w:sectPr>
          <w:pgSz w:w="11900" w:h="16838" w:orient="portrait"/>
          <w:cols w:equalWidth="0" w:num="1">
            <w:col w:w="11420"/>
          </w:cols>
          <w:pgMar w:left="240" w:top="400" w:right="239" w:bottom="1440" w:gutter="0" w:footer="0" w:header="0"/>
          <w:type w:val="continuous"/>
        </w:sectPr>
      </w:pPr>
    </w:p>
    <w:bookmarkStart w:id="115" w:name="page116"/>
    <w:bookmarkEnd w:id="115"/>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repatriations, which were not material to the Company’s consolidated financial statements. Additional income taxes have not been provided for outside basis differences inherent in these entities as these amounts continue to be indefinitely invested in foreign operations. The determination of the U.S. federal deferred income tax liability for such outside basis difference is not practicable.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sets forth the change in the reserve for uncertain tax positions, excluding related accrued interest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103505</wp:posOffset>
            </wp:positionV>
            <wp:extent cx="60547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54725" cy="17145"/>
                    </a:xfrm>
                    <a:prstGeom prst="rect">
                      <a:avLst/>
                    </a:prstGeom>
                    <a:noFill/>
                  </pic:spPr>
                </pic:pic>
              </a:graphicData>
            </a:graphic>
          </wp:anchor>
        </w:drawing>
      </w:r>
    </w:p>
    <w:p>
      <w:pPr>
        <w:spacing w:after="0" w:line="179"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January 1, 2016</w:t>
            </w:r>
          </w:p>
        </w:tc>
        <w:tc>
          <w:tcPr>
            <w:tcW w:w="32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2016</w:t>
            </w:r>
          </w:p>
        </w:tc>
        <w:tc>
          <w:tcPr>
            <w:tcW w:w="3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2017</w:t>
            </w:r>
          </w:p>
        </w:tc>
        <w:tc>
          <w:tcPr>
            <w:tcW w:w="3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32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34"/>
        </w:trPr>
        <w:tc>
          <w:tcPr>
            <w:tcW w:w="5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reserve for uncertain tax positions of $266 million at December 31, 2018 includes $249 million which would affect the Company’s effective income tax rate, including discontinued operations, if and when recognized in future years.</w:t>
      </w:r>
    </w:p>
    <w:p>
      <w:pPr>
        <w:spacing w:after="0" w:line="19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Company recognizes interest and penalty charges related to the reserve for uncertain tax positions as income tax expense. The Company recognized interest and penalties of $16 million for the year ended December 31, 2018, $6 million for the year ended December 31, 2017 and $7 million for the year ended December 31, 2016, in the Consolidated Statements of Operations. As of December 31, 2018 and 2017, the Company has recorded liabilities for accrued interest and penalties of $24 million and $14 million, respectively, on the Consolidated Balance Sheets.</w:t>
      </w:r>
    </w:p>
    <w:p>
      <w:pPr>
        <w:spacing w:after="0" w:line="20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statute of limitations for the 2014 tax year expired in September 2018. The IRS is expected to commence its examination of the 2016 and 2017 tax years during the first quarter of 2019. Various tax years are also currently under examination by state and local and foreign tax authorities. In addition, there are significant uncertainties with respect to the interpretation of tax law provisions contained in the Tax Reform Act. Guidance issued by the U.S. government in January 2019 may result in a decrease to the reserve for uncertain tax positions within the next twelve months; however, the Company is still evaluating the impact of this guidance and therefore, the amount of this decrease cannot currently be determined. In addition, future guidance issued by federal and state authorities could result in further changes to the reserve for uncertain tax positions.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ectPr>
          <w:pgSz w:w="11900" w:h="16838" w:orient="portrait"/>
          <w:cols w:equalWidth="0" w:num="1">
            <w:col w:w="11420"/>
          </w:cols>
          <w:pgMar w:left="240" w:top="400" w:right="239" w:bottom="1440" w:gutter="0" w:footer="0" w:header="0"/>
        </w:sectPr>
      </w:pPr>
    </w:p>
    <w:bookmarkStart w:id="116" w:name="page117"/>
    <w:bookmarkEnd w:id="116"/>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PENSION AND OTHER POSTRETIREMENT BENEFITS</w:t>
      </w:r>
    </w:p>
    <w:p>
      <w:pPr>
        <w:spacing w:after="0" w:line="1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The Company and certain of its subsidiaries sponsor qualified and non-qualified defined benefit pension plans, principally non-contributory, covering eligible employees. The majority of participants in these plans are retired employees or former employees of previously divested businesses. Most of the Company’s pension plans are closed to new entrants. The benefits for some plans are based primarily on an employee’s years of service and average pay near retirement. Benefits under other plans are based primarily on an employee’s pay for each year that the employee participated in the plan. Participating employees are vested in the plans after five years of service. The Company funds its pension plans in accordance with the Employee Retirement Income Security Act of 1974 (“ERISA”), the Pension Protection Act of 2006, the Internal Revenue Code of 1986 and other applicable rules and regulations. Plan assets consist principally of corporate bonds, equity securities and U.S. government securities. The Company’s common stock represents approximately 2.5% and 2.8% of the plan assets’ fair values at December 31, 2018 and 2017, respectively.</w:t>
      </w:r>
    </w:p>
    <w:p>
      <w:pPr>
        <w:spacing w:after="0" w:line="19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During the first quarter of 2018, the Company adopted FASB amended guidance on the presentation of net benefit cost. This guidance requires the Company to present the service cost component of net benefit cost in the same line items on the statement of operations as other compensation costs of the related employees. All of the other components of net benefit cost are presented in the statement of operations separately from the service cost component and below the subtotal of operating income. As a result of the adoption of this guidance, the Company presented $63 million of net benefit costs in “Other items, net” on the Consolidated Statement of Operations for 2018 representing the components of net benefit cost other than service cost. This guidance is required to be applied retrospectively and therefore, the Company reclassified net benefit costs of $438 million and $281 million, including pension settlement charges, for 2017 and 2016, respectively, below operating income on the Consolidated Statements of Operations. All related amounts presented herein have been recast to conform to this presentation.</w:t>
      </w:r>
    </w:p>
    <w:p>
      <w:pPr>
        <w:spacing w:after="0" w:line="20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During 2017, the Company purchased a group annuity contract under which an insurance company permanently assumed the Company’s obligation to pay and administer pension benefits to certain of the Company’s pension plan participants, or their designated beneficiaries, who had been receiving pension benefits. The purchase of this group annuity contract was funded with pension plan assets. As a result, the Company’s outstanding pension benefit obligation was reduced by approximately $800 million, which represented approximately 20% of the total obligations of the Company’s qualified pension plans. In connection with this transaction, the Company recorded a settlement charge of $352 million in 2017, reflecting the accelerated recognition of a portion of unamortized actuarial losses in the plan. Additionally, during 2017, the Company made discretionary contributions totaling $600 million to prefund its qualified pension plans.</w:t>
      </w:r>
    </w:p>
    <w:p>
      <w:pPr>
        <w:spacing w:after="0" w:line="18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9"/>
          <w:szCs w:val="19"/>
          <w:color w:val="auto"/>
        </w:rPr>
        <w:t>During 2016, the Company offered eligible former employees who had not yet initiated pension benefit payments the option to make a one-time election to receive the present value of their pension benefits as a lump-sum distribution or to commence an immediate monthly annuity benefit. As a result, the Company paid a total of $518 million of lump-sum distributions in 2016 using its pension plan assets, which represented 12% of the total obligations of its qualified pension plans. Accordingly, the Company recorded a settlement charge of $211 million, reflecting the accelerated recognition of a portion of unamortized actuarial losses in the plan.</w:t>
      </w:r>
    </w:p>
    <w:p>
      <w:pPr>
        <w:spacing w:after="0" w:line="18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the Company will contribute toward the cost of coverage. Claims are paid primarily with the Company’s funds.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II-83</w:t>
      </w:r>
    </w:p>
    <w:p>
      <w:pPr>
        <w:sectPr>
          <w:pgSz w:w="11900" w:h="16838" w:orient="portrait"/>
          <w:cols w:equalWidth="0" w:num="1">
            <w:col w:w="11420"/>
          </w:cols>
          <w:pgMar w:left="240" w:top="400" w:right="239" w:bottom="1440" w:gutter="0" w:footer="0" w:header="0"/>
        </w:sectPr>
      </w:pPr>
    </w:p>
    <w:bookmarkStart w:id="117" w:name="page118"/>
    <w:bookmarkEnd w:id="117"/>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Company uses a December 31 measurement date for all pension and other postretirement benefit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the change in benefit obligation for the Company’s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wp:posOffset>
            </wp:positionV>
            <wp:extent cx="69037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4,040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4,660</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Retiree Medicare drug subsidy</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Cumulative translation adjustments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3,671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4,040</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the change in plan assets for the Company’s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wp:posOffset>
            </wp:positionV>
            <wp:extent cx="69037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3,046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3,244</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Retiree Medicare drug subsidy</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Cumulative translation adjustments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funded status of pension and postretirement benefit obligations and the related amounts recognized on the Company’s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71755</wp:posOffset>
            </wp:positionV>
            <wp:extent cx="69037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2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amounts recognized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qualified pension plans were underfunded by $478 million and $309 million at December 31, 2018 and 2017, respectively.</w:t>
      </w:r>
    </w:p>
    <w:p>
      <w:pPr>
        <w:sectPr>
          <w:pgSz w:w="11900" w:h="16838" w:orient="portrait"/>
          <w:cols w:equalWidth="0" w:num="1">
            <w:col w:w="11400"/>
          </w:cols>
          <w:pgMar w:left="240" w:top="40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II-84</w:t>
      </w:r>
    </w:p>
    <w:p>
      <w:pPr>
        <w:sectPr>
          <w:pgSz w:w="11900" w:h="16838" w:orient="portrait"/>
          <w:cols w:equalWidth="0" w:num="1">
            <w:col w:w="11400"/>
          </w:cols>
          <w:pgMar w:left="240" w:top="400" w:right="259" w:bottom="1440" w:gutter="0" w:footer="0" w:header="0"/>
          <w:type w:val="continuous"/>
        </w:sectPr>
      </w:pPr>
    </w:p>
    <w:bookmarkStart w:id="118" w:name="page119"/>
    <w:bookmarkEnd w:id="118"/>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amounts were recognized in accumulated other comprehensive income (loss)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103505</wp:posOffset>
            </wp:positionV>
            <wp:extent cx="69037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actuarial (loss) gain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(1,583)</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Share of equity investee</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632</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8"/>
                <w:szCs w:val="18"/>
                <w:color w:val="auto"/>
              </w:rPr>
              <w:t>Net amount recognized in accumulated other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40" w:type="dxa"/>
            <w:vAlign w:val="bottom"/>
          </w:tcPr>
          <w:p>
            <w:pPr>
              <w:ind w:left="10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right="300" w:firstLine="324"/>
        <w:spacing w:after="0" w:line="260" w:lineRule="auto"/>
        <w:rPr>
          <w:sz w:val="20"/>
          <w:szCs w:val="20"/>
          <w:color w:val="auto"/>
        </w:rPr>
      </w:pPr>
      <w:r>
        <w:rPr>
          <w:rFonts w:ascii="Arial" w:cs="Arial" w:eastAsia="Arial" w:hAnsi="Arial"/>
          <w:sz w:val="20"/>
          <w:szCs w:val="20"/>
          <w:color w:val="auto"/>
        </w:rPr>
        <w:t>The accumulated benefit obligation for all defined benefit pension plans was $3.58 billion and $3.96 billion at December 31, 2018 and 2017, respectively.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Information for the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96520</wp:posOffset>
            </wp:positionV>
            <wp:extent cx="683514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304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0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3,662</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3,933</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3,576</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3,852</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2,511</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34"/>
        </w:trPr>
        <w:tc>
          <w:tcPr>
            <w:tcW w:w="50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components of net periodic benefit cost and amounts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110490</wp:posOffset>
            </wp:positionV>
            <wp:extent cx="681799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Postretirement Benefits</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2016</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2017</w:t>
            </w:r>
          </w:p>
        </w:tc>
        <w:tc>
          <w:tcPr>
            <w:tcW w:w="2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cost: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Amortization of actuarial losses (gains)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160"/>
              <w:spacing w:after="0"/>
              <w:rPr>
                <w:sz w:val="20"/>
                <w:szCs w:val="20"/>
                <w:color w:val="auto"/>
              </w:rPr>
            </w:pPr>
            <w:r>
              <w:rPr>
                <w:rFonts w:ascii="Arial" w:cs="Arial" w:eastAsia="Arial" w:hAnsi="Arial"/>
                <w:sz w:val="18"/>
                <w:szCs w:val="18"/>
                <w:color w:val="auto"/>
              </w:rPr>
              <w:t>Net periodic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474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4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91" w:lineRule="auto"/>
        <w:rPr>
          <w:sz w:val="20"/>
          <w:szCs w:val="20"/>
          <w:color w:val="auto"/>
        </w:rPr>
      </w:pPr>
      <w:r>
        <w:rPr>
          <w:rFonts w:ascii="Arial" w:cs="Arial" w:eastAsia="Arial" w:hAnsi="Arial"/>
          <w:sz w:val="18"/>
          <w:szCs w:val="18"/>
          <w:color w:val="auto"/>
        </w:rPr>
        <w:t>The service cost component of net periodic cost is presented on the Consolidated Statements of Operations within operating income. All other components of net periodic cost are presented below operating income, in “Other items, net” and “Pension settlement charges.” Included in net loss from discontinued operations was net periodic cost of $3 million and $2 million in 2017 and 2016, respectively.</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II-85</w:t>
      </w:r>
    </w:p>
    <w:p>
      <w:pPr>
        <w:sectPr>
          <w:pgSz w:w="11900" w:h="16838" w:orient="portrait"/>
          <w:cols w:equalWidth="0" w:num="1">
            <w:col w:w="11300"/>
          </w:cols>
          <w:pgMar w:left="240" w:top="400" w:right="359" w:bottom="1440" w:gutter="0" w:footer="0" w:header="0"/>
        </w:sectPr>
      </w:pPr>
    </w:p>
    <w:bookmarkStart w:id="119" w:name="page120"/>
    <w:bookmarkEnd w:id="119"/>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471805</wp:posOffset>
            </wp:positionV>
            <wp:extent cx="681799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Postretirement Benefits</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2016</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2017</w:t>
            </w:r>
          </w:p>
        </w:tc>
        <w:tc>
          <w:tcPr>
            <w:tcW w:w="2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310"/>
        </w:trPr>
        <w:tc>
          <w:tcPr>
            <w:tcW w:w="4940" w:type="dxa"/>
            <w:vAlign w:val="bottom"/>
          </w:tcPr>
          <w:p>
            <w:pPr>
              <w:ind w:left="160"/>
              <w:spacing w:after="0"/>
              <w:rPr>
                <w:sz w:val="20"/>
                <w:szCs w:val="20"/>
                <w:color w:val="auto"/>
              </w:rPr>
            </w:pPr>
            <w:r>
              <w:rPr>
                <w:rFonts w:ascii="Arial" w:cs="Arial" w:eastAsia="Arial" w:hAnsi="Arial"/>
                <w:sz w:val="18"/>
                <w:szCs w:val="18"/>
                <w:color w:val="auto"/>
              </w:rPr>
              <w:t xml:space="preserve">Amortization of actuarial losses (gains) </w:t>
            </w:r>
            <w:r>
              <w:rPr>
                <w:rFonts w:ascii="Arial" w:cs="Arial" w:eastAsia="Arial" w:hAnsi="Arial"/>
                <w:sz w:val="25"/>
                <w:szCs w:val="25"/>
                <w:color w:val="auto"/>
                <w:vertAlign w:val="superscript"/>
              </w:rPr>
              <w:t>(a)</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9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Settlements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2"/>
        </w:trPr>
        <w:tc>
          <w:tcPr>
            <w:tcW w:w="4940" w:type="dxa"/>
            <w:vAlign w:val="bottom"/>
          </w:tcPr>
          <w:p>
            <w:pPr>
              <w:ind w:left="160"/>
              <w:spacing w:after="0"/>
              <w:rPr>
                <w:sz w:val="20"/>
                <w:szCs w:val="20"/>
                <w:color w:val="auto"/>
              </w:rPr>
            </w:pPr>
            <w:r>
              <w:rPr>
                <w:rFonts w:ascii="Arial" w:cs="Arial" w:eastAsia="Arial" w:hAnsi="Arial"/>
                <w:sz w:val="18"/>
                <w:szCs w:val="18"/>
                <w:color w:val="auto"/>
              </w:rPr>
              <w:t>Recognized in other comprehensive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940" w:type="dxa"/>
            <w:vAlign w:val="bottom"/>
          </w:tcPr>
          <w:p>
            <w:pPr>
              <w:ind w:left="320"/>
              <w:spacing w:after="0"/>
              <w:rPr>
                <w:sz w:val="20"/>
                <w:szCs w:val="20"/>
                <w:color w:val="auto"/>
              </w:rPr>
            </w:pPr>
            <w:r>
              <w:rPr>
                <w:rFonts w:ascii="Arial" w:cs="Arial" w:eastAsia="Arial" w:hAnsi="Arial"/>
                <w:sz w:val="18"/>
                <w:szCs w:val="18"/>
                <w:color w:val="auto"/>
              </w:rPr>
              <w:t>(loss),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Reflects amounts reclassified from accumulated other comprehensive income (loss) to net earnings.</w:t>
      </w:r>
    </w:p>
    <w:p>
      <w:pPr>
        <w:spacing w:after="0" w:line="25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9"/>
          <w:szCs w:val="19"/>
          <w:color w:val="auto"/>
        </w:rPr>
        <w:t>Estimated net actuarial losses and prior service costs related to the defined benefit pension plans of approximately $90 million and $1 million, respectively, will be amortized from accumulated other comprehensive loss into net periodic benefit costs in 2019.</w:t>
      </w:r>
    </w:p>
    <w:p>
      <w:pPr>
        <w:spacing w:after="0" w:line="16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Estimated net actuarial gains related to the other postretirement benefit plans of approximately $18 million will be amortized from accumulated other comprehensive loss into net periodic benefit costs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71755</wp:posOffset>
            </wp:positionV>
            <wp:extent cx="681799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Pension Benefits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Postretirement Benefits</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3"/>
              </w:rPr>
              <w:t>Weighted average assumptions used to determine benefit</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obligations at December 31:</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52"/>
        </w:trPr>
        <w:tc>
          <w:tcPr>
            <w:tcW w:w="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9"/>
              </w:rPr>
              <w:t>Weighted average assumptions used to determine net</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periodic costs for the year ended December 31:</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34"/>
        </w:trPr>
        <w:tc>
          <w:tcPr>
            <w:tcW w:w="46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 - not applicable</w:t>
            </w:r>
          </w:p>
        </w:tc>
        <w:tc>
          <w:tcPr>
            <w:tcW w:w="8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bl>
    <w:p>
      <w:pPr>
        <w:spacing w:after="0" w:line="1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discount rates are determined primarily based on the yield on a portfolio of high quality bonds, constructed to provide cash flows necessary to meet the Company’s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additional assumptions were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96520</wp:posOffset>
            </wp:positionV>
            <wp:extent cx="687768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0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55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Projected health care cost trend rate</w:t>
            </w:r>
          </w:p>
        </w:tc>
        <w:tc>
          <w:tcPr>
            <w:tcW w:w="4080" w:type="dxa"/>
            <w:vAlign w:val="bottom"/>
          </w:tcPr>
          <w:p>
            <w:pPr>
              <w:jc w:val="right"/>
              <w:ind w:right="310"/>
              <w:spacing w:after="0"/>
              <w:rPr>
                <w:sz w:val="20"/>
                <w:szCs w:val="20"/>
                <w:color w:val="auto"/>
              </w:rPr>
            </w:pPr>
            <w:r>
              <w:rPr>
                <w:rFonts w:ascii="Arial" w:cs="Arial" w:eastAsia="Arial" w:hAnsi="Arial"/>
                <w:sz w:val="18"/>
                <w:szCs w:val="18"/>
                <w:color w:val="auto"/>
              </w:rPr>
              <w:t>6.6%</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408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520" w:type="dxa"/>
            <w:vAlign w:val="bottom"/>
          </w:tcPr>
          <w:p>
            <w:pPr>
              <w:ind w:left="20"/>
              <w:spacing w:after="0"/>
              <w:rPr>
                <w:sz w:val="20"/>
                <w:szCs w:val="20"/>
                <w:color w:val="auto"/>
              </w:rPr>
            </w:pPr>
            <w:r>
              <w:rPr>
                <w:rFonts w:ascii="Arial" w:cs="Arial" w:eastAsia="Arial" w:hAnsi="Arial"/>
                <w:sz w:val="18"/>
                <w:szCs w:val="18"/>
                <w:color w:val="auto"/>
              </w:rPr>
              <w:t>Year ultimate trend rate is achieved</w:t>
            </w:r>
          </w:p>
        </w:tc>
        <w:tc>
          <w:tcPr>
            <w:tcW w:w="408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2023</w:t>
            </w:r>
          </w:p>
        </w:tc>
      </w:tr>
      <w:tr>
        <w:trPr>
          <w:trHeight w:val="34"/>
        </w:trPr>
        <w:tc>
          <w:tcPr>
            <w:tcW w:w="55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II-86</w:t>
      </w:r>
    </w:p>
    <w:p>
      <w:pPr>
        <w:sectPr>
          <w:pgSz w:w="11900" w:h="16838" w:orient="portrait"/>
          <w:cols w:equalWidth="0" w:num="1">
            <w:col w:w="11420"/>
          </w:cols>
          <w:pgMar w:left="240" w:top="400" w:right="239" w:bottom="1440" w:gutter="0" w:footer="0" w:header="0"/>
          <w:type w:val="continuous"/>
        </w:sectPr>
      </w:pPr>
    </w:p>
    <w:bookmarkStart w:id="120" w:name="page121"/>
    <w:bookmarkEnd w:id="120"/>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96520</wp:posOffset>
            </wp:positionV>
            <wp:extent cx="69380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080" w:type="dxa"/>
            <w:vAlign w:val="bottom"/>
            <w:gridSpan w:val="2"/>
          </w:tcPr>
          <w:p>
            <w:pPr>
              <w:ind w:left="1180"/>
              <w:spacing w:after="0"/>
              <w:rPr>
                <w:sz w:val="20"/>
                <w:szCs w:val="20"/>
                <w:color w:val="auto"/>
              </w:rPr>
            </w:pPr>
            <w:r>
              <w:rPr>
                <w:rFonts w:ascii="Arial" w:cs="Arial" w:eastAsia="Arial" w:hAnsi="Arial"/>
                <w:sz w:val="18"/>
                <w:szCs w:val="18"/>
                <w:b w:val="1"/>
                <w:bCs w:val="1"/>
                <w:color w:val="auto"/>
              </w:rPr>
              <w:t>One Percentage</w:t>
            </w:r>
          </w:p>
        </w:tc>
        <w:tc>
          <w:tcPr>
            <w:tcW w:w="2400" w:type="dxa"/>
            <w:vAlign w:val="bottom"/>
            <w:gridSpan w:val="2"/>
          </w:tcPr>
          <w:p>
            <w:pPr>
              <w:ind w:left="700"/>
              <w:spacing w:after="0"/>
              <w:rPr>
                <w:sz w:val="20"/>
                <w:szCs w:val="20"/>
                <w:color w:val="auto"/>
              </w:rPr>
            </w:pPr>
            <w:r>
              <w:rPr>
                <w:rFonts w:ascii="Arial" w:cs="Arial" w:eastAsia="Arial" w:hAnsi="Arial"/>
                <w:sz w:val="18"/>
                <w:szCs w:val="18"/>
                <w:b w:val="1"/>
                <w:bCs w:val="1"/>
                <w:color w:val="auto"/>
              </w:rPr>
              <w:t>One Percentage</w:t>
            </w:r>
          </w:p>
        </w:tc>
      </w:tr>
      <w:tr>
        <w:trPr>
          <w:trHeight w:val="270"/>
        </w:trPr>
        <w:tc>
          <w:tcPr>
            <w:tcW w:w="5440" w:type="dxa"/>
            <w:vAlign w:val="bottom"/>
          </w:tcPr>
          <w:p>
            <w:pPr>
              <w:spacing w:after="0"/>
              <w:rPr>
                <w:sz w:val="23"/>
                <w:szCs w:val="23"/>
                <w:color w:val="auto"/>
              </w:rPr>
            </w:pPr>
          </w:p>
        </w:tc>
        <w:tc>
          <w:tcPr>
            <w:tcW w:w="3080" w:type="dxa"/>
            <w:vAlign w:val="bottom"/>
            <w:gridSpan w:val="2"/>
          </w:tcPr>
          <w:p>
            <w:pPr>
              <w:ind w:left="1220"/>
              <w:spacing w:after="0"/>
              <w:rPr>
                <w:sz w:val="20"/>
                <w:szCs w:val="20"/>
                <w:color w:val="auto"/>
              </w:rPr>
            </w:pPr>
            <w:r>
              <w:rPr>
                <w:rFonts w:ascii="Arial" w:cs="Arial" w:eastAsia="Arial" w:hAnsi="Arial"/>
                <w:sz w:val="18"/>
                <w:szCs w:val="18"/>
                <w:b w:val="1"/>
                <w:bCs w:val="1"/>
                <w:color w:val="auto"/>
              </w:rPr>
              <w:t>Point Increase</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rPr>
              <w:t>Point Decrease</w:t>
            </w:r>
          </w:p>
        </w:tc>
      </w:tr>
      <w:tr>
        <w:trPr>
          <w:trHeight w:val="27"/>
        </w:trPr>
        <w:tc>
          <w:tcPr>
            <w:tcW w:w="5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Effect on total service and interest cost components</w:t>
            </w:r>
          </w:p>
        </w:tc>
        <w:tc>
          <w:tcPr>
            <w:tcW w:w="1700" w:type="dxa"/>
            <w:vAlign w:val="bottom"/>
          </w:tcPr>
          <w:p>
            <w:pPr>
              <w:ind w:left="1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Effect on the accumulated postretirement benefit obligation</w:t>
            </w:r>
          </w:p>
        </w:tc>
        <w:tc>
          <w:tcPr>
            <w:tcW w:w="1700" w:type="dxa"/>
            <w:vAlign w:val="bottom"/>
          </w:tcPr>
          <w:p>
            <w:pPr>
              <w:ind w:left="1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650"/>
              <w:spacing w:after="0"/>
              <w:rPr>
                <w:sz w:val="20"/>
                <w:szCs w:val="20"/>
                <w:color w:val="auto"/>
              </w:rPr>
            </w:pPr>
            <w:r>
              <w:rPr>
                <w:rFonts w:ascii="Arial" w:cs="Arial" w:eastAsia="Arial" w:hAnsi="Arial"/>
                <w:sz w:val="18"/>
                <w:szCs w:val="18"/>
                <w:color w:val="auto"/>
              </w:rPr>
              <w:t>4</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34"/>
        </w:trPr>
        <w:tc>
          <w:tcPr>
            <w:tcW w:w="5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Plan Assets</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The asset allocations for the Company’s U.S. qualified defined benefit pension plan trust and international pension plan trusts are based upon an analysis of the timing and amount of projected benefit payments, projected company contributions, the expected returns and risk of the asset classes and the correlation of those returns. The target asset allocation for the Company’s U.S. pension plan trust, which accounted for 97% of total plan assets at December 31, 2018, is to invest between 70% - 80% in long duration fixed income investments, 16% - 28% in equity securities and the remainder in cash and other investments. At December 31, 2018, this trust was invested approximately 75% in long duration fixed income securities, 22% in equity investments, and the remainder in cash, cash equivalents and other investments. Long duration fixed income investments consist of a diversified portfolio of fixed income instruments that are substantially all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18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following tables set forth the Company’s pension plan assets measured at fair value on a recurring basis at December 31, 2018 and 2017. These assets have been categorized according to the three-level fair value hierarchy established by the FASB which prioritizes the inputs used in measuring fair value. Level 1 is based on quoted prices for the asset in active markets. Level 2 is based on inputs that are observable other than quoted market prices in active markets, such as quoted prices for the asset in inactive markets or quoted prices for similar assets. Level 3 is based on unobservable inputs that market participants would use in pricing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73660</wp:posOffset>
            </wp:positionV>
            <wp:extent cx="67919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1960" cy="17145"/>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10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Level 1</w:t>
            </w:r>
          </w:p>
        </w:tc>
        <w:tc>
          <w:tcPr>
            <w:tcW w:w="4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Level 2</w:t>
            </w:r>
          </w:p>
        </w:tc>
        <w:tc>
          <w:tcPr>
            <w:tcW w:w="40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8"/>
        </w:trPr>
        <w:tc>
          <w:tcPr>
            <w:tcW w:w="4700" w:type="dxa"/>
            <w:vAlign w:val="bottom"/>
          </w:tcPr>
          <w:p>
            <w:pPr>
              <w:ind w:left="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9"/>
        </w:trPr>
        <w:tc>
          <w:tcPr>
            <w:tcW w:w="47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81"/>
        </w:trPr>
        <w:tc>
          <w:tcPr>
            <w:tcW w:w="4700" w:type="dxa"/>
            <w:vAlign w:val="bottom"/>
          </w:tcPr>
          <w:p>
            <w:pPr>
              <w:ind w:left="1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8"/>
                <w:szCs w:val="18"/>
                <w:color w:val="auto"/>
                <w:vertAlign w:val="superscript"/>
              </w:rPr>
              <w:t>(b)</w:t>
            </w:r>
          </w:p>
        </w:tc>
        <w:tc>
          <w:tcPr>
            <w:tcW w:w="10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1,483</w:t>
            </w:r>
          </w:p>
        </w:tc>
        <w:tc>
          <w:tcPr>
            <w:tcW w:w="4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1,483</w:t>
            </w:r>
          </w:p>
        </w:tc>
      </w:tr>
      <w:tr>
        <w:trPr>
          <w:trHeight w:val="259"/>
        </w:trPr>
        <w:tc>
          <w:tcPr>
            <w:tcW w:w="470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1020" w:type="dxa"/>
            <w:vAlign w:val="bottom"/>
          </w:tcPr>
          <w:p>
            <w:pPr>
              <w:spacing w:after="0"/>
              <w:rPr>
                <w:sz w:val="22"/>
                <w:szCs w:val="22"/>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22"/>
                <w:szCs w:val="22"/>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International equity</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2,071</w:t>
            </w:r>
          </w:p>
        </w:tc>
      </w:tr>
      <w:tr>
        <w:trPr>
          <w:trHeight w:val="310"/>
        </w:trPr>
        <w:tc>
          <w:tcPr>
            <w:tcW w:w="4700" w:type="dxa"/>
            <w:vAlign w:val="bottom"/>
          </w:tcPr>
          <w:p>
            <w:pPr>
              <w:ind w:left="20"/>
              <w:spacing w:after="0"/>
              <w:rPr>
                <w:sz w:val="20"/>
                <w:szCs w:val="20"/>
                <w:color w:val="auto"/>
              </w:rPr>
            </w:pPr>
            <w:r>
              <w:rPr>
                <w:rFonts w:ascii="Arial" w:cs="Arial" w:eastAsia="Arial" w:hAnsi="Arial"/>
                <w:sz w:val="18"/>
                <w:szCs w:val="18"/>
                <w:color w:val="auto"/>
                <w:w w:val="96"/>
              </w:rPr>
              <w:t xml:space="preserve">Common collective funds measured at net asset value </w:t>
            </w:r>
            <w:r>
              <w:rPr>
                <w:rFonts w:ascii="Arial" w:cs="Arial" w:eastAsia="Arial" w:hAnsi="Arial"/>
                <w:sz w:val="25"/>
                <w:szCs w:val="25"/>
                <w:color w:val="auto"/>
                <w:w w:val="96"/>
                <w:vertAlign w:val="superscript"/>
              </w:rPr>
              <w:t>(c) (d)</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0"/>
        </w:trPr>
        <w:tc>
          <w:tcPr>
            <w:tcW w:w="47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5"/>
                <w:szCs w:val="25"/>
                <w:color w:val="auto"/>
                <w:vertAlign w:val="superscript"/>
              </w:rPr>
              <w:t>(c)</w:t>
            </w: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47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5"/>
                <w:szCs w:val="25"/>
                <w:color w:val="auto"/>
                <w:vertAlign w:val="superscript"/>
              </w:rPr>
              <w:t>(c)</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2,526</w:t>
            </w:r>
          </w:p>
        </w:tc>
      </w:tr>
      <w:tr>
        <w:trPr>
          <w:trHeight w:val="34"/>
        </w:trPr>
        <w:tc>
          <w:tcPr>
            <w:tcW w:w="4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729"/>
        </w:trPr>
        <w:tc>
          <w:tcPr>
            <w:tcW w:w="47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II-87</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00" w:right="239" w:bottom="1440" w:gutter="0" w:footer="0" w:header="0"/>
        </w:sectPr>
      </w:pPr>
    </w:p>
    <w:bookmarkStart w:id="121" w:name="page122"/>
    <w:bookmarkEnd w:id="121"/>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471805</wp:posOffset>
            </wp:positionV>
            <wp:extent cx="67919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1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At December 31, 2017</w:t>
            </w:r>
          </w:p>
        </w:tc>
        <w:tc>
          <w:tcPr>
            <w:tcW w:w="8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Level 1</w:t>
            </w:r>
          </w:p>
        </w:tc>
        <w:tc>
          <w:tcPr>
            <w:tcW w:w="4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Level 2</w:t>
            </w:r>
          </w:p>
        </w:tc>
        <w:tc>
          <w:tcPr>
            <w:tcW w:w="4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Level 3</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8"/>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color w:val="auto"/>
                <w:vertAlign w:val="superscript"/>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59"/>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81"/>
        </w:trPr>
        <w:tc>
          <w:tcPr>
            <w:tcW w:w="4900" w:type="dxa"/>
            <w:vAlign w:val="bottom"/>
          </w:tcPr>
          <w:p>
            <w:pPr>
              <w:ind w:left="1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8"/>
                <w:szCs w:val="18"/>
                <w:color w:val="auto"/>
                <w:vertAlign w:val="superscript"/>
              </w:rPr>
              <w:t>(b)</w:t>
            </w:r>
          </w:p>
        </w:tc>
        <w:tc>
          <w:tcPr>
            <w:tcW w:w="8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1,657</w:t>
            </w:r>
          </w:p>
        </w:tc>
        <w:tc>
          <w:tcPr>
            <w:tcW w:w="400" w:type="dxa"/>
            <w:vAlign w:val="bottom"/>
          </w:tcPr>
          <w:p>
            <w:pPr>
              <w:spacing w:after="0"/>
              <w:rPr>
                <w:sz w:val="24"/>
                <w:szCs w:val="24"/>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1,657</w:t>
            </w:r>
          </w:p>
        </w:tc>
      </w:tr>
      <w:tr>
        <w:trPr>
          <w:trHeight w:val="259"/>
        </w:trPr>
        <w:tc>
          <w:tcPr>
            <w:tcW w:w="490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820" w:type="dxa"/>
            <w:vAlign w:val="bottom"/>
          </w:tcPr>
          <w:p>
            <w:pPr>
              <w:spacing w:after="0"/>
              <w:rPr>
                <w:sz w:val="22"/>
                <w:szCs w:val="22"/>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2"/>
                <w:szCs w:val="22"/>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International equity</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373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2,063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2,437</w:t>
            </w:r>
          </w:p>
        </w:tc>
      </w:tr>
      <w:tr>
        <w:trPr>
          <w:trHeight w:val="310"/>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Common collective funds measured at net asset value </w:t>
            </w:r>
            <w:r>
              <w:rPr>
                <w:rFonts w:ascii="Arial" w:cs="Arial" w:eastAsia="Arial" w:hAnsi="Arial"/>
                <w:sz w:val="25"/>
                <w:szCs w:val="25"/>
                <w:color w:val="auto"/>
                <w:vertAlign w:val="superscript"/>
              </w:rPr>
              <w:t>(c) (d)</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0"/>
        </w:trPr>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49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3,046</w:t>
            </w:r>
          </w:p>
        </w:tc>
      </w:tr>
      <w:tr>
        <w:trPr>
          <w:trHeight w:val="34"/>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600" w:hanging="268"/>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Assets categorized as Level 2 reflect investments in money market funds.</w:t>
      </w:r>
    </w:p>
    <w:p>
      <w:pPr>
        <w:spacing w:after="0" w:line="32" w:lineRule="exact"/>
        <w:rPr>
          <w:rFonts w:ascii="Arial" w:cs="Arial" w:eastAsia="Arial" w:hAnsi="Arial"/>
          <w:sz w:val="16"/>
          <w:szCs w:val="16"/>
          <w:color w:val="auto"/>
        </w:rPr>
      </w:pPr>
    </w:p>
    <w:p>
      <w:pPr>
        <w:ind w:left="600" w:hanging="268"/>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Securities of diverse sectors and industries, substantially all investment grade.</w:t>
      </w:r>
    </w:p>
    <w:p>
      <w:pPr>
        <w:spacing w:after="0" w:line="19" w:lineRule="exact"/>
        <w:rPr>
          <w:rFonts w:ascii="Arial" w:cs="Arial" w:eastAsia="Arial" w:hAnsi="Arial"/>
          <w:sz w:val="16"/>
          <w:szCs w:val="16"/>
          <w:color w:val="auto"/>
        </w:rPr>
      </w:pPr>
    </w:p>
    <w:p>
      <w:pPr>
        <w:ind w:left="580" w:right="20" w:hanging="248"/>
        <w:spacing w:after="0" w:line="246" w:lineRule="auto"/>
        <w:tabs>
          <w:tab w:leader="none" w:pos="6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600" w:hanging="268"/>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Underlying investments consist mainly of U.S. large capitalization and international equity securities.</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are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sets forth a summary of changes in the fair value of investments reflected as Level 3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96520</wp:posOffset>
            </wp:positionV>
            <wp:extent cx="49396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9665" cy="17145"/>
                    </a:xfrm>
                    <a:prstGeom prst="rect">
                      <a:avLst/>
                    </a:prstGeom>
                    <a:noFill/>
                  </pic:spPr>
                </pic:pic>
              </a:graphicData>
            </a:graphic>
          </wp:anchor>
        </w:drawing>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Mortgage-backed</w:t>
            </w:r>
          </w:p>
        </w:tc>
      </w:tr>
      <w:tr>
        <w:trPr>
          <w:trHeight w:val="234"/>
        </w:trPr>
        <w:tc>
          <w:tcPr>
            <w:tcW w:w="4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4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At January 1, 2017</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Contributions and distributions, net</w:t>
            </w:r>
          </w:p>
        </w:tc>
        <w:tc>
          <w:tcPr>
            <w:tcW w:w="216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At December 31, 2017</w:t>
            </w:r>
          </w:p>
        </w:tc>
        <w:tc>
          <w:tcPr>
            <w:tcW w:w="216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Contributions and distributions, net</w:t>
            </w:r>
          </w:p>
        </w:tc>
        <w:tc>
          <w:tcPr>
            <w:tcW w:w="216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At December 31, 2018</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4"/>
        </w:trPr>
        <w:tc>
          <w:tcPr>
            <w:tcW w:w="4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II-88</w:t>
      </w:r>
    </w:p>
    <w:p>
      <w:pPr>
        <w:sectPr>
          <w:pgSz w:w="11900" w:h="16838" w:orient="portrait"/>
          <w:cols w:equalWidth="0" w:num="1">
            <w:col w:w="11420"/>
          </w:cols>
          <w:pgMar w:left="240" w:top="400" w:right="239" w:bottom="1440" w:gutter="0" w:footer="0" w:header="0"/>
          <w:type w:val="continuous"/>
        </w:sectPr>
      </w:pPr>
    </w:p>
    <w:bookmarkStart w:id="122" w:name="page123"/>
    <w:bookmarkEnd w:id="122"/>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Company’s other postretirement benefits plan assets of $1 million at December 31, 2018 were invested in U.S. money market funds, which are categorized as Level 2 assets.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Benefit Payments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2024-2028</w:t>
            </w:r>
          </w:p>
        </w:tc>
      </w:tr>
      <w:tr>
        <w:trPr>
          <w:trHeight w:val="27"/>
        </w:trPr>
        <w:tc>
          <w:tcPr>
            <w:tcW w:w="3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Pension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1,218</w:t>
            </w: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Postretirement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Retiree Medicare drug subsidy</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
        </w:trPr>
        <w:tc>
          <w:tcPr>
            <w:tcW w:w="3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2019, the Company expects to make contributions of approximately $60 million to its non-qualified pension plans to satisfy the benefit payments due under these plans. Also in 2019, the Company expects to contribute approximately $48 million to its other postretirement benefit plans to satisfy the Company’s portion of benefit payments due under these plans.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Multiemployer Pension and Postretirement Benefit Plans</w:t>
      </w:r>
    </w:p>
    <w:p>
      <w:pPr>
        <w:spacing w:after="0" w:line="14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The Company contributes to a number of multiemployer defined benefit pension plans under the terms of collective bargaining agreements that cover its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the Company chooses to stop participating in some of its multiemployer plans it may be required to pay those plans a withdrawal liability based on the underfunded status of the plan.</w:t>
      </w:r>
    </w:p>
    <w:p>
      <w:pPr>
        <w:spacing w:after="0" w:line="198" w:lineRule="exact"/>
        <w:rPr>
          <w:sz w:val="20"/>
          <w:szCs w:val="20"/>
          <w:color w:val="auto"/>
        </w:rPr>
      </w:pPr>
    </w:p>
    <w:p>
      <w:pPr>
        <w:jc w:val="both"/>
        <w:ind w:firstLine="324"/>
        <w:spacing w:after="0" w:line="386" w:lineRule="auto"/>
        <w:rPr>
          <w:sz w:val="20"/>
          <w:szCs w:val="20"/>
          <w:color w:val="auto"/>
        </w:rPr>
      </w:pPr>
      <w:r>
        <w:rPr>
          <w:rFonts w:ascii="Arial" w:cs="Arial" w:eastAsia="Arial" w:hAnsi="Arial"/>
          <w:sz w:val="16"/>
          <w:szCs w:val="16"/>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ectPr>
          <w:pgSz w:w="11900" w:h="16838" w:orient="portrait"/>
          <w:cols w:equalWidth="0" w:num="1">
            <w:col w:w="11420"/>
          </w:cols>
          <w:pgMar w:left="240" w:top="400" w:right="239" w:bottom="1440" w:gutter="0" w:footer="0" w:header="0"/>
        </w:sectPr>
      </w:pPr>
    </w:p>
    <w:bookmarkStart w:id="123" w:name="page124"/>
    <w:bookmarkEnd w:id="123"/>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presents information concerning the Company’s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96520</wp:posOffset>
            </wp:positionV>
            <wp:extent cx="723773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160" w:type="dxa"/>
            <w:vAlign w:val="bottom"/>
            <w:vMerge w:val="restart"/>
          </w:tcPr>
          <w:p>
            <w:pPr>
              <w:jc w:val="center"/>
              <w:ind w:left="514"/>
              <w:spacing w:after="0"/>
              <w:rPr>
                <w:sz w:val="20"/>
                <w:szCs w:val="20"/>
                <w:color w:val="auto"/>
              </w:rPr>
            </w:pPr>
            <w:r>
              <w:rPr>
                <w:rFonts w:ascii="Arial" w:cs="Arial" w:eastAsia="Arial" w:hAnsi="Arial"/>
                <w:sz w:val="16"/>
                <w:szCs w:val="16"/>
                <w:b w:val="1"/>
                <w:bCs w:val="1"/>
                <w:color w:val="auto"/>
                <w:w w:val="93"/>
              </w:rPr>
              <w:t>Employer</w:t>
            </w:r>
          </w:p>
        </w:tc>
        <w:tc>
          <w:tcPr>
            <w:tcW w:w="14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Pension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Protection Act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160" w:type="dxa"/>
            <w:vAlign w:val="bottom"/>
            <w:vMerge w:val="restart"/>
          </w:tcPr>
          <w:p>
            <w:pPr>
              <w:jc w:val="center"/>
              <w:ind w:left="494"/>
              <w:spacing w:after="0"/>
              <w:rPr>
                <w:sz w:val="20"/>
                <w:szCs w:val="20"/>
                <w:color w:val="auto"/>
              </w:rPr>
            </w:pPr>
            <w:r>
              <w:rPr>
                <w:rFonts w:ascii="Arial" w:cs="Arial" w:eastAsia="Arial" w:hAnsi="Arial"/>
                <w:sz w:val="16"/>
                <w:szCs w:val="16"/>
                <w:b w:val="1"/>
                <w:bCs w:val="1"/>
                <w:color w:val="auto"/>
                <w:w w:val="94"/>
              </w:rPr>
              <w:t>Identification</w:t>
            </w:r>
          </w:p>
        </w:tc>
        <w:tc>
          <w:tcPr>
            <w:tcW w:w="14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0"/>
              </w:rPr>
              <w:t>of Collective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6"/>
              </w:rPr>
              <w:t xml:space="preserve">Zone Status </w:t>
            </w:r>
            <w:r>
              <w:rPr>
                <w:rFonts w:ascii="Arial" w:cs="Arial" w:eastAsia="Arial" w:hAnsi="Arial"/>
                <w:sz w:val="21"/>
                <w:szCs w:val="21"/>
                <w:b w:val="1"/>
                <w:bCs w:val="1"/>
                <w:color w:val="auto"/>
                <w:w w:val="86"/>
                <w:vertAlign w:val="superscript"/>
              </w:rPr>
              <w:t>(a)</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7"/>
            <w:vMerge w:val="restart"/>
          </w:tcPr>
          <w:p>
            <w:pPr>
              <w:jc w:val="right"/>
              <w:ind w:right="171"/>
              <w:spacing w:after="0"/>
              <w:rPr>
                <w:sz w:val="20"/>
                <w:szCs w:val="20"/>
                <w:color w:val="auto"/>
              </w:rPr>
            </w:pPr>
            <w:r>
              <w:rPr>
                <w:rFonts w:ascii="Arial" w:cs="Arial" w:eastAsia="Arial" w:hAnsi="Arial"/>
                <w:sz w:val="16"/>
                <w:szCs w:val="16"/>
                <w:b w:val="1"/>
                <w:bCs w:val="1"/>
                <w:color w:val="auto"/>
                <w:w w:val="99"/>
              </w:rPr>
              <w:t>Company Contributions</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160" w:type="dxa"/>
            <w:vAlign w:val="bottom"/>
          </w:tcPr>
          <w:p>
            <w:pPr>
              <w:jc w:val="center"/>
              <w:ind w:left="514"/>
              <w:spacing w:after="0" w:line="176" w:lineRule="exact"/>
              <w:rPr>
                <w:sz w:val="20"/>
                <w:szCs w:val="20"/>
                <w:color w:val="auto"/>
              </w:rPr>
            </w:pPr>
            <w:r>
              <w:rPr>
                <w:rFonts w:ascii="Arial" w:cs="Arial" w:eastAsia="Arial" w:hAnsi="Arial"/>
                <w:sz w:val="16"/>
                <w:szCs w:val="16"/>
                <w:b w:val="1"/>
                <w:bCs w:val="1"/>
                <w:color w:val="auto"/>
                <w:w w:val="91"/>
              </w:rPr>
              <w:t>Number/Pension Plan</w:t>
            </w:r>
          </w:p>
        </w:tc>
        <w:tc>
          <w:tcPr>
            <w:tcW w:w="14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vMerge w:val="continue"/>
          </w:tcPr>
          <w:p>
            <w:pPr>
              <w:spacing w:after="0"/>
              <w:rPr>
                <w:sz w:val="15"/>
                <w:szCs w:val="15"/>
                <w:color w:val="auto"/>
              </w:rPr>
            </w:pPr>
          </w:p>
        </w:tc>
        <w:tc>
          <w:tcPr>
            <w:tcW w:w="1360" w:type="dxa"/>
            <w:vAlign w:val="bottom"/>
          </w:tcPr>
          <w:p>
            <w:pPr>
              <w:jc w:val="center"/>
              <w:ind w:left="14"/>
              <w:spacing w:after="0" w:line="176" w:lineRule="exact"/>
              <w:rPr>
                <w:sz w:val="20"/>
                <w:szCs w:val="20"/>
                <w:color w:val="auto"/>
              </w:rPr>
            </w:pPr>
            <w:r>
              <w:rPr>
                <w:rFonts w:ascii="Arial" w:cs="Arial" w:eastAsia="Arial" w:hAnsi="Arial"/>
                <w:sz w:val="16"/>
                <w:szCs w:val="16"/>
                <w:b w:val="1"/>
                <w:bCs w:val="1"/>
                <w:color w:val="auto"/>
                <w:w w:val="93"/>
              </w:rPr>
              <w:t>Bargaining</w:t>
            </w:r>
          </w:p>
        </w:tc>
        <w:tc>
          <w:tcPr>
            <w:tcW w:w="0" w:type="dxa"/>
            <w:vAlign w:val="bottom"/>
          </w:tcPr>
          <w:p>
            <w:pPr>
              <w:spacing w:after="0"/>
              <w:rPr>
                <w:sz w:val="1"/>
                <w:szCs w:val="1"/>
                <w:color w:val="auto"/>
              </w:rPr>
            </w:pPr>
          </w:p>
        </w:tc>
      </w:tr>
      <w:tr>
        <w:trPr>
          <w:trHeight w:val="217"/>
        </w:trPr>
        <w:tc>
          <w:tcPr>
            <w:tcW w:w="4000" w:type="dxa"/>
            <w:vAlign w:val="bottom"/>
          </w:tcPr>
          <w:p>
            <w:pPr>
              <w:ind w:left="1780"/>
              <w:spacing w:after="0"/>
              <w:rPr>
                <w:sz w:val="20"/>
                <w:szCs w:val="20"/>
                <w:color w:val="auto"/>
              </w:rPr>
            </w:pPr>
            <w:r>
              <w:rPr>
                <w:rFonts w:ascii="Arial" w:cs="Arial" w:eastAsia="Arial" w:hAnsi="Arial"/>
                <w:sz w:val="16"/>
                <w:szCs w:val="16"/>
                <w:b w:val="1"/>
                <w:bCs w:val="1"/>
                <w:color w:val="auto"/>
              </w:rPr>
              <w:t>Pension Plan</w:t>
            </w:r>
          </w:p>
        </w:tc>
        <w:tc>
          <w:tcPr>
            <w:tcW w:w="2160" w:type="dxa"/>
            <w:vAlign w:val="bottom"/>
          </w:tcPr>
          <w:p>
            <w:pPr>
              <w:jc w:val="center"/>
              <w:ind w:left="494"/>
              <w:spacing w:after="0"/>
              <w:rPr>
                <w:sz w:val="20"/>
                <w:szCs w:val="20"/>
                <w:color w:val="auto"/>
              </w:rPr>
            </w:pPr>
            <w:r>
              <w:rPr>
                <w:rFonts w:ascii="Arial" w:cs="Arial" w:eastAsia="Arial" w:hAnsi="Arial"/>
                <w:sz w:val="16"/>
                <w:szCs w:val="16"/>
                <w:b w:val="1"/>
                <w:bCs w:val="1"/>
                <w:color w:val="auto"/>
                <w:w w:val="95"/>
              </w:rPr>
              <w:t>Number</w:t>
            </w:r>
          </w:p>
        </w:tc>
        <w:tc>
          <w:tcPr>
            <w:tcW w:w="840" w:type="dxa"/>
            <w:vAlign w:val="bottom"/>
            <w:gridSpan w:val="2"/>
          </w:tcPr>
          <w:p>
            <w:pPr>
              <w:jc w:val="center"/>
              <w:ind w:left="34"/>
              <w:spacing w:after="0"/>
              <w:rPr>
                <w:sz w:val="20"/>
                <w:szCs w:val="20"/>
                <w:color w:val="auto"/>
              </w:rPr>
            </w:pPr>
            <w:r>
              <w:rPr>
                <w:rFonts w:ascii="Arial" w:cs="Arial" w:eastAsia="Arial" w:hAnsi="Arial"/>
                <w:sz w:val="16"/>
                <w:szCs w:val="16"/>
                <w:b w:val="1"/>
                <w:bCs w:val="1"/>
                <w:color w:val="auto"/>
                <w:w w:val="89"/>
              </w:rPr>
              <w:t>2018</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2016</w:t>
            </w:r>
          </w:p>
        </w:tc>
        <w:tc>
          <w:tcPr>
            <w:tcW w:w="1360" w:type="dxa"/>
            <w:vAlign w:val="bottom"/>
          </w:tcPr>
          <w:p>
            <w:pPr>
              <w:jc w:val="center"/>
              <w:ind w:left="34"/>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AFTRA Retirement Plan </w:t>
            </w:r>
            <w:r>
              <w:rPr>
                <w:rFonts w:ascii="Arial" w:cs="Arial" w:eastAsia="Arial" w:hAnsi="Arial"/>
                <w:sz w:val="18"/>
                <w:szCs w:val="18"/>
                <w:color w:val="auto"/>
                <w:vertAlign w:val="superscript"/>
              </w:rPr>
              <w:t>(b)</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13-6414972-001</w:t>
            </w:r>
          </w:p>
        </w:tc>
        <w:tc>
          <w:tcPr>
            <w:tcW w:w="1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360" w:type="dxa"/>
            <w:vAlign w:val="bottom"/>
          </w:tcPr>
          <w:p>
            <w:pPr>
              <w:jc w:val="center"/>
              <w:ind w:left="34"/>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59"/>
        </w:trPr>
        <w:tc>
          <w:tcPr>
            <w:tcW w:w="4000" w:type="dxa"/>
            <w:vAlign w:val="bottom"/>
          </w:tcPr>
          <w:p>
            <w:pPr>
              <w:ind w:left="20"/>
              <w:spacing w:after="0"/>
              <w:rPr>
                <w:sz w:val="20"/>
                <w:szCs w:val="20"/>
                <w:color w:val="auto"/>
              </w:rPr>
            </w:pPr>
            <w:r>
              <w:rPr>
                <w:rFonts w:ascii="Arial" w:cs="Arial" w:eastAsia="Arial" w:hAnsi="Arial"/>
                <w:sz w:val="18"/>
                <w:szCs w:val="18"/>
                <w:color w:val="auto"/>
              </w:rPr>
              <w:t>Directors Guild of America - Producer</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95-2892780-001</w:t>
            </w:r>
          </w:p>
        </w:tc>
        <w:tc>
          <w:tcPr>
            <w:tcW w:w="1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2"/>
              </w:rPr>
              <w:t>6/30/2020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Producer-Writers Guild of America</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95-2216351-001</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360" w:type="dxa"/>
            <w:vAlign w:val="bottom"/>
          </w:tcPr>
          <w:p>
            <w:pPr>
              <w:jc w:val="center"/>
              <w:ind w:left="34"/>
              <w:spacing w:after="0"/>
              <w:rPr>
                <w:sz w:val="20"/>
                <w:szCs w:val="20"/>
                <w:color w:val="auto"/>
              </w:rPr>
            </w:pPr>
            <w:r>
              <w:rPr>
                <w:rFonts w:ascii="Arial" w:cs="Arial" w:eastAsia="Arial" w:hAnsi="Arial"/>
                <w:sz w:val="18"/>
                <w:szCs w:val="18"/>
                <w:color w:val="auto"/>
                <w:w w:val="91"/>
              </w:rPr>
              <w:t>5/1/2020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Screen Actors Guild - Producers</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95-2110997-001</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2"/>
              </w:rPr>
              <w:t>6/30/2020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Motion Picture Industry</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95-1810805-001</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9"/>
              </w:rPr>
              <w:t>(d)</w:t>
            </w:r>
          </w:p>
        </w:tc>
        <w:tc>
          <w:tcPr>
            <w:tcW w:w="0" w:type="dxa"/>
            <w:vAlign w:val="bottom"/>
          </w:tcPr>
          <w:p>
            <w:pPr>
              <w:spacing w:after="0"/>
              <w:rPr>
                <w:sz w:val="1"/>
                <w:szCs w:val="1"/>
                <w:color w:val="auto"/>
              </w:rPr>
            </w:pPr>
          </w:p>
        </w:tc>
      </w:tr>
      <w:tr>
        <w:trPr>
          <w:trHeight w:val="31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I.A.T.S.E. Local No. 33 Pension Trust Fund </w:t>
            </w:r>
            <w:r>
              <w:rPr>
                <w:rFonts w:ascii="Arial" w:cs="Arial" w:eastAsia="Arial" w:hAnsi="Arial"/>
                <w:sz w:val="25"/>
                <w:szCs w:val="25"/>
                <w:color w:val="auto"/>
                <w:vertAlign w:val="superscript"/>
              </w:rPr>
              <w:t>(e)</w:t>
            </w:r>
          </w:p>
        </w:tc>
        <w:tc>
          <w:tcPr>
            <w:tcW w:w="2160" w:type="dxa"/>
            <w:vAlign w:val="bottom"/>
          </w:tcPr>
          <w:p>
            <w:pPr>
              <w:jc w:val="center"/>
              <w:ind w:left="514"/>
              <w:spacing w:after="0"/>
              <w:rPr>
                <w:sz w:val="20"/>
                <w:szCs w:val="20"/>
                <w:color w:val="auto"/>
              </w:rPr>
            </w:pPr>
            <w:r>
              <w:rPr>
                <w:rFonts w:ascii="Arial" w:cs="Arial" w:eastAsia="Arial" w:hAnsi="Arial"/>
                <w:sz w:val="18"/>
                <w:szCs w:val="18"/>
                <w:color w:val="auto"/>
                <w:w w:val="90"/>
              </w:rPr>
              <w:t>95-6377503-001</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0"/>
              </w:rPr>
              <w:t>12/31/2019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Plans</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8"/>
              </w:rPr>
              <w:t>Total contributions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40" w:type="dxa"/>
            <w:vAlign w:val="bottom"/>
            <w:gridSpan w:val="4"/>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20" w:right="20" w:hanging="250"/>
        <w:spacing w:after="0" w:line="264" w:lineRule="auto"/>
        <w:tabs>
          <w:tab w:leader="none" w:pos="4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Zone status for each individual plan listed was certified by each plan’s actuary as of the beginning of the plan years for 2018 and 2017. The plan year is the twelve months ending December 31 for each plan listed above except AFTRA Retirement Plan which has a plan year ending November 30.</w:t>
      </w:r>
    </w:p>
    <w:p>
      <w:pPr>
        <w:ind w:left="400" w:hanging="230"/>
        <w:spacing w:after="0"/>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was listed in AFTRA Retirement Plan’s Form 5500 as providing more than 5% of total contributions for the plan year ended November 30, 2017.</w:t>
      </w:r>
    </w:p>
    <w:p>
      <w:pPr>
        <w:spacing w:after="0" w:line="43" w:lineRule="exact"/>
        <w:rPr>
          <w:rFonts w:ascii="Arial" w:cs="Arial" w:eastAsia="Arial" w:hAnsi="Arial"/>
          <w:sz w:val="15"/>
          <w:szCs w:val="15"/>
          <w:color w:val="auto"/>
        </w:rPr>
      </w:pPr>
    </w:p>
    <w:p>
      <w:pPr>
        <w:ind w:left="400" w:hanging="230"/>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expiration dates range from June 30, 2020 through June 30, 2021.</w:t>
      </w:r>
    </w:p>
    <w:p>
      <w:pPr>
        <w:spacing w:after="0" w:line="32" w:lineRule="exact"/>
        <w:rPr>
          <w:rFonts w:ascii="Arial" w:cs="Arial" w:eastAsia="Arial" w:hAnsi="Arial"/>
          <w:sz w:val="16"/>
          <w:szCs w:val="16"/>
          <w:color w:val="auto"/>
        </w:rPr>
      </w:pPr>
    </w:p>
    <w:p>
      <w:pPr>
        <w:ind w:left="400" w:hanging="230"/>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expiration dates range from March 2, 2019 through July 31, 2021.</w:t>
      </w:r>
    </w:p>
    <w:p>
      <w:pPr>
        <w:spacing w:after="0" w:line="32" w:lineRule="exact"/>
        <w:rPr>
          <w:rFonts w:ascii="Arial" w:cs="Arial" w:eastAsia="Arial" w:hAnsi="Arial"/>
          <w:sz w:val="16"/>
          <w:szCs w:val="16"/>
          <w:color w:val="auto"/>
        </w:rPr>
      </w:pPr>
    </w:p>
    <w:p>
      <w:pPr>
        <w:ind w:left="420" w:hanging="250"/>
        <w:spacing w:after="0" w:line="275" w:lineRule="auto"/>
        <w:tabs>
          <w:tab w:leader="none" w:pos="42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was listed in I.A.T.S.E. Local No. 33 Pension Trust Fund’s Form 5500 as providing more than 5% of total contributions for the plan year ended December 31, 2017.</w:t>
      </w:r>
    </w:p>
    <w:p>
      <w:pPr>
        <w:spacing w:after="0" w:line="20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As a result of the above noted zone status there were no funding improvements or rehabilitation plans implemented, as defined by ERISA, nor any surcharges imposed for any of the individual plans listed.</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also contributes to multiemployer plans that provide postretirement healthcare, defined contribution and other benefits to certain employees under collective bargaining agreements. The contributions to these plans were $36 million, $30 million and $28 million for the years ended December 31, 2018, 2017 and 2016, respectively.</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Company recognizes the net periodic cost for multiemployer pension and postretirement benefit plans based on the required contributions to the plans.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Plans</w:t>
      </w:r>
    </w:p>
    <w:p>
      <w:pPr>
        <w:spacing w:after="0" w:line="141"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The Company sponsors defined contribution plans for the benefit of substantially all employees meeting eligibility requirements. Employer contributions to such plans were $40 million, $42 million and $35 million for the years ended December 31, 2018, 2017 and 2016,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ectPr>
          <w:pgSz w:w="11900" w:h="16838" w:orient="portrait"/>
          <w:cols w:equalWidth="0" w:num="1">
            <w:col w:w="11420"/>
          </w:cols>
          <w:pgMar w:left="240" w:top="400" w:right="239" w:bottom="1440" w:gutter="0" w:footer="0" w:header="0"/>
        </w:sectPr>
      </w:pPr>
    </w:p>
    <w:bookmarkStart w:id="124" w:name="page125"/>
    <w:bookmarkEnd w:id="124"/>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SEGMENT AND REVENUE INFORMATION</w:t>
      </w:r>
    </w:p>
    <w:p>
      <w:pPr>
        <w:spacing w:after="0" w:line="1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following tables set forth the Company’s financial performance by reportable segment. The Company’s operating segments, which are the same as its reportable segments, have been determined in accordance with the Company’s internal management structure, which is organized based upon products and services. 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83820</wp:posOffset>
            </wp:positionV>
            <wp:extent cx="62687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4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10,178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9,306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9,020</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2,204</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2,355</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1,830</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1,668</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1,779</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222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(523)</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14,514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13,692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13,166</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Revenues generated between segments primarily reflect advertising sales, content licensing and station affiliation fees. These transactions are recorded at market value as if the sales were to third parties and are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Intercompany Revenues:</w:t>
            </w:r>
          </w:p>
        </w:tc>
        <w:tc>
          <w:tcPr>
            <w:tcW w:w="1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534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477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1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260"/>
              <w:spacing w:after="0"/>
              <w:rPr>
                <w:sz w:val="20"/>
                <w:szCs w:val="20"/>
                <w:color w:val="auto"/>
              </w:rPr>
            </w:pPr>
            <w:r>
              <w:rPr>
                <w:rFonts w:ascii="Arial" w:cs="Arial" w:eastAsia="Arial" w:hAnsi="Arial"/>
                <w:sz w:val="18"/>
                <w:szCs w:val="18"/>
                <w:b w:val="1"/>
                <w:bCs w:val="1"/>
                <w:color w:val="auto"/>
              </w:rPr>
              <w:t>Total Intercompany Revenues</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553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491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34"/>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II-91</w:t>
      </w:r>
    </w:p>
    <w:p>
      <w:pPr>
        <w:sectPr>
          <w:pgSz w:w="11900" w:h="16838" w:orient="portrait"/>
          <w:cols w:equalWidth="0" w:num="1">
            <w:col w:w="11420"/>
          </w:cols>
          <w:pgMar w:left="240" w:top="400" w:right="239" w:bottom="1440" w:gutter="0" w:footer="0" w:header="0"/>
        </w:sectPr>
      </w:pPr>
    </w:p>
    <w:bookmarkStart w:id="125" w:name="page126"/>
    <w:bookmarkEnd w:id="125"/>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The Company presents operating income (loss) excluding costs for restructuring and other corporate matters, programming charges and other operating items, net, each where applicable, (“Segment Operating Income”) as the primary measure of profit and loss for its operating segments (“segment profit measure”) in accordance with FASB guidance for segment reporting. The Company believes the presentation of Segment Operating Income is relevant and useful for investors because it allows investors to view segment performance in a manner similar to the primary method used by the Company’s management and enhances their ability to understand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64135</wp:posOffset>
            </wp:positionV>
            <wp:extent cx="62687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91" w:lineRule="exact"/>
        <w:rPr>
          <w:sz w:val="20"/>
          <w:szCs w:val="20"/>
          <w:color w:val="auto"/>
        </w:rPr>
      </w:pPr>
    </w:p>
    <w:tbl>
      <w:tblPr>
        <w:tblLayout w:type="fixed"/>
        <w:tblInd w:w="78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Year Ended December 31, </w:t>
            </w:r>
            <w:r>
              <w:rPr>
                <w:rFonts w:ascii="Arial" w:cs="Arial" w:eastAsia="Arial" w:hAnsi="Arial"/>
                <w:sz w:val="25"/>
                <w:szCs w:val="25"/>
                <w:b w:val="1"/>
                <w:bCs w:val="1"/>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1,675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1,578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1,539</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915</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999</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609</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497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Corporate matters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items, net</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2,768</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2,861</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2,902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(457)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Loss on early extinguishment of debt</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Pension settlement charges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Other items, net</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8"/>
                <w:szCs w:val="18"/>
                <w:color w:val="auto"/>
              </w:rPr>
              <w:t>Earnings from continuing operations before income taxes and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equity in loss of investee companies</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2,289</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1,979</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(633)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1,960</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1,309</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(952)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1,960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1,261</w:t>
            </w:r>
          </w:p>
        </w:tc>
      </w:tr>
      <w:tr>
        <w:trPr>
          <w:trHeight w:val="34"/>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both"/>
        <w:ind w:left="820" w:hanging="164"/>
        <w:spacing w:after="0" w:line="26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first quarter of 2018, the Company adopted amended FASB guidance on the presentation of net benefit cost. As a result, the components of net benefit cost other than the service cost component are presented in the statement of operations below the subtotal of operating income. All prior periods have been recast to conform to this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139700</wp:posOffset>
            </wp:positionV>
            <wp:extent cx="62687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118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Total Depreciation and Amortization</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223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34"/>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II-92</w:t>
      </w:r>
    </w:p>
    <w:p>
      <w:pPr>
        <w:sectPr>
          <w:pgSz w:w="11900" w:h="16838" w:orient="portrait"/>
          <w:cols w:equalWidth="0" w:num="1">
            <w:col w:w="11420"/>
          </w:cols>
          <w:pgMar w:left="240" w:top="400" w:right="239" w:bottom="1440" w:gutter="0" w:footer="0" w:header="0"/>
          <w:type w:val="continuous"/>
        </w:sectPr>
      </w:pPr>
    </w:p>
    <w:bookmarkStart w:id="126" w:name="page127"/>
    <w:bookmarkEnd w:id="126"/>
    <w:p>
      <w:pPr>
        <w:ind w:left="34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471805</wp:posOffset>
            </wp:positionV>
            <wp:extent cx="62687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Stock-based Compensation:</w:t>
            </w: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42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442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8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442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18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442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18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97"/>
        </w:trPr>
        <w:tc>
          <w:tcPr>
            <w:tcW w:w="4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(a)</w:t>
            </w:r>
          </w:p>
        </w:tc>
        <w:tc>
          <w:tcPr>
            <w:tcW w:w="1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37"/>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Total Stock-based Compensation</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34"/>
        </w:trPr>
        <w:tc>
          <w:tcPr>
            <w:tcW w:w="4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Included in 2018 are forfeitures of $28 million and accelerations of $6 million relating to changes in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163830</wp:posOffset>
            </wp:positionV>
            <wp:extent cx="62687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60"/>
              <w:spacing w:after="0"/>
              <w:rPr>
                <w:sz w:val="20"/>
                <w:szCs w:val="20"/>
                <w:color w:val="auto"/>
              </w:rPr>
            </w:pPr>
            <w:r>
              <w:rPr>
                <w:rFonts w:ascii="Arial" w:cs="Arial" w:eastAsia="Arial" w:hAnsi="Arial"/>
                <w:sz w:val="18"/>
                <w:szCs w:val="18"/>
                <w:b w:val="1"/>
                <w:bCs w:val="1"/>
                <w:color w:val="auto"/>
              </w:rPr>
              <w:t>Total Capital Expenditures</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34"/>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325755</wp:posOffset>
            </wp:positionV>
            <wp:extent cx="62687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9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6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0"/>
        </w:trPr>
        <w:tc>
          <w:tcPr>
            <w:tcW w:w="4680" w:type="dxa"/>
            <w:vAlign w:val="bottom"/>
          </w:tcPr>
          <w:p>
            <w:pPr>
              <w:ind w:left="160"/>
              <w:spacing w:after="0"/>
              <w:rPr>
                <w:sz w:val="20"/>
                <w:szCs w:val="20"/>
                <w:color w:val="auto"/>
              </w:rPr>
            </w:pPr>
            <w:r>
              <w:rPr>
                <w:rFonts w:ascii="Arial" w:cs="Arial" w:eastAsia="Arial" w:hAnsi="Arial"/>
                <w:sz w:val="18"/>
                <w:szCs w:val="18"/>
                <w:color w:val="auto"/>
              </w:rPr>
              <w:t xml:space="preserve">Entertainment </w:t>
            </w:r>
            <w:r>
              <w:rPr>
                <w:rFonts w:ascii="Arial" w:cs="Arial" w:eastAsia="Arial" w:hAnsi="Arial"/>
                <w:sz w:val="25"/>
                <w:szCs w:val="25"/>
                <w:color w:val="auto"/>
                <w:vertAlign w:val="superscript"/>
              </w:rPr>
              <w:t>(a)</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13,579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12,927</w:t>
            </w:r>
          </w:p>
        </w:tc>
      </w:tr>
      <w:tr>
        <w:trPr>
          <w:trHeight w:val="230"/>
        </w:trPr>
        <w:tc>
          <w:tcPr>
            <w:tcW w:w="46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9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2,693</w:t>
            </w: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2,577</w:t>
            </w:r>
          </w:p>
        </w:tc>
      </w:tr>
      <w:tr>
        <w:trPr>
          <w:trHeight w:val="270"/>
        </w:trPr>
        <w:tc>
          <w:tcPr>
            <w:tcW w:w="468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1,054</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0"/>
        </w:trPr>
        <w:tc>
          <w:tcPr>
            <w:tcW w:w="4680" w:type="dxa"/>
            <w:vAlign w:val="bottom"/>
          </w:tcPr>
          <w:p>
            <w:pPr>
              <w:ind w:left="160"/>
              <w:spacing w:after="0"/>
              <w:rPr>
                <w:sz w:val="20"/>
                <w:szCs w:val="20"/>
                <w:color w:val="auto"/>
              </w:rPr>
            </w:pPr>
            <w:r>
              <w:rPr>
                <w:rFonts w:ascii="Arial" w:cs="Arial" w:eastAsia="Arial" w:hAnsi="Arial"/>
                <w:sz w:val="18"/>
                <w:szCs w:val="18"/>
                <w:color w:val="auto"/>
              </w:rPr>
              <w:t>Local Media</w:t>
            </w:r>
          </w:p>
        </w:tc>
        <w:tc>
          <w:tcPr>
            <w:tcW w:w="2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4,037</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4,042</w:t>
            </w:r>
          </w:p>
        </w:tc>
      </w:tr>
      <w:tr>
        <w:trPr>
          <w:trHeight w:val="270"/>
        </w:trPr>
        <w:tc>
          <w:tcPr>
            <w:tcW w:w="468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2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484</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0"/>
        </w:trPr>
        <w:tc>
          <w:tcPr>
            <w:tcW w:w="46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6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260"/>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21,859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20,843</w:t>
            </w:r>
          </w:p>
        </w:tc>
      </w:tr>
      <w:tr>
        <w:trPr>
          <w:trHeight w:val="34"/>
        </w:trPr>
        <w:tc>
          <w:tcPr>
            <w:tcW w:w="46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Includes assets held for sale of $33 million and $34 million at December 31, 2018 and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disaggregated into categories based on the nature of such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179705</wp:posOffset>
            </wp:positionV>
            <wp:extent cx="62687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32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6,195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5,753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6,288</w:t>
            </w:r>
          </w:p>
        </w:tc>
      </w:tr>
      <w:tr>
        <w:trPr>
          <w:trHeight w:val="270"/>
        </w:trPr>
        <w:tc>
          <w:tcPr>
            <w:tcW w:w="4320" w:type="dxa"/>
            <w:vAlign w:val="bottom"/>
          </w:tcPr>
          <w:p>
            <w:pPr>
              <w:ind w:left="160"/>
              <w:spacing w:after="0"/>
              <w:rPr>
                <w:sz w:val="20"/>
                <w:szCs w:val="20"/>
                <w:color w:val="auto"/>
              </w:rPr>
            </w:pPr>
            <w:r>
              <w:rPr>
                <w:rFonts w:ascii="Arial" w:cs="Arial" w:eastAsia="Arial" w:hAnsi="Arial"/>
                <w:sz w:val="18"/>
                <w:szCs w:val="18"/>
                <w:color w:val="auto"/>
              </w:rPr>
              <w:t>Content licensing and distribution</w:t>
            </w:r>
          </w:p>
        </w:tc>
        <w:tc>
          <w:tcPr>
            <w:tcW w:w="19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32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1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3,256</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3,122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2,906</w:t>
            </w:r>
          </w:p>
        </w:tc>
      </w:tr>
      <w:tr>
        <w:trPr>
          <w:trHeight w:val="270"/>
        </w:trPr>
        <w:tc>
          <w:tcPr>
            <w:tcW w:w="4320" w:type="dxa"/>
            <w:vAlign w:val="bottom"/>
          </w:tcPr>
          <w:p>
            <w:pPr>
              <w:ind w:left="380"/>
              <w:spacing w:after="0"/>
              <w:rPr>
                <w:sz w:val="20"/>
                <w:szCs w:val="20"/>
                <w:color w:val="auto"/>
              </w:rPr>
            </w:pPr>
            <w:r>
              <w:rPr>
                <w:rFonts w:ascii="Arial" w:cs="Arial" w:eastAsia="Arial" w:hAnsi="Arial"/>
                <w:sz w:val="18"/>
                <w:szCs w:val="18"/>
                <w:color w:val="auto"/>
              </w:rPr>
              <w:t>Publishing</w:t>
            </w:r>
          </w:p>
        </w:tc>
        <w:tc>
          <w:tcPr>
            <w:tcW w:w="1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825</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830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0"/>
        </w:trPr>
        <w:tc>
          <w:tcPr>
            <w:tcW w:w="4320" w:type="dxa"/>
            <w:vAlign w:val="bottom"/>
          </w:tcPr>
          <w:p>
            <w:pPr>
              <w:ind w:left="160"/>
              <w:spacing w:after="0"/>
              <w:rPr>
                <w:sz w:val="20"/>
                <w:szCs w:val="20"/>
                <w:color w:val="auto"/>
              </w:rPr>
            </w:pPr>
            <w:r>
              <w:rPr>
                <w:rFonts w:ascii="Arial" w:cs="Arial" w:eastAsia="Arial" w:hAnsi="Arial"/>
                <w:sz w:val="18"/>
                <w:szCs w:val="18"/>
                <w:color w:val="auto"/>
              </w:rPr>
              <w:t>Affiliate and subscription fees</w:t>
            </w:r>
          </w:p>
        </w:tc>
        <w:tc>
          <w:tcPr>
            <w:tcW w:w="1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4,003</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3,758</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2,978</w:t>
            </w:r>
          </w:p>
        </w:tc>
      </w:tr>
      <w:tr>
        <w:trPr>
          <w:trHeight w:val="270"/>
        </w:trPr>
        <w:tc>
          <w:tcPr>
            <w:tcW w:w="4320" w:type="dxa"/>
            <w:vAlign w:val="bottom"/>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14,514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13,692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13,166</w:t>
            </w:r>
          </w:p>
        </w:tc>
      </w:tr>
      <w:tr>
        <w:trPr>
          <w:trHeight w:val="34"/>
        </w:trPr>
        <w:tc>
          <w:tcPr>
            <w:tcW w:w="4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291465</wp:posOffset>
            </wp:positionV>
            <wp:extent cx="62687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4040" w:type="dxa"/>
            <w:vAlign w:val="bottom"/>
          </w:tcPr>
          <w:p>
            <w:pPr>
              <w:ind w:left="20"/>
              <w:spacing w:after="0" w:line="276"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5"/>
                <w:szCs w:val="25"/>
                <w:b w:val="1"/>
                <w:bCs w:val="1"/>
                <w:color w:val="auto"/>
                <w:vertAlign w:val="superscript"/>
              </w:rPr>
              <w:t>(a)</w:t>
            </w: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0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11,979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11,675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11,317</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2,535</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1,849</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14,514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13,692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13,166</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320"/>
          </w:cols>
          <w:pgMar w:left="580" w:top="400" w:right="999" w:bottom="0" w:gutter="0" w:footer="0" w:header="0"/>
        </w:sectPr>
      </w:pPr>
    </w:p>
    <w:p>
      <w:pPr>
        <w:spacing w:after="0" w:line="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Revenue classifications are based on customers’ locations.</w:t>
      </w:r>
    </w:p>
    <w:p>
      <w:pPr>
        <w:sectPr>
          <w:pgSz w:w="11900" w:h="16838" w:orient="portrait"/>
          <w:cols w:equalWidth="0" w:num="1">
            <w:col w:w="10320"/>
          </w:cols>
          <w:pgMar w:left="580" w:top="400" w:right="999" w:bottom="0" w:gutter="0" w:footer="0" w:header="0"/>
          <w:type w:val="continuous"/>
        </w:sectPr>
      </w:pPr>
    </w:p>
    <w:bookmarkStart w:id="127" w:name="page128"/>
    <w:bookmarkEnd w:id="127"/>
    <w:p>
      <w:pPr>
        <w:jc w:val="center"/>
        <w:ind w:right="-20"/>
        <w:spacing w:after="0"/>
        <w:rPr>
          <w:sz w:val="20"/>
          <w:szCs w:val="20"/>
          <w:color w:val="auto"/>
        </w:rPr>
      </w:pPr>
      <w:r>
        <w:rPr>
          <w:rFonts w:ascii="Arial" w:cs="Arial" w:eastAsia="Arial" w:hAnsi="Arial"/>
          <w:sz w:val="17"/>
          <w:szCs w:val="17"/>
          <w:color w:val="auto"/>
        </w:rPr>
        <w:t>II-93</w:t>
      </w:r>
    </w:p>
    <w:p>
      <w:pPr>
        <w:sectPr>
          <w:pgSz w:w="11900" w:h="16838" w:orient="portrait"/>
          <w:cols w:equalWidth="0" w:num="1">
            <w:col w:w="9019"/>
          </w:cols>
          <w:pgMar w:left="1440" w:top="260" w:right="1440" w:bottom="1440" w:gutter="0" w:footer="0" w:header="0"/>
        </w:sectPr>
      </w:pPr>
    </w:p>
    <w:bookmarkStart w:id="128" w:name="page129"/>
    <w:bookmarkEnd w:id="128"/>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471805</wp:posOffset>
            </wp:positionV>
            <wp:extent cx="62776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77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9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4740" w:type="dxa"/>
            <w:vAlign w:val="bottom"/>
          </w:tcPr>
          <w:p>
            <w:pPr>
              <w:ind w:left="20"/>
              <w:spacing w:after="0" w:line="276" w:lineRule="exact"/>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5"/>
                <w:szCs w:val="25"/>
                <w:b w:val="1"/>
                <w:bCs w:val="1"/>
                <w:color w:val="auto"/>
                <w:vertAlign w:val="superscript"/>
              </w:rPr>
              <w:t>(a)</w:t>
            </w: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7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14,286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13,699</w:t>
            </w:r>
          </w:p>
        </w:tc>
      </w:tr>
      <w:tr>
        <w:trPr>
          <w:trHeight w:val="270"/>
        </w:trPr>
        <w:tc>
          <w:tcPr>
            <w:tcW w:w="47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90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429</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60"/>
              <w:spacing w:after="0"/>
              <w:rPr>
                <w:sz w:val="20"/>
                <w:szCs w:val="20"/>
                <w:color w:val="auto"/>
              </w:rPr>
            </w:pPr>
            <w:r>
              <w:rPr>
                <w:rFonts w:ascii="Arial" w:cs="Arial" w:eastAsia="Arial" w:hAnsi="Arial"/>
                <w:sz w:val="18"/>
                <w:szCs w:val="18"/>
                <w:b w:val="1"/>
                <w:bCs w:val="1"/>
                <w:color w:val="auto"/>
              </w:rPr>
              <w:t>Total Long-lived Assets</w:t>
            </w:r>
          </w:p>
        </w:tc>
        <w:tc>
          <w:tcPr>
            <w:tcW w:w="2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14,715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14,194</w:t>
            </w:r>
          </w:p>
        </w:tc>
      </w:tr>
      <w:tr>
        <w:trPr>
          <w:trHeight w:val="34"/>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Reflects total assets less current assets, investments and noncurrent deferred tax assets.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Transactions within the Company between the United States and international regions were not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ADOPTION OF “REVENUE FROM CONTRACTS WITH CUSTOMERS”</w:t>
      </w:r>
    </w:p>
    <w:p>
      <w:pPr>
        <w:spacing w:after="0" w:line="2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On January 1, 2018, the Company adopted FASB Accounting Standards Codification 606 (“ASC 606”) on the recognition of revenues using the modified retrospective method applied to all contracts. Results for reporting periods beginning after January 1, 2018 are presented under ASC 606 while prior periods have not been adjusted. The Company recorded an increase to accumulated deficit of $261 million as of January 1, 2018 reflecting the cumulative impact of the adoption of ASC 606.</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adoption of ASC 606 primarily resulted in two changes to the Company’s revenue recognition policies.</w:t>
      </w:r>
    </w:p>
    <w:p>
      <w:pPr>
        <w:spacing w:after="0" w:line="229"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20"/>
          <w:szCs w:val="20"/>
          <w:i w:val="1"/>
          <w:iCs w:val="1"/>
          <w:color w:val="auto"/>
        </w:rPr>
      </w:pPr>
      <w:r>
        <w:rPr>
          <w:rFonts w:ascii="Arial" w:cs="Arial" w:eastAsia="Arial" w:hAnsi="Arial"/>
          <w:sz w:val="20"/>
          <w:szCs w:val="20"/>
          <w:i w:val="1"/>
          <w:iCs w:val="1"/>
          <w:color w:val="auto"/>
        </w:rPr>
        <w:t>Revenues from Distribution Arrangements</w:t>
      </w:r>
    </w:p>
    <w:p>
      <w:pPr>
        <w:spacing w:after="0" w:line="134" w:lineRule="exact"/>
        <w:rPr>
          <w:rFonts w:ascii="Arial" w:cs="Arial" w:eastAsia="Arial" w:hAnsi="Arial"/>
          <w:sz w:val="20"/>
          <w:szCs w:val="20"/>
          <w:i w:val="1"/>
          <w:iCs w:val="1"/>
          <w:color w:val="auto"/>
        </w:rPr>
      </w:pPr>
    </w:p>
    <w:p>
      <w:pPr>
        <w:jc w:val="both"/>
        <w:ind w:left="980"/>
        <w:spacing w:after="0" w:line="243" w:lineRule="auto"/>
        <w:rPr>
          <w:rFonts w:ascii="Arial" w:cs="Arial" w:eastAsia="Arial" w:hAnsi="Arial"/>
          <w:sz w:val="20"/>
          <w:szCs w:val="20"/>
          <w:i w:val="1"/>
          <w:iCs w:val="1"/>
          <w:color w:val="auto"/>
        </w:rPr>
      </w:pPr>
      <w:r>
        <w:rPr>
          <w:rFonts w:ascii="Arial" w:cs="Arial" w:eastAsia="Arial" w:hAnsi="Arial"/>
          <w:sz w:val="20"/>
          <w:szCs w:val="20"/>
          <w:color w:val="auto"/>
        </w:rPr>
        <w:t>Revenues from the Company’s distribution of third-party content are now recognized based on the gross amount of consideration received from the customer, with an offsetting participation expense recognized for the fees paid to the third party. Under previous accounting guidance, such revenues, which include content licensing and distribution revenues and advertising revenues, were recognized at the net amount retained by the Company after the payment of fees to the third party. For the year ended December 31, 2018, revenues and operating expenses relating to such distribution arrangements were $279 million higher under ASC 606 than the amounts that would have been reported under previous accounting guidance, with no impact to operating income.</w:t>
      </w:r>
    </w:p>
    <w:p>
      <w:pPr>
        <w:spacing w:after="0" w:line="206" w:lineRule="exact"/>
        <w:rPr>
          <w:rFonts w:ascii="Arial" w:cs="Arial" w:eastAsia="Arial" w:hAnsi="Arial"/>
          <w:sz w:val="20"/>
          <w:szCs w:val="20"/>
          <w:i w:val="1"/>
          <w:iCs w:val="1"/>
          <w:color w:val="auto"/>
        </w:rPr>
      </w:pPr>
    </w:p>
    <w:p>
      <w:pPr>
        <w:ind w:left="980" w:hanging="324"/>
        <w:spacing w:after="0"/>
        <w:tabs>
          <w:tab w:leader="none" w:pos="980" w:val="left"/>
        </w:tabs>
        <w:numPr>
          <w:ilvl w:val="0"/>
          <w:numId w:val="33"/>
        </w:numPr>
        <w:rPr>
          <w:rFonts w:ascii="Arial" w:cs="Arial" w:eastAsia="Arial" w:hAnsi="Arial"/>
          <w:sz w:val="20"/>
          <w:szCs w:val="20"/>
          <w:i w:val="1"/>
          <w:iCs w:val="1"/>
          <w:color w:val="auto"/>
        </w:rPr>
      </w:pPr>
      <w:r>
        <w:rPr>
          <w:rFonts w:ascii="Arial" w:cs="Arial" w:eastAsia="Arial" w:hAnsi="Arial"/>
          <w:sz w:val="20"/>
          <w:szCs w:val="20"/>
          <w:i w:val="1"/>
          <w:iCs w:val="1"/>
          <w:color w:val="auto"/>
        </w:rPr>
        <w:t>Revenues from the Renewal of Licensing Agreements</w:t>
      </w:r>
    </w:p>
    <w:p>
      <w:pPr>
        <w:spacing w:after="0" w:line="134" w:lineRule="exact"/>
        <w:rPr>
          <w:rFonts w:ascii="Arial" w:cs="Arial" w:eastAsia="Arial" w:hAnsi="Arial"/>
          <w:sz w:val="20"/>
          <w:szCs w:val="20"/>
          <w:i w:val="1"/>
          <w:iCs w:val="1"/>
          <w:color w:val="auto"/>
        </w:rPr>
      </w:pPr>
    </w:p>
    <w:p>
      <w:pPr>
        <w:jc w:val="both"/>
        <w:ind w:left="980"/>
        <w:spacing w:after="0" w:line="276" w:lineRule="auto"/>
        <w:rPr>
          <w:rFonts w:ascii="Arial" w:cs="Arial" w:eastAsia="Arial" w:hAnsi="Arial"/>
          <w:sz w:val="20"/>
          <w:szCs w:val="20"/>
          <w:i w:val="1"/>
          <w:iCs w:val="1"/>
          <w:color w:val="auto"/>
        </w:rPr>
      </w:pPr>
      <w:r>
        <w:rPr>
          <w:rFonts w:ascii="Arial" w:cs="Arial" w:eastAsia="Arial" w:hAnsi="Arial"/>
          <w:sz w:val="18"/>
          <w:szCs w:val="18"/>
          <w:color w:val="auto"/>
        </w:rPr>
        <w:t>Revenues associated with the renewal of an existing license agreement are now recognized at the beginning of the renewal period. Under previous accounting guidance, these revenues were recognized upon the execution of such renewal. Content licensing and distribution revenue comparisons will continue to be impacted by fluctuations resulting from the timing of when Company-owned television series are made available for multiyear licensing agreements. Therefore, this change is not expected to have a material impact on the trend of the Company’s financial results. Additionally, historically, on an annual basis, revenues from renewals executed each year have approximated revenues associated with renewal periods that began in the same year.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II-94</w:t>
      </w:r>
    </w:p>
    <w:p>
      <w:pPr>
        <w:sectPr>
          <w:pgSz w:w="11900" w:h="16838" w:orient="portrait"/>
          <w:cols w:equalWidth="0" w:num="1">
            <w:col w:w="11420"/>
          </w:cols>
          <w:pgMar w:left="240" w:top="400" w:right="239" w:bottom="1440" w:gutter="0" w:footer="0" w:header="0"/>
        </w:sectPr>
      </w:pPr>
    </w:p>
    <w:bookmarkStart w:id="129" w:name="page130"/>
    <w:bookmarkEnd w:id="129"/>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following table presents the amount by which each applicable financial statement line item on the Consolidated Statement of Operations would have decreased for 2018 if license renewals were recognized under previous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142240</wp:posOffset>
            </wp:positionV>
            <wp:extent cx="448500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85005" cy="17145"/>
                    </a:xfrm>
                    <a:prstGeom prst="rect">
                      <a:avLst/>
                    </a:prstGeom>
                    <a:noFill/>
                  </pic:spPr>
                </pic:pic>
              </a:graphicData>
            </a:graphic>
          </wp:anchor>
        </w:drawing>
      </w:r>
    </w:p>
    <w:p>
      <w:pPr>
        <w:spacing w:after="0" w:line="239" w:lineRule="exact"/>
        <w:rPr>
          <w:sz w:val="20"/>
          <w:szCs w:val="20"/>
          <w:color w:val="auto"/>
        </w:rPr>
      </w:pPr>
    </w:p>
    <w:tbl>
      <w:tblPr>
        <w:tblLayout w:type="fixed"/>
        <w:tblInd w:w="21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3820" w:type="dxa"/>
            <w:vAlign w:val="bottom"/>
          </w:tcPr>
          <w:p>
            <w:pPr>
              <w:spacing w:after="0"/>
              <w:rPr>
                <w:sz w:val="23"/>
                <w:szCs w:val="23"/>
                <w:color w:val="auto"/>
              </w:rPr>
            </w:pPr>
          </w:p>
        </w:tc>
        <w:tc>
          <w:tcPr>
            <w:tcW w:w="3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3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263</w:t>
            </w: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124</w:t>
            </w:r>
          </w:p>
        </w:tc>
      </w:tr>
      <w:tr>
        <w:trPr>
          <w:trHeight w:val="27"/>
        </w:trPr>
        <w:tc>
          <w:tcPr>
            <w:tcW w:w="3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80" w:type="dxa"/>
            <w:vAlign w:val="bottom"/>
          </w:tcPr>
          <w:p>
            <w:pPr>
              <w:spacing w:after="0"/>
              <w:rPr>
                <w:sz w:val="20"/>
                <w:szCs w:val="20"/>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139</w:t>
            </w: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Less: Provision for income taxes</w:t>
            </w:r>
          </w:p>
        </w:tc>
        <w:tc>
          <w:tcPr>
            <w:tcW w:w="168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30</w:t>
            </w:r>
          </w:p>
        </w:tc>
      </w:tr>
      <w:tr>
        <w:trPr>
          <w:trHeight w:val="27"/>
        </w:trPr>
        <w:tc>
          <w:tcPr>
            <w:tcW w:w="3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109</w:t>
            </w:r>
          </w:p>
        </w:tc>
      </w:tr>
      <w:tr>
        <w:trPr>
          <w:trHeight w:val="27"/>
        </w:trPr>
        <w:tc>
          <w:tcPr>
            <w:tcW w:w="3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.29</w:t>
            </w:r>
          </w:p>
        </w:tc>
      </w:tr>
      <w:tr>
        <w:trPr>
          <w:trHeight w:val="34"/>
        </w:trPr>
        <w:tc>
          <w:tcPr>
            <w:tcW w:w="3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addition, the adoption of ASC 606 resulted in certain classification changes on the Consolidated Balance Sheet. The primary change is the reclassification of the sales returns reserve relating to the publishing business to “Other current liabilities.” Such amount, which was $116 million at December 31, 2018, was previously presented as a reduction to receivables.</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table presents the amount by which each applicable financial statement line item on the Consolidated Balance Sheet at December 31, 2018 would increase (decrease) if all of the above changes resulting from the adoption of ASC 606 were presented under previous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111760</wp:posOffset>
            </wp:positionV>
            <wp:extent cx="44678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67860" cy="17145"/>
                    </a:xfrm>
                    <a:prstGeom prst="rect">
                      <a:avLst/>
                    </a:prstGeom>
                    <a:noFill/>
                  </pic:spPr>
                </pic:pic>
              </a:graphicData>
            </a:graphic>
          </wp:anchor>
        </w:drawing>
      </w:r>
    </w:p>
    <w:p>
      <w:pPr>
        <w:spacing w:after="0" w:line="192"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Programming and other inventory (noncurrent)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Other assets (noncurrent receivables)</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55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Participants’ share and royalties payable</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554"/>
        </w:trPr>
        <w:tc>
          <w:tcPr>
            <w:tcW w:w="4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34"/>
        </w:trPr>
        <w:tc>
          <w:tcPr>
            <w:tcW w:w="4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ASC 606 also requires enhanced disclosures relating to the Company’s revenues from contracts with customers (See Note 1), including the disaggregation of revenues into categories (See Note 15).</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DISCONTINUED OPERATIONS</w:t>
      </w:r>
    </w:p>
    <w:p>
      <w:pPr>
        <w:spacing w:after="0" w:line="14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On November 16, 2017, the Company completed the split-off of CBS Radio through an exchange offer, in which the Company accepted 17.9 million shares of CBS Corp. Class B Common Stock from its stockholders in exchange for the 101.4 million shares of CBS Radio common stock that it owned. Immediately following the exchange offer, each share of CBS Radio common stock was converted into one share of Entercom Communications Corp. (“Entercom”) Class A common stock upon completion of the merger of CBS Radio and Entercom. CBS Radio has been presented as a discontinued operation in the consolidated financial statements for all periods presented.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ectPr>
          <w:pgSz w:w="11900" w:h="16838" w:orient="portrait"/>
          <w:cols w:equalWidth="0" w:num="1">
            <w:col w:w="11420"/>
          </w:cols>
          <w:pgMar w:left="240" w:top="400" w:right="239" w:bottom="1440" w:gutter="0" w:footer="0" w:header="0"/>
        </w:sectPr>
      </w:pPr>
    </w:p>
    <w:bookmarkStart w:id="130" w:name="page131"/>
    <w:bookmarkEnd w:id="130"/>
    <w:p>
      <w:pPr>
        <w:ind w:left="370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set forth details of net earnings (loss) from discontinued operations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6089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CBS Radio</w:t>
            </w:r>
          </w:p>
        </w:tc>
        <w:tc>
          <w:tcPr>
            <w:tcW w:w="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Market value adjustment</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780" w:type="dxa"/>
            <w:vAlign w:val="bottom"/>
          </w:tcPr>
          <w:p>
            <w:pPr>
              <w:jc w:val="right"/>
              <w:ind w:right="525"/>
              <w:spacing w:after="0"/>
              <w:rPr>
                <w:sz w:val="20"/>
                <w:szCs w:val="20"/>
                <w:color w:val="auto"/>
              </w:rPr>
            </w:pPr>
            <w:r>
              <w:rPr>
                <w:rFonts w:ascii="Arial" w:cs="Arial" w:eastAsia="Arial" w:hAnsi="Arial"/>
                <w:sz w:val="9"/>
                <w:szCs w:val="9"/>
                <w:color w:val="auto"/>
              </w:rPr>
              <w:t>(a)</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980</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4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1,795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Pr>
          <w:p>
            <w:pPr>
              <w:ind w:left="40"/>
              <w:spacing w:after="0"/>
              <w:rPr>
                <w:sz w:val="20"/>
                <w:szCs w:val="20"/>
                <w:color w:val="auto"/>
              </w:rPr>
            </w:pPr>
            <w:r>
              <w:rPr>
                <w:rFonts w:ascii="Arial" w:cs="Arial" w:eastAsia="Arial" w:hAnsi="Arial"/>
                <w:sz w:val="9"/>
                <w:szCs w:val="9"/>
                <w:color w:val="auto"/>
              </w:rPr>
              <w:t>(b)</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Pr>
          <w:p>
            <w:pPr>
              <w:ind w:left="4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34"/>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40" w:hanging="250"/>
        <w:spacing w:after="0" w:line="286" w:lineRule="auto"/>
        <w:tabs>
          <w:tab w:leader="none" w:pos="329" w:val="left"/>
        </w:tabs>
        <w:numPr>
          <w:ilvl w:val="0"/>
          <w:numId w:val="34"/>
        </w:numPr>
        <w:rPr>
          <w:rFonts w:ascii="Arial" w:cs="Arial" w:eastAsia="Arial" w:hAnsi="Arial"/>
          <w:sz w:val="15"/>
          <w:szCs w:val="15"/>
          <w:color w:val="auto"/>
        </w:rPr>
      </w:pPr>
      <w:r>
        <w:rPr>
          <w:rFonts w:ascii="Arial" w:cs="Arial" w:eastAsia="Arial" w:hAnsi="Arial"/>
          <w:sz w:val="15"/>
          <w:szCs w:val="15"/>
          <w:color w:val="auto"/>
        </w:rPr>
        <w:t>During 2017, prior to the split-off, CBS Radio was measured each reporting period at the lower of its carrying amount or fair value less cost to sell. The value of the transaction with Entercom was determined based on Entercom’s stock price at the closing of the transaction and therefore, the Company recorded a market value adjustment of $980 million in 2017 to adjust the carrying value of CBS Radio to the value indicated by the stock valuation of Entercom.</w:t>
      </w:r>
    </w:p>
    <w:p>
      <w:pPr>
        <w:spacing w:after="0" w:line="4" w:lineRule="exact"/>
        <w:rPr>
          <w:rFonts w:ascii="Arial" w:cs="Arial" w:eastAsia="Arial" w:hAnsi="Arial"/>
          <w:sz w:val="15"/>
          <w:szCs w:val="15"/>
          <w:color w:val="auto"/>
        </w:rPr>
      </w:pPr>
    </w:p>
    <w:p>
      <w:pPr>
        <w:ind w:left="340" w:hanging="250"/>
        <w:spacing w:after="0" w:line="275" w:lineRule="auto"/>
        <w:tabs>
          <w:tab w:leader="none" w:pos="3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a tax benefit from the resolution of a tax matter in a foreign jurisdiction relating to a previously disposed business that was accounted for as a discontinued operation.</w:t>
      </w:r>
    </w:p>
    <w:p>
      <w:pPr>
        <w:spacing w:after="0" w:line="10" w:lineRule="exact"/>
        <w:rPr>
          <w:rFonts w:ascii="Arial" w:cs="Arial" w:eastAsia="Arial" w:hAnsi="Arial"/>
          <w:sz w:val="16"/>
          <w:szCs w:val="16"/>
          <w:color w:val="auto"/>
        </w:rPr>
      </w:pPr>
    </w:p>
    <w:p>
      <w:pPr>
        <w:ind w:left="340" w:hanging="250"/>
        <w:spacing w:after="0" w:line="275" w:lineRule="auto"/>
        <w:tabs>
          <w:tab w:leader="none" w:pos="3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adjustments to the loss on disposal of the Company’s outdoor advertising businesses, primarily from a decrease to the guarantee liability associated with the 2013 disposal of the Company’s outdoor advertising business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201295</wp:posOffset>
            </wp:positionV>
            <wp:extent cx="71094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1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CBS Radio</w:t>
            </w:r>
          </w:p>
        </w:tc>
        <w:tc>
          <w:tcPr>
            <w:tcW w:w="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 xml:space="preserve">Other </w:t>
            </w:r>
            <w:r>
              <w:rPr>
                <w:rFonts w:ascii="Arial" w:cs="Arial" w:eastAsia="Arial" w:hAnsi="Arial"/>
                <w:sz w:val="25"/>
                <w:szCs w:val="25"/>
                <w:b w:val="1"/>
                <w:bCs w:val="1"/>
                <w:color w:val="auto"/>
                <w:w w:val="99"/>
                <w:vertAlign w:val="superscript"/>
              </w:rPr>
              <w:t>(b)</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1,220</w:t>
            </w:r>
          </w:p>
        </w:tc>
        <w:tc>
          <w:tcPr>
            <w:tcW w:w="680" w:type="dxa"/>
            <w:vAlign w:val="bottom"/>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397</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496</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Impairment charge</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444</w:t>
            </w:r>
          </w:p>
        </w:tc>
        <w:tc>
          <w:tcPr>
            <w:tcW w:w="680" w:type="dxa"/>
            <w:vAlign w:val="bottom"/>
          </w:tcPr>
          <w:p>
            <w:pPr>
              <w:jc w:val="right"/>
              <w:ind w:right="445"/>
              <w:spacing w:after="0"/>
              <w:rPr>
                <w:sz w:val="20"/>
                <w:szCs w:val="20"/>
                <w:color w:val="auto"/>
              </w:rPr>
            </w:pPr>
            <w:r>
              <w:rPr>
                <w:rFonts w:ascii="Arial" w:cs="Arial" w:eastAsia="Arial" w:hAnsi="Arial"/>
                <w:sz w:val="9"/>
                <w:szCs w:val="9"/>
                <w:color w:val="auto"/>
              </w:rPr>
              <w:t>(a)</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8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1,371</w:t>
            </w:r>
          </w:p>
        </w:tc>
        <w:tc>
          <w:tcPr>
            <w:tcW w:w="68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1,371</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68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84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18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(167)</w:t>
            </w:r>
          </w:p>
        </w:tc>
        <w:tc>
          <w:tcPr>
            <w:tcW w:w="68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(255)</w:t>
            </w:r>
          </w:p>
        </w:tc>
        <w:tc>
          <w:tcPr>
            <w:tcW w:w="680" w:type="dxa"/>
            <w:vAlign w:val="bottom"/>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34"/>
        </w:trPr>
        <w:tc>
          <w:tcPr>
            <w:tcW w:w="5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340" w:right="380" w:hanging="250"/>
        <w:spacing w:after="0" w:line="275"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a pretax noncash impairment charge of $444 million ($427 million, net of tax) to reduce the carrying value of CBS Radio’s goodwill by $408 million ($405 million, net of tax) and FCC licenses in 11 radio markets by $36 million ($22 million, net of tax).</w:t>
      </w:r>
    </w:p>
    <w:p>
      <w:pPr>
        <w:spacing w:after="0" w:line="10" w:lineRule="exact"/>
        <w:rPr>
          <w:rFonts w:ascii="Arial" w:cs="Arial" w:eastAsia="Arial" w:hAnsi="Arial"/>
          <w:sz w:val="16"/>
          <w:szCs w:val="16"/>
          <w:color w:val="auto"/>
        </w:rPr>
      </w:pPr>
    </w:p>
    <w:p>
      <w:pPr>
        <w:ind w:left="340" w:right="680" w:hanging="250"/>
        <w:spacing w:after="0" w:line="275" w:lineRule="auto"/>
        <w:tabs>
          <w:tab w:leader="none" w:pos="3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a charge from the resolution of a tax matter in a foreign jurisdiction relating to a previously disposed business that was accounted for as a discontinued operation.</w:t>
      </w:r>
    </w:p>
    <w:p>
      <w:pPr>
        <w:sectPr>
          <w:pgSz w:w="11900" w:h="16838" w:orient="portrait"/>
          <w:cols w:equalWidth="0" w:num="1">
            <w:col w:w="11340"/>
          </w:cols>
          <w:pgMar w:left="320" w:top="400" w:right="239" w:bottom="1440" w:gutter="0" w:footer="0" w:header="0"/>
        </w:sectPr>
      </w:pP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II-96</w:t>
      </w:r>
    </w:p>
    <w:p>
      <w:pPr>
        <w:sectPr>
          <w:pgSz w:w="11900" w:h="16838" w:orient="portrait"/>
          <w:cols w:equalWidth="0" w:num="1">
            <w:col w:w="11340"/>
          </w:cols>
          <w:pgMar w:left="320" w:top="400" w:right="239" w:bottom="1440" w:gutter="0" w:footer="0" w:header="0"/>
          <w:type w:val="continuous"/>
        </w:sectPr>
      </w:pPr>
    </w:p>
    <w:bookmarkStart w:id="131" w:name="page132"/>
    <w:bookmarkEnd w:id="131"/>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COMMITMENTS AND CONTINGENCIES</w:t>
      </w:r>
    </w:p>
    <w:p>
      <w:pPr>
        <w:spacing w:after="0" w:line="222"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and purchase obligations for goods and services resulting from the Company’s normal course of business.</w:t>
      </w:r>
    </w:p>
    <w:p>
      <w:pPr>
        <w:spacing w:after="0" w:line="14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Programming and talent commitments of the Company, estimated to aggregate $8.98 billion as of December 31, 2018, primarily include $6.62 billion for sports programming rights, $1.71 billion relating to the production and licensing of television and film programming, and $660 million for talent contracts. The Company also has committed purchase obligations which include agreements to purchase goods or services in the future that totaled $795 million as of December 31, 2018.</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Other long-term contractual obligations recorded on the Company’s Consolidated Balance Sheet include program liabilities; participations due to producers; residuals; and a tax liability resulting from the enactment of the Tax Reform Act in December 2017. This tax liability reflects the estimated tax on the Company’s historical accumulated foreign earnings and profits, which is payable to the IRS over eight years.</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commitments for programming and talent and purchase obligations not recorded on the balance sheet, and other long-term contractual obligations recorded on the balance sheet were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71755</wp:posOffset>
            </wp:positionV>
            <wp:extent cx="60115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12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4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Programming and</w:t>
            </w:r>
          </w:p>
        </w:tc>
        <w:tc>
          <w:tcPr>
            <w:tcW w:w="48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Purchase</w:t>
            </w:r>
          </w:p>
        </w:tc>
        <w:tc>
          <w:tcPr>
            <w:tcW w:w="28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Other Long-Term Contractual</w:t>
            </w:r>
          </w:p>
        </w:tc>
      </w:tr>
      <w:tr>
        <w:trPr>
          <w:trHeight w:val="234"/>
        </w:trPr>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Talent</w:t>
            </w:r>
          </w:p>
        </w:tc>
        <w:tc>
          <w:tcPr>
            <w:tcW w:w="48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Obligations</w:t>
            </w:r>
          </w:p>
        </w:tc>
        <w:tc>
          <w:tcPr>
            <w:tcW w:w="1080" w:type="dxa"/>
            <w:vAlign w:val="bottom"/>
          </w:tcPr>
          <w:p>
            <w:pPr>
              <w:spacing w:after="0"/>
              <w:rPr>
                <w:sz w:val="20"/>
                <w:szCs w:val="20"/>
                <w:color w:val="auto"/>
              </w:rPr>
            </w:pPr>
          </w:p>
        </w:tc>
        <w:tc>
          <w:tcPr>
            <w:tcW w:w="1780" w:type="dxa"/>
            <w:vAlign w:val="bottom"/>
          </w:tcPr>
          <w:p>
            <w:pPr>
              <w:jc w:val="right"/>
              <w:ind w:right="790"/>
              <w:spacing w:after="0"/>
              <w:rPr>
                <w:sz w:val="20"/>
                <w:szCs w:val="20"/>
                <w:color w:val="auto"/>
              </w:rPr>
            </w:pPr>
            <w:r>
              <w:rPr>
                <w:rFonts w:ascii="Arial" w:cs="Arial" w:eastAsia="Arial" w:hAnsi="Arial"/>
                <w:sz w:val="18"/>
                <w:szCs w:val="18"/>
                <w:b w:val="1"/>
                <w:bCs w:val="1"/>
                <w:color w:val="auto"/>
                <w:w w:val="88"/>
              </w:rPr>
              <w:t>Obligations</w:t>
            </w:r>
          </w:p>
        </w:tc>
      </w:tr>
      <w:tr>
        <w:trPr>
          <w:trHeight w:val="27"/>
        </w:trPr>
        <w:tc>
          <w:tcPr>
            <w:tcW w:w="2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8"/>
                <w:szCs w:val="18"/>
                <w:color w:val="auto"/>
              </w:rPr>
              <w:t>2019</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2,270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285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ind w:left="20"/>
              <w:spacing w:after="0"/>
              <w:rPr>
                <w:sz w:val="20"/>
                <w:szCs w:val="20"/>
                <w:color w:val="auto"/>
              </w:rPr>
            </w:pPr>
            <w:r>
              <w:rPr>
                <w:rFonts w:ascii="Arial" w:cs="Arial" w:eastAsia="Arial" w:hAnsi="Arial"/>
                <w:sz w:val="18"/>
                <w:szCs w:val="18"/>
                <w:color w:val="auto"/>
              </w:rPr>
              <w:t>2020</w:t>
            </w:r>
          </w:p>
        </w:tc>
        <w:tc>
          <w:tcPr>
            <w:tcW w:w="1000" w:type="dxa"/>
            <w:vAlign w:val="bottom"/>
          </w:tcPr>
          <w:p>
            <w:pPr>
              <w:spacing w:after="0"/>
              <w:rPr>
                <w:sz w:val="23"/>
                <w:szCs w:val="23"/>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1,989</w:t>
            </w:r>
          </w:p>
        </w:tc>
        <w:tc>
          <w:tcPr>
            <w:tcW w:w="480" w:type="dxa"/>
            <w:vAlign w:val="bottom"/>
          </w:tcPr>
          <w:p>
            <w:pPr>
              <w:spacing w:after="0"/>
              <w:rPr>
                <w:sz w:val="23"/>
                <w:szCs w:val="23"/>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247</w:t>
            </w:r>
          </w:p>
        </w:tc>
        <w:tc>
          <w:tcPr>
            <w:tcW w:w="1080" w:type="dxa"/>
            <w:vAlign w:val="bottom"/>
          </w:tcPr>
          <w:p>
            <w:pPr>
              <w:spacing w:after="0"/>
              <w:rPr>
                <w:sz w:val="23"/>
                <w:szCs w:val="23"/>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569</w:t>
            </w:r>
          </w:p>
        </w:tc>
      </w:tr>
      <w:tr>
        <w:trPr>
          <w:trHeight w:val="270"/>
        </w:trPr>
        <w:tc>
          <w:tcPr>
            <w:tcW w:w="2120" w:type="dxa"/>
            <w:vAlign w:val="bottom"/>
          </w:tcPr>
          <w:p>
            <w:pPr>
              <w:ind w:left="20"/>
              <w:spacing w:after="0"/>
              <w:rPr>
                <w:sz w:val="20"/>
                <w:szCs w:val="20"/>
                <w:color w:val="auto"/>
              </w:rPr>
            </w:pPr>
            <w:r>
              <w:rPr>
                <w:rFonts w:ascii="Arial" w:cs="Arial" w:eastAsia="Arial" w:hAnsi="Arial"/>
                <w:sz w:val="18"/>
                <w:szCs w:val="18"/>
                <w:color w:val="auto"/>
              </w:rPr>
              <w:t>2021</w:t>
            </w:r>
          </w:p>
        </w:tc>
        <w:tc>
          <w:tcPr>
            <w:tcW w:w="1000" w:type="dxa"/>
            <w:vAlign w:val="bottom"/>
          </w:tcPr>
          <w:p>
            <w:pPr>
              <w:spacing w:after="0"/>
              <w:rPr>
                <w:sz w:val="23"/>
                <w:szCs w:val="23"/>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1,830</w:t>
            </w:r>
          </w:p>
        </w:tc>
        <w:tc>
          <w:tcPr>
            <w:tcW w:w="480" w:type="dxa"/>
            <w:vAlign w:val="bottom"/>
          </w:tcPr>
          <w:p>
            <w:pPr>
              <w:spacing w:after="0"/>
              <w:rPr>
                <w:sz w:val="23"/>
                <w:szCs w:val="23"/>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171</w:t>
            </w:r>
          </w:p>
        </w:tc>
        <w:tc>
          <w:tcPr>
            <w:tcW w:w="1080" w:type="dxa"/>
            <w:vAlign w:val="bottom"/>
          </w:tcPr>
          <w:p>
            <w:pPr>
              <w:spacing w:after="0"/>
              <w:rPr>
                <w:sz w:val="23"/>
                <w:szCs w:val="23"/>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360</w:t>
            </w:r>
          </w:p>
        </w:tc>
      </w:tr>
      <w:tr>
        <w:trPr>
          <w:trHeight w:val="270"/>
        </w:trPr>
        <w:tc>
          <w:tcPr>
            <w:tcW w:w="2120" w:type="dxa"/>
            <w:vAlign w:val="bottom"/>
          </w:tcPr>
          <w:p>
            <w:pPr>
              <w:ind w:left="20"/>
              <w:spacing w:after="0"/>
              <w:rPr>
                <w:sz w:val="20"/>
                <w:szCs w:val="20"/>
                <w:color w:val="auto"/>
              </w:rPr>
            </w:pPr>
            <w:r>
              <w:rPr>
                <w:rFonts w:ascii="Arial" w:cs="Arial" w:eastAsia="Arial" w:hAnsi="Arial"/>
                <w:sz w:val="18"/>
                <w:szCs w:val="18"/>
                <w:color w:val="auto"/>
              </w:rPr>
              <w:t>2022</w:t>
            </w:r>
          </w:p>
        </w:tc>
        <w:tc>
          <w:tcPr>
            <w:tcW w:w="1000" w:type="dxa"/>
            <w:vAlign w:val="bottom"/>
          </w:tcPr>
          <w:p>
            <w:pPr>
              <w:spacing w:after="0"/>
              <w:rPr>
                <w:sz w:val="23"/>
                <w:szCs w:val="23"/>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1,704</w:t>
            </w:r>
          </w:p>
        </w:tc>
        <w:tc>
          <w:tcPr>
            <w:tcW w:w="480" w:type="dxa"/>
            <w:vAlign w:val="bottom"/>
          </w:tcPr>
          <w:p>
            <w:pPr>
              <w:spacing w:after="0"/>
              <w:rPr>
                <w:sz w:val="23"/>
                <w:szCs w:val="23"/>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3"/>
                <w:szCs w:val="23"/>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199</w:t>
            </w:r>
          </w:p>
        </w:tc>
      </w:tr>
      <w:tr>
        <w:trPr>
          <w:trHeight w:val="270"/>
        </w:trPr>
        <w:tc>
          <w:tcPr>
            <w:tcW w:w="2120" w:type="dxa"/>
            <w:vAlign w:val="bottom"/>
          </w:tcPr>
          <w:p>
            <w:pPr>
              <w:ind w:left="20"/>
              <w:spacing w:after="0"/>
              <w:rPr>
                <w:sz w:val="20"/>
                <w:szCs w:val="20"/>
                <w:color w:val="auto"/>
              </w:rPr>
            </w:pPr>
            <w:r>
              <w:rPr>
                <w:rFonts w:ascii="Arial" w:cs="Arial" w:eastAsia="Arial" w:hAnsi="Arial"/>
                <w:sz w:val="18"/>
                <w:szCs w:val="18"/>
                <w:color w:val="auto"/>
              </w:rPr>
              <w:t>2023</w:t>
            </w:r>
          </w:p>
        </w:tc>
        <w:tc>
          <w:tcPr>
            <w:tcW w:w="1000" w:type="dxa"/>
            <w:vAlign w:val="bottom"/>
          </w:tcPr>
          <w:p>
            <w:pPr>
              <w:spacing w:after="0"/>
              <w:rPr>
                <w:sz w:val="23"/>
                <w:szCs w:val="23"/>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3"/>
                <w:szCs w:val="23"/>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080" w:type="dxa"/>
            <w:vAlign w:val="bottom"/>
          </w:tcPr>
          <w:p>
            <w:pPr>
              <w:spacing w:after="0"/>
              <w:rPr>
                <w:sz w:val="23"/>
                <w:szCs w:val="23"/>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112</w:t>
            </w:r>
          </w:p>
        </w:tc>
      </w:tr>
      <w:tr>
        <w:trPr>
          <w:trHeight w:val="270"/>
        </w:trPr>
        <w:tc>
          <w:tcPr>
            <w:tcW w:w="212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1000" w:type="dxa"/>
            <w:vAlign w:val="bottom"/>
          </w:tcPr>
          <w:p>
            <w:pPr>
              <w:spacing w:after="0"/>
              <w:rPr>
                <w:sz w:val="23"/>
                <w:szCs w:val="23"/>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889</w:t>
            </w:r>
          </w:p>
        </w:tc>
        <w:tc>
          <w:tcPr>
            <w:tcW w:w="480" w:type="dxa"/>
            <w:vAlign w:val="bottom"/>
          </w:tcPr>
          <w:p>
            <w:pPr>
              <w:spacing w:after="0"/>
              <w:rPr>
                <w:sz w:val="23"/>
                <w:szCs w:val="23"/>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58</w:t>
            </w:r>
          </w:p>
        </w:tc>
        <w:tc>
          <w:tcPr>
            <w:tcW w:w="1080" w:type="dxa"/>
            <w:vAlign w:val="bottom"/>
          </w:tcPr>
          <w:p>
            <w:pPr>
              <w:spacing w:after="0"/>
              <w:rPr>
                <w:sz w:val="23"/>
                <w:szCs w:val="23"/>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229</w:t>
            </w:r>
          </w:p>
        </w:tc>
      </w:tr>
      <w:tr>
        <w:trPr>
          <w:trHeight w:val="27"/>
        </w:trPr>
        <w:tc>
          <w:tcPr>
            <w:tcW w:w="2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8,982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795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1,469</w:t>
            </w:r>
          </w:p>
        </w:tc>
      </w:tr>
      <w:tr>
        <w:trPr>
          <w:trHeight w:val="34"/>
        </w:trPr>
        <w:tc>
          <w:tcPr>
            <w:tcW w:w="2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long-term noncancellable operating lease commitments for office space, equipment, transponders and studio facilities.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Company also enters into capital leases for satellite transponders.</w:t>
      </w:r>
    </w:p>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2018, future minimum rental payments under noncancellable operating leases with terms in excess of one year and payments under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71755</wp:posOffset>
            </wp:positionV>
            <wp:extent cx="58400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12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1"/>
              </w:rPr>
              <w:t>Leases</w:t>
            </w:r>
          </w:p>
        </w:tc>
        <w:tc>
          <w:tcPr>
            <w:tcW w:w="11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Operating</w:t>
            </w:r>
          </w:p>
        </w:tc>
      </w:tr>
      <w:tr>
        <w:trPr>
          <w:trHeight w:val="27"/>
        </w:trPr>
        <w:tc>
          <w:tcPr>
            <w:tcW w:w="6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2019</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6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8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6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Present value of minimum payments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6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 xml:space="preserve">Future minimum operating lease payments have been reduced by future minimum sublease income of $30 million. Rent expense was $212 million in 2018, $181 million in 2017 and $167 million </w:t>
      </w:r>
      <w:r>
        <w:rPr>
          <w:rFonts w:ascii="Arial" w:cs="Arial" w:eastAsia="Arial" w:hAnsi="Arial"/>
          <w:sz w:val="18"/>
          <w:szCs w:val="18"/>
          <w:color w:val="auto"/>
        </w:rPr>
        <w:t>in</w:t>
      </w:r>
      <w:r>
        <w:rPr>
          <w:rFonts w:ascii="Arial" w:cs="Arial" w:eastAsia="Arial" w:hAnsi="Arial"/>
          <w:sz w:val="20"/>
          <w:szCs w:val="20"/>
          <w:color w:val="auto"/>
        </w:rPr>
        <w:t xml:space="preserve"> 2016. Included in net earnings (loss) from discontinued operations was rent expense of $32 million in 2017 and $36 million in 2016.</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II-97</w:t>
      </w:r>
    </w:p>
    <w:p>
      <w:pPr>
        <w:sectPr>
          <w:pgSz w:w="11900" w:h="16838" w:orient="portrait"/>
          <w:cols w:equalWidth="0" w:num="1">
            <w:col w:w="11420"/>
          </w:cols>
          <w:pgMar w:left="240" w:top="400" w:right="239" w:bottom="1440" w:gutter="0" w:footer="0" w:header="0"/>
          <w:type w:val="continuous"/>
        </w:sectPr>
      </w:pPr>
    </w:p>
    <w:bookmarkStart w:id="132" w:name="page133"/>
    <w:bookmarkEnd w:id="132"/>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has indemnification obligations with respect to letters of credit and surety bonds primarily used as security against non-performance in the normal course of business. At December 31, 2018, the outstanding letters of credit and surety bonds approximated $100 million and were not recorded on the Consolidated Balance Sheet.</w:t>
      </w:r>
    </w:p>
    <w:p>
      <w:pPr>
        <w:spacing w:after="0" w:line="18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and reasonably estimable.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4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On an ongoing basis, the Company vigorously defends itself in numerous lawsuits and proceedings and responds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and inquiries from federal, state, local and international authorities (collectively, “litigation’’). Litigation may be brought against the Company without merit, is inherently uncertain and always difficult to predict. However, based on its understanding and evaluation of the relevant facts and circumstances, the Company believes that the below-described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Investigation-Related Matters</w:t>
      </w:r>
      <w:r>
        <w:rPr>
          <w:rFonts w:ascii="Arial" w:cs="Arial" w:eastAsia="Arial" w:hAnsi="Arial"/>
          <w:sz w:val="18"/>
          <w:szCs w:val="18"/>
          <w:color w:val="auto"/>
        </w:rPr>
        <w:t>. As announced on August 1, 2018, the Company’s Board of Directors (“Board”) retained two law firms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 full investigation of the allegations in recent press reports about the Company’s former Chairman of the Board, President and Chief Executive Officer, Mr. Leslie Moonves, CBS News and cultural issues at all levels of the Company. On December 17, 2018, the Board announced the completion of the investigation, certain findings of the investigation and the Board’s determination, discussed below, with respect to the termination of Mr. Moonves’s employment. The Company has received subpoenas from the New York County District Attorney’s Office and the New York City Commission on Human Rights regarding the subject matter of this investigation and related matters. The New York State Attorney General’s Office has also requested information about these matters. The Company may receive additional related regulatory and investigative inquiries from these and other entities in the future. The Company is cooperating with these inquiries.</w:t>
      </w:r>
    </w:p>
    <w:p>
      <w:pPr>
        <w:spacing w:after="0" w:line="183"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6"/>
          <w:szCs w:val="16"/>
          <w:color w:val="auto"/>
        </w:rPr>
        <w:t>On August 27, 2018 and on October 1, 2018, each of Gene Samit and John Lantz, respectively, filed putative class action 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the Company, certain current and former senior executives and members of the Board. The consolidated action is stated to be on behalf of purchasers of the Company’s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w:t>
      </w:r>
    </w:p>
    <w:p>
      <w:pPr>
        <w:spacing w:after="0" w:line="394"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20"/>
          <w:szCs w:val="20"/>
          <w:i w:val="1"/>
          <w:iCs w:val="1"/>
          <w:color w:val="auto"/>
        </w:rPr>
        <w:t>Separation Agreement</w:t>
      </w:r>
      <w:r>
        <w:rPr>
          <w:rFonts w:ascii="Arial" w:cs="Arial" w:eastAsia="Arial" w:hAnsi="Arial"/>
          <w:sz w:val="20"/>
          <w:szCs w:val="20"/>
          <w:color w:val="auto"/>
        </w:rPr>
        <w:t>. On September 9, 2018, the Company entered into a separation and settlement agreement and releases (the</w:t>
      </w:r>
      <w:r>
        <w:rPr>
          <w:rFonts w:ascii="Arial" w:cs="Arial" w:eastAsia="Arial" w:hAnsi="Arial"/>
          <w:sz w:val="20"/>
          <w:szCs w:val="20"/>
          <w:i w:val="1"/>
          <w:iCs w:val="1"/>
          <w:color w:val="auto"/>
        </w:rPr>
        <w:t xml:space="preserve"> </w:t>
      </w:r>
      <w:r>
        <w:rPr>
          <w:rFonts w:ascii="Arial" w:cs="Arial" w:eastAsia="Arial" w:hAnsi="Arial"/>
          <w:sz w:val="20"/>
          <w:szCs w:val="20"/>
          <w:color w:val="auto"/>
        </w:rPr>
        <w:t>“Separation Agreement”) with Mr. Leslie Moonves, pursuant to which Mr. Moonves resigned as a director and as Chairman of the Board, President and Chief Executive Officer of the Company. Pursuant to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II-98</w:t>
      </w:r>
    </w:p>
    <w:p>
      <w:pPr>
        <w:sectPr>
          <w:pgSz w:w="11900" w:h="16838" w:orient="portrait"/>
          <w:cols w:equalWidth="0" w:num="1">
            <w:col w:w="11420"/>
          </w:cols>
          <w:pgMar w:left="240" w:top="400" w:right="239" w:bottom="1440" w:gutter="0" w:footer="0" w:header="0"/>
        </w:sectPr>
      </w:pPr>
    </w:p>
    <w:bookmarkStart w:id="133" w:name="page134"/>
    <w:bookmarkEnd w:id="133"/>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Separation Agreement, the Company is contributing the aggregate amount of $20 million toward various charitable organizations that support the #MeToo movement and equality for women in the workplace, which organizations were mutually agreed by the Company and Mr. Moonves. The Company has recorded the contribution of $20 million in “Restructuring and other corporate matters” on the Consolidated Statements of Operations for the year ended December 31, 2018. In October 2018, the Company contributed $120 million to a grantor trust. On December 17, 2018, the Board announced that, following its consideration of the findings of the investigation referred to above, it had determined that there were grounds to terminate Mr. Moonves’s employment for cause under his employment agreement with the Company. Any dispute related to the Board’s determination is subject to binding arbitration as set forth in the Separation Agreement. On January 16, 2019, Mr. Moonves notified the Company of his election to demand binding arbitration with respect to this matter and the related Board investigation. The assets of the grantor trust will remain in the trust until a final determination in the arbitration. The Company is currently unable to determine the outcome of the arbitration and the amount, if any, that may be awarded thereunder and, accordingly, no accrual for this matter has been made in the Company’s consolidated financial statements.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i w:val="1"/>
          <w:iCs w:val="1"/>
          <w:color w:val="auto"/>
        </w:rPr>
        <w:t xml:space="preserve">Claims Related to Former Businesses: Asbestos. </w:t>
      </w:r>
      <w:r>
        <w:rPr>
          <w:rFonts w:ascii="Arial" w:cs="Arial" w:eastAsia="Arial" w:hAnsi="Arial"/>
          <w:sz w:val="18"/>
          <w:szCs w:val="18"/>
          <w:color w:val="auto"/>
        </w:rPr>
        <w:t>The Company is a defendant in lawsuits claiming various personal injuries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asbestos and other materials, which 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most commonly relate to allegations of exposure to asbestos-containing insulating material used in conjunction with turbines.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that some jurisdictions have established for claimants who allege minimal or no impairment. As of December 31, 2018, the Company had pending approximately 31,570 asbestos claims, as compared with approximately 31,660 as of December 31, 2017 and 33,610 as of December 31, 2016. During 2018, the Company received approximately 3,290 new claims and closed or moved to an inactive docket approximately 3,380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claims, the quality of evidence supporting the claims and other factors. The Company’s total costs for the years 2018 and 2017 for settlement and defense of asbestos claims after insurance recoveries and net of tax were approximately $45 million and $57 million, respectively. The Company’s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ectPr>
          <w:pgSz w:w="11900" w:h="16838" w:orient="portrait"/>
          <w:cols w:equalWidth="0" w:num="1">
            <w:col w:w="11420"/>
          </w:cols>
          <w:pgMar w:left="240" w:top="400" w:right="239" w:bottom="1440" w:gutter="0" w:footer="0" w:header="0"/>
        </w:sectPr>
      </w:pPr>
    </w:p>
    <w:bookmarkStart w:id="134" w:name="page135"/>
    <w:bookmarkEnd w:id="134"/>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Company believes that its reserves and insurance are adequate to cover its asbestos liabilities. This belief is based upon many factors and assumptions, including the number of outstanding claims, estimated average cost per claim, the breakdown of claims by disease type, historic claim filings, costs per claim of resolution and the filing of new claims. While the number of asbestos claims filed against the Company has remained generally flat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i w:val="1"/>
          <w:iCs w:val="1"/>
          <w:color w:val="auto"/>
        </w:rPr>
        <w:t xml:space="preserve">Other. </w:t>
      </w:r>
      <w:r>
        <w:rPr>
          <w:rFonts w:ascii="Arial" w:cs="Arial" w:eastAsia="Arial" w:hAnsi="Arial"/>
          <w:sz w:val="19"/>
          <w:szCs w:val="19"/>
          <w:color w:val="auto"/>
        </w:rPr>
        <w:t>The Company from time to time receives claims from federal and state environmental regulatory agencies and other entities</w:t>
      </w:r>
      <w:r>
        <w:rPr>
          <w:rFonts w:ascii="Arial" w:cs="Arial" w:eastAsia="Arial" w:hAnsi="Arial"/>
          <w:sz w:val="19"/>
          <w:szCs w:val="19"/>
          <w:i w:val="1"/>
          <w:iCs w:val="1"/>
          <w:color w:val="auto"/>
        </w:rPr>
        <w:t xml:space="preserve"> </w:t>
      </w:r>
      <w:r>
        <w:rPr>
          <w:rFonts w:ascii="Arial" w:cs="Arial" w:eastAsia="Arial" w:hAnsi="Arial"/>
          <w:sz w:val="19"/>
          <w:szCs w:val="19"/>
          <w:color w:val="auto"/>
        </w:rPr>
        <w:t>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FINANCIAL INFORMATION</w:t>
      </w:r>
    </w:p>
    <w:p>
      <w:pPr>
        <w:spacing w:after="0" w:line="140"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presents the components of Other items, net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96520</wp:posOffset>
            </wp:positionV>
            <wp:extent cx="62687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3"/>
              </w:rPr>
              <w:t>(86)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Foreign exchange (losses) gains</w:t>
            </w:r>
          </w:p>
        </w:tc>
        <w:tc>
          <w:tcPr>
            <w:tcW w:w="17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23"/>
                <w:szCs w:val="23"/>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Net loss from investments</w:t>
            </w:r>
          </w:p>
        </w:tc>
        <w:tc>
          <w:tcPr>
            <w:tcW w:w="17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23"/>
                <w:szCs w:val="23"/>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3"/>
              </w:rPr>
              <w:t>(88)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4"/>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457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457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518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2"/>
        </w:trPr>
        <w:tc>
          <w:tcPr>
            <w:tcW w:w="40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Cash paid (refunded) for income taxes:</w:t>
            </w: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4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3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16</w:t>
            </w: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365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0"/>
        </w:trPr>
        <w:tc>
          <w:tcPr>
            <w:tcW w:w="44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360" w:type="dxa"/>
            <w:vAlign w:val="bottom"/>
          </w:tcPr>
          <w:p>
            <w:pPr>
              <w:spacing w:after="0"/>
              <w:rPr>
                <w:sz w:val="23"/>
                <w:szCs w:val="23"/>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4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12</w:t>
            </w:r>
          </w:p>
        </w:tc>
        <w:tc>
          <w:tcPr>
            <w:tcW w:w="8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391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34"/>
        </w:trPr>
        <w:tc>
          <w:tcPr>
            <w:tcW w:w="4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2"/>
        </w:trPr>
        <w:tc>
          <w:tcPr>
            <w:tcW w:w="44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Shares received in split-off of CBS Radio (Note 17)</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1,007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Noncash additions to property and equipment</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Pr>
          <w:p>
            <w:pPr>
              <w:ind w:left="160"/>
              <w:spacing w:after="0"/>
              <w:rPr>
                <w:sz w:val="20"/>
                <w:szCs w:val="20"/>
                <w:color w:val="auto"/>
              </w:rPr>
            </w:pPr>
            <w:r>
              <w:rPr>
                <w:rFonts w:ascii="Arial" w:cs="Arial" w:eastAsia="Arial" w:hAnsi="Arial"/>
                <w:sz w:val="18"/>
                <w:szCs w:val="18"/>
                <w:color w:val="auto"/>
              </w:rPr>
              <w:t>Equipment acquired under capitalized leases</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10</w:t>
            </w:r>
          </w:p>
        </w:tc>
      </w:tr>
      <w:tr>
        <w:trPr>
          <w:trHeight w:val="34"/>
        </w:trPr>
        <w:tc>
          <w:tcPr>
            <w:tcW w:w="4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II-100</w:t>
      </w:r>
    </w:p>
    <w:p>
      <w:pPr>
        <w:sectPr>
          <w:pgSz w:w="11900" w:h="16838" w:orient="portrait"/>
          <w:cols w:equalWidth="0" w:num="1">
            <w:col w:w="11420"/>
          </w:cols>
          <w:pgMar w:left="240" w:top="400" w:right="239" w:bottom="1440" w:gutter="0" w:footer="0" w:header="0"/>
        </w:sectPr>
      </w:pPr>
    </w:p>
    <w:bookmarkStart w:id="135" w:name="page136"/>
    <w:bookmarkEnd w:id="135"/>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22058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0585" cy="17145"/>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Second</w:t>
            </w:r>
          </w:p>
        </w:tc>
        <w:tc>
          <w:tcPr>
            <w:tcW w:w="2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41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5"/>
                <w:szCs w:val="25"/>
                <w:b w:val="1"/>
                <w:bCs w:val="1"/>
                <w:color w:val="auto"/>
                <w:vertAlign w:val="superscript"/>
              </w:rPr>
              <w:t>(a)</w:t>
            </w: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 xml:space="preserve">Quarter </w:t>
            </w:r>
            <w:r>
              <w:rPr>
                <w:rFonts w:ascii="Arial" w:cs="Arial" w:eastAsia="Arial" w:hAnsi="Arial"/>
                <w:sz w:val="25"/>
                <w:szCs w:val="25"/>
                <w:b w:val="1"/>
                <w:bCs w:val="1"/>
                <w:color w:val="auto"/>
                <w:w w:val="94"/>
                <w:vertAlign w:val="superscript"/>
              </w:rPr>
              <w:t>(b)</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Total Year</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Entertainment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2,190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2,833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10,178</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Cable Networks</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Publishing</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Local Media</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1,830</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Corporate/Eliminations</w:t>
            </w:r>
          </w:p>
        </w:tc>
        <w:tc>
          <w:tcPr>
            <w:tcW w:w="10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4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3,761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3,466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3,263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4,024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14,514</w:t>
            </w:r>
          </w:p>
        </w:tc>
      </w:tr>
      <w:tr>
        <w:trPr>
          <w:trHeight w:val="34"/>
        </w:trPr>
        <w:tc>
          <w:tcPr>
            <w:tcW w:w="4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Entertainment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1,675</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Cable Networks</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915</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Publishing</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Local Media</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10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781</w:t>
            </w:r>
          </w:p>
        </w:tc>
        <w:tc>
          <w:tcPr>
            <w:tcW w:w="3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736</w:t>
            </w:r>
          </w:p>
        </w:tc>
        <w:tc>
          <w:tcPr>
            <w:tcW w:w="2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3,048</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Corporate matters</w:t>
            </w:r>
          </w:p>
        </w:tc>
        <w:tc>
          <w:tcPr>
            <w:tcW w:w="10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4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360"/>
              <w:spacing w:after="0"/>
              <w:rPr>
                <w:sz w:val="20"/>
                <w:szCs w:val="20"/>
                <w:color w:val="auto"/>
              </w:rPr>
            </w:pPr>
            <w:r>
              <w:rPr>
                <w:rFonts w:ascii="Arial" w:cs="Arial" w:eastAsia="Arial" w:hAnsi="Arial"/>
                <w:sz w:val="18"/>
                <w:szCs w:val="18"/>
                <w:b w:val="1"/>
                <w:bCs w:val="1"/>
                <w:color w:val="auto"/>
              </w:rPr>
              <w:t>Total Operating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2,768</w:t>
            </w:r>
          </w:p>
        </w:tc>
      </w:tr>
      <w:tr>
        <w:trPr>
          <w:trHeight w:val="34"/>
        </w:trPr>
        <w:tc>
          <w:tcPr>
            <w:tcW w:w="4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1,960</w:t>
            </w:r>
          </w:p>
        </w:tc>
      </w:tr>
      <w:tr>
        <w:trPr>
          <w:trHeight w:val="540"/>
        </w:trPr>
        <w:tc>
          <w:tcPr>
            <w:tcW w:w="4140" w:type="dxa"/>
            <w:vAlign w:val="bottom"/>
          </w:tcPr>
          <w:p>
            <w:pPr>
              <w:ind w:left="20"/>
              <w:spacing w:after="0"/>
              <w:rPr>
                <w:sz w:val="20"/>
                <w:szCs w:val="20"/>
                <w:color w:val="auto"/>
              </w:rPr>
            </w:pPr>
            <w:r>
              <w:rPr>
                <w:rFonts w:ascii="Arial" w:cs="Arial" w:eastAsia="Arial" w:hAnsi="Arial"/>
                <w:sz w:val="18"/>
                <w:szCs w:val="18"/>
                <w:color w:val="auto"/>
              </w:rPr>
              <w:t>Basic net earnings per common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540"/>
        </w:trPr>
        <w:tc>
          <w:tcPr>
            <w:tcW w:w="4140" w:type="dxa"/>
            <w:vAlign w:val="bottom"/>
          </w:tcPr>
          <w:p>
            <w:pPr>
              <w:ind w:left="20"/>
              <w:spacing w:after="0"/>
              <w:rPr>
                <w:sz w:val="20"/>
                <w:szCs w:val="20"/>
                <w:color w:val="auto"/>
              </w:rPr>
            </w:pPr>
            <w:r>
              <w:rPr>
                <w:rFonts w:ascii="Arial" w:cs="Arial" w:eastAsia="Arial" w:hAnsi="Arial"/>
                <w:sz w:val="18"/>
                <w:szCs w:val="18"/>
                <w:color w:val="auto"/>
              </w:rPr>
              <w:t>Diluted net earnings per common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540"/>
        </w:trPr>
        <w:tc>
          <w:tcPr>
            <w:tcW w:w="414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1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0"/>
        </w:trPr>
        <w:tc>
          <w:tcPr>
            <w:tcW w:w="41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2058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0585" cy="17145"/>
                    </a:xfrm>
                    <a:prstGeom prst="rect">
                      <a:avLst/>
                    </a:prstGeom>
                    <a:noFill/>
                  </pic:spPr>
                </pic:pic>
              </a:graphicData>
            </a:graphic>
          </wp:anchor>
        </w:drawing>
      </w:r>
    </w:p>
    <w:p>
      <w:pPr>
        <w:spacing w:after="0" w:line="51" w:lineRule="exact"/>
        <w:rPr>
          <w:sz w:val="20"/>
          <w:szCs w:val="20"/>
          <w:color w:val="auto"/>
        </w:rPr>
      </w:pPr>
    </w:p>
    <w:p>
      <w:pPr>
        <w:jc w:val="both"/>
        <w:ind w:left="340" w:hanging="251"/>
        <w:spacing w:after="0" w:line="278" w:lineRule="auto"/>
        <w:tabs>
          <w:tab w:leader="none" w:pos="322" w:val="left"/>
        </w:tabs>
        <w:numPr>
          <w:ilvl w:val="0"/>
          <w:numId w:val="37"/>
        </w:numPr>
        <w:rPr>
          <w:rFonts w:ascii="Arial" w:cs="Arial" w:eastAsia="Arial" w:hAnsi="Arial"/>
          <w:sz w:val="15"/>
          <w:szCs w:val="15"/>
          <w:color w:val="auto"/>
        </w:rPr>
      </w:pPr>
      <w:r>
        <w:rPr>
          <w:rFonts w:ascii="Arial" w:cs="Arial" w:eastAsia="Arial" w:hAnsi="Arial"/>
          <w:sz w:val="15"/>
          <w:szCs w:val="15"/>
          <w:color w:val="auto"/>
        </w:rPr>
        <w:t>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 The following table provides the impact on the Company’s revenues and Segment Operating Income by segment for 2018 as a result of this change. There was no change to the Company’s total revenues or total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99060</wp:posOffset>
            </wp:positionV>
            <wp:extent cx="50253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25390" cy="17145"/>
                    </a:xfrm>
                    <a:prstGeom prst="rect">
                      <a:avLst/>
                    </a:prstGeom>
                    <a:noFill/>
                  </pic:spPr>
                </pic:pic>
              </a:graphicData>
            </a:graphic>
          </wp:anchor>
        </w:drawing>
      </w:r>
    </w:p>
    <w:p>
      <w:pPr>
        <w:spacing w:after="0" w:line="190"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Revenues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Segment Operating Income</w:t>
            </w:r>
          </w:p>
        </w:tc>
      </w:tr>
      <w:tr>
        <w:trPr>
          <w:trHeight w:val="33"/>
        </w:trPr>
        <w:tc>
          <w:tcPr>
            <w:tcW w:w="2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20"/>
                <w:szCs w:val="20"/>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w w:val="86"/>
              </w:rPr>
              <w:t>Second</w:t>
            </w:r>
          </w:p>
        </w:tc>
        <w:tc>
          <w:tcPr>
            <w:tcW w:w="22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Third</w:t>
            </w:r>
          </w:p>
        </w:tc>
        <w:tc>
          <w:tcPr>
            <w:tcW w:w="10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First</w:t>
            </w:r>
          </w:p>
        </w:tc>
        <w:tc>
          <w:tcPr>
            <w:tcW w:w="200" w:type="dxa"/>
            <w:vAlign w:val="bottom"/>
          </w:tcPr>
          <w:p>
            <w:pPr>
              <w:spacing w:after="0"/>
              <w:rPr>
                <w:sz w:val="20"/>
                <w:szCs w:val="20"/>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Second</w:t>
            </w:r>
          </w:p>
        </w:tc>
        <w:tc>
          <w:tcPr>
            <w:tcW w:w="200" w:type="dxa"/>
            <w:vAlign w:val="bottom"/>
          </w:tcPr>
          <w:p>
            <w:pPr>
              <w:spacing w:after="0"/>
              <w:rPr>
                <w:sz w:val="20"/>
                <w:szCs w:val="20"/>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b w:val="1"/>
                <w:bCs w:val="1"/>
                <w:color w:val="auto"/>
              </w:rPr>
              <w:t>Third</w:t>
            </w:r>
          </w:p>
        </w:tc>
      </w:tr>
      <w:tr>
        <w:trPr>
          <w:trHeight w:val="270"/>
        </w:trPr>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23"/>
                <w:szCs w:val="23"/>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22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23"/>
                <w:szCs w:val="23"/>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Quarter</w:t>
            </w:r>
          </w:p>
        </w:tc>
        <w:tc>
          <w:tcPr>
            <w:tcW w:w="200" w:type="dxa"/>
            <w:vAlign w:val="bottom"/>
          </w:tcPr>
          <w:p>
            <w:pPr>
              <w:spacing w:after="0"/>
              <w:rPr>
                <w:sz w:val="23"/>
                <w:szCs w:val="23"/>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b w:val="1"/>
                <w:bCs w:val="1"/>
                <w:color w:val="auto"/>
              </w:rPr>
              <w:t>Quarter</w:t>
            </w:r>
          </w:p>
        </w:tc>
        <w:tc>
          <w:tcPr>
            <w:tcW w:w="200" w:type="dxa"/>
            <w:vAlign w:val="bottom"/>
          </w:tcPr>
          <w:p>
            <w:pPr>
              <w:spacing w:after="0"/>
              <w:rPr>
                <w:sz w:val="23"/>
                <w:szCs w:val="23"/>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Quarter</w:t>
            </w:r>
          </w:p>
        </w:tc>
      </w:tr>
      <w:tr>
        <w:trPr>
          <w:trHeight w:val="33"/>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160" w:type="dxa"/>
            <w:vAlign w:val="bottom"/>
          </w:tcPr>
          <w:p>
            <w:pPr>
              <w:ind w:left="20"/>
              <w:spacing w:after="0"/>
              <w:rPr>
                <w:sz w:val="20"/>
                <w:szCs w:val="20"/>
                <w:color w:val="auto"/>
              </w:rPr>
            </w:pPr>
            <w:r>
              <w:rPr>
                <w:rFonts w:ascii="Arial" w:cs="Arial" w:eastAsia="Arial" w:hAnsi="Arial"/>
                <w:sz w:val="16"/>
                <w:szCs w:val="16"/>
                <w:color w:val="auto"/>
              </w:rPr>
              <w:t>Entertainment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2160" w:type="dxa"/>
            <w:vAlign w:val="bottom"/>
          </w:tcPr>
          <w:p>
            <w:pPr>
              <w:ind w:left="20"/>
              <w:spacing w:after="0"/>
              <w:rPr>
                <w:sz w:val="20"/>
                <w:szCs w:val="20"/>
                <w:color w:val="auto"/>
              </w:rPr>
            </w:pPr>
            <w:r>
              <w:rPr>
                <w:rFonts w:ascii="Arial" w:cs="Arial" w:eastAsia="Arial" w:hAnsi="Arial"/>
                <w:sz w:val="16"/>
                <w:szCs w:val="16"/>
                <w:color w:val="auto"/>
              </w:rPr>
              <w:t>Cable Networks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2160" w:type="dxa"/>
            <w:vAlign w:val="bottom"/>
          </w:tcPr>
          <w:p>
            <w:pPr>
              <w:ind w:left="20"/>
              <w:spacing w:after="0"/>
              <w:rPr>
                <w:sz w:val="20"/>
                <w:szCs w:val="20"/>
                <w:color w:val="auto"/>
              </w:rPr>
            </w:pPr>
            <w:r>
              <w:rPr>
                <w:rFonts w:ascii="Arial" w:cs="Arial" w:eastAsia="Arial" w:hAnsi="Arial"/>
                <w:sz w:val="16"/>
                <w:szCs w:val="16"/>
                <w:color w:val="auto"/>
              </w:rPr>
              <w:t>Corporate/Eliminations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44" w:lineRule="exact"/>
        <w:rPr>
          <w:sz w:val="20"/>
          <w:szCs w:val="20"/>
          <w:color w:val="auto"/>
        </w:rPr>
      </w:pPr>
    </w:p>
    <w:p>
      <w:pPr>
        <w:ind w:left="340" w:hanging="251"/>
        <w:spacing w:after="0" w:line="275" w:lineRule="auto"/>
        <w:tabs>
          <w:tab w:leader="none" w:pos="3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fourth quarter of 2018 includes the reversal of a valuation allowance of $140 million relating to capital loss carryforwards that will be utilized in connection with the sale of CBS Television City in the first quarter of 2019.</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II-101</w:t>
      </w:r>
    </w:p>
    <w:p>
      <w:pPr>
        <w:sectPr>
          <w:pgSz w:w="11900" w:h="16838" w:orient="portrait"/>
          <w:cols w:equalWidth="0" w:num="1">
            <w:col w:w="11420"/>
          </w:cols>
          <w:pgMar w:left="240" w:top="400" w:right="239" w:bottom="1440" w:gutter="0" w:footer="0" w:header="0"/>
          <w:type w:val="continuous"/>
        </w:sectPr>
      </w:pPr>
    </w:p>
    <w:bookmarkStart w:id="136" w:name="page137"/>
    <w:bookmarkEnd w:id="136"/>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Second</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Third</w:t>
            </w:r>
          </w:p>
        </w:tc>
        <w:tc>
          <w:tcPr>
            <w:tcW w:w="3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4180" w:type="dxa"/>
            <w:vAlign w:val="bottom"/>
            <w:tcBorders>
              <w:bottom w:val="single" w:sz="8" w:color="auto"/>
            </w:tcBorders>
          </w:tcPr>
          <w:p>
            <w:pPr>
              <w:ind w:left="2160"/>
              <w:spacing w:after="0" w:line="297" w:lineRule="exact"/>
              <w:rPr>
                <w:sz w:val="20"/>
                <w:szCs w:val="20"/>
                <w:color w:val="auto"/>
              </w:rPr>
            </w:pPr>
            <w:r>
              <w:rPr>
                <w:rFonts w:ascii="Arial" w:cs="Arial" w:eastAsia="Arial" w:hAnsi="Arial"/>
                <w:sz w:val="34"/>
                <w:szCs w:val="34"/>
                <w:b w:val="1"/>
                <w:bCs w:val="1"/>
                <w:color w:val="auto"/>
                <w:vertAlign w:val="subscript"/>
              </w:rPr>
              <w:t>2017</w:t>
            </w:r>
            <w:r>
              <w:rPr>
                <w:rFonts w:ascii="Arial" w:cs="Arial" w:eastAsia="Arial" w:hAnsi="Arial"/>
                <w:sz w:val="12"/>
                <w:szCs w:val="12"/>
                <w:b w:val="1"/>
                <w:bCs w:val="1"/>
                <w:color w:val="auto"/>
              </w:rPr>
              <w:t xml:space="preserve"> (a) (e)</w:t>
            </w: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Quarter </w:t>
            </w:r>
            <w:r>
              <w:rPr>
                <w:rFonts w:ascii="Arial" w:cs="Arial" w:eastAsia="Arial" w:hAnsi="Arial"/>
                <w:sz w:val="25"/>
                <w:szCs w:val="25"/>
                <w:b w:val="1"/>
                <w:bCs w:val="1"/>
                <w:color w:val="auto"/>
                <w:vertAlign w:val="superscript"/>
              </w:rPr>
              <w:t>(c) (d)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Total Year</w:t>
            </w: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Entertainment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2,384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1,849</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2,856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9,306</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Cable Networks</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805</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2,355</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Publishing</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Local Media</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Corporate/Eliminations</w:t>
            </w:r>
          </w:p>
        </w:tc>
        <w:tc>
          <w:tcPr>
            <w:tcW w:w="102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3,257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3,171</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3,921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13,692</w:t>
            </w:r>
          </w:p>
        </w:tc>
      </w:tr>
      <w:tr>
        <w:trPr>
          <w:trHeight w:val="34"/>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 (Loss):</w:t>
            </w: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Entertainment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354</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1,578</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Cable Networks</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Publishing</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Local Media</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10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726</w:t>
            </w:r>
          </w:p>
        </w:tc>
        <w:tc>
          <w:tcPr>
            <w:tcW w:w="28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2,905</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Other operating items, net</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Total Operating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729</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34"/>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418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368"/>
        </w:trPr>
        <w:tc>
          <w:tcPr>
            <w:tcW w:w="4180" w:type="dxa"/>
            <w:vAlign w:val="bottom"/>
          </w:tcPr>
          <w:p>
            <w:pPr>
              <w:ind w:left="40"/>
              <w:spacing w:after="0"/>
              <w:rPr>
                <w:sz w:val="20"/>
                <w:szCs w:val="20"/>
                <w:color w:val="auto"/>
              </w:rPr>
            </w:pPr>
            <w:r>
              <w:rPr>
                <w:rFonts w:ascii="Arial" w:cs="Arial" w:eastAsia="Arial" w:hAnsi="Arial"/>
                <w:sz w:val="18"/>
                <w:szCs w:val="18"/>
                <w:color w:val="auto"/>
              </w:rPr>
              <w:t xml:space="preserve">Net earnings (loss) </w:t>
            </w:r>
            <w:r>
              <w:rPr>
                <w:rFonts w:ascii="Arial" w:cs="Arial" w:eastAsia="Arial" w:hAnsi="Arial"/>
                <w:sz w:val="25"/>
                <w:szCs w:val="25"/>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592</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442"/>
        </w:trPr>
        <w:tc>
          <w:tcPr>
            <w:tcW w:w="4180" w:type="dxa"/>
            <w:vAlign w:val="bottom"/>
          </w:tcPr>
          <w:p>
            <w:pPr>
              <w:ind w:left="40"/>
              <w:spacing w:after="0"/>
              <w:rPr>
                <w:sz w:val="20"/>
                <w:szCs w:val="20"/>
                <w:color w:val="auto"/>
              </w:rPr>
            </w:pPr>
            <w:r>
              <w:rPr>
                <w:rFonts w:ascii="Arial" w:cs="Arial" w:eastAsia="Arial" w:hAnsi="Arial"/>
                <w:sz w:val="18"/>
                <w:szCs w:val="18"/>
                <w:color w:val="auto"/>
              </w:rPr>
              <w:t>Basic net earnings per common share:</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Diluted net earnings per common share:</w:t>
            </w: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540"/>
        </w:trPr>
        <w:tc>
          <w:tcPr>
            <w:tcW w:w="418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0"/>
        </w:trPr>
        <w:tc>
          <w:tcPr>
            <w:tcW w:w="418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34"/>
        </w:trPr>
        <w:tc>
          <w:tcPr>
            <w:tcW w:w="4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40" w:hanging="251"/>
        <w:spacing w:after="0" w:line="256"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first quarter of 2018, the Company adopted amended FASB guidance on the presentation of net benefit cost. As a result, the components of net benefit cost other than the service cost component are presented in the statement of operations below the subtotal of operating income. All prior periods have been recast to conform to this presentation. This change resulted in an increase to total operating income of $22 million, $21 million, $22 million and $373 million for the first quarter, second quarter, third quarter and fourth quarter of 2017, respectively.</w:t>
      </w:r>
    </w:p>
    <w:p>
      <w:pPr>
        <w:spacing w:after="0" w:line="25" w:lineRule="exact"/>
        <w:rPr>
          <w:rFonts w:ascii="Arial" w:cs="Arial" w:eastAsia="Arial" w:hAnsi="Arial"/>
          <w:sz w:val="16"/>
          <w:szCs w:val="16"/>
          <w:color w:val="auto"/>
        </w:rPr>
      </w:pPr>
    </w:p>
    <w:p>
      <w:pPr>
        <w:jc w:val="both"/>
        <w:ind w:left="340" w:hanging="251"/>
        <w:spacing w:after="0" w:line="25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CBS Radio has been presented as a discontinued operation for all periods presented. In the fourth quarter of 2017, the Company recorded a loss on the split-off of CBS Radio of $105 million. During 2017, prior to the split-off, the Company recorded a market value adjustment of $980 million, including a charge of $715 million, a charge of $365 million and a gain of $100 million in the first, second and third quarter, respectively, to reduce the carrying value of CBS Radio to the value indicated by the stock valuation of Entercom (See Note 17).</w:t>
      </w:r>
    </w:p>
    <w:p>
      <w:pPr>
        <w:spacing w:after="0" w:line="25" w:lineRule="exact"/>
        <w:rPr>
          <w:rFonts w:ascii="Arial" w:cs="Arial" w:eastAsia="Arial" w:hAnsi="Arial"/>
          <w:sz w:val="16"/>
          <w:szCs w:val="16"/>
          <w:color w:val="auto"/>
        </w:rPr>
      </w:pPr>
    </w:p>
    <w:p>
      <w:pPr>
        <w:ind w:left="340" w:right="20" w:hanging="251"/>
        <w:spacing w:after="0" w:line="275" w:lineRule="auto"/>
        <w:tabs>
          <w:tab w:leader="none" w:pos="3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fourth quarter of 2017, the Company recorded a pension settlement charge of $352 million for the settlement of pension obligations resulting from the transfer of pension obligations to an insurance company through the purchase of a group annuity contract (See Note 14).</w:t>
      </w:r>
    </w:p>
    <w:p>
      <w:pPr>
        <w:spacing w:after="0" w:line="10" w:lineRule="exact"/>
        <w:rPr>
          <w:rFonts w:ascii="Arial" w:cs="Arial" w:eastAsia="Arial" w:hAnsi="Arial"/>
          <w:sz w:val="16"/>
          <w:szCs w:val="16"/>
          <w:color w:val="auto"/>
        </w:rPr>
      </w:pPr>
    </w:p>
    <w:p>
      <w:pPr>
        <w:ind w:left="320" w:hanging="231"/>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fourth quarter of 2017, the Company recorded a provisional charge of $129 million resulting from the enactment of the Tax Reform Act.</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II-102</w:t>
      </w:r>
    </w:p>
    <w:p>
      <w:pPr>
        <w:sectPr>
          <w:pgSz w:w="11900" w:h="16838" w:orient="portrait"/>
          <w:cols w:equalWidth="0" w:num="1">
            <w:col w:w="11420"/>
          </w:cols>
          <w:pgMar w:left="240" w:top="400" w:right="239" w:bottom="1440" w:gutter="0" w:footer="0" w:header="0"/>
          <w:type w:val="continuous"/>
        </w:sectPr>
      </w:pPr>
    </w:p>
    <w:bookmarkStart w:id="137" w:name="page138"/>
    <w:bookmarkEnd w:id="137"/>
    <w:p>
      <w:pPr>
        <w:ind w:left="378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340" w:hanging="251"/>
        <w:spacing w:after="0" w:line="278" w:lineRule="auto"/>
        <w:tabs>
          <w:tab w:leader="none" w:pos="322" w:val="left"/>
        </w:tabs>
        <w:numPr>
          <w:ilvl w:val="0"/>
          <w:numId w:val="40"/>
        </w:numPr>
        <w:rPr>
          <w:rFonts w:ascii="Arial" w:cs="Arial" w:eastAsia="Arial" w:hAnsi="Arial"/>
          <w:sz w:val="15"/>
          <w:szCs w:val="15"/>
          <w:color w:val="auto"/>
        </w:rPr>
      </w:pPr>
      <w:r>
        <w:rPr>
          <w:rFonts w:ascii="Arial" w:cs="Arial" w:eastAsia="Arial" w:hAnsi="Arial"/>
          <w:sz w:val="15"/>
          <w:szCs w:val="15"/>
          <w:color w:val="auto"/>
        </w:rPr>
        <w:t>During the fourth quarter of 2018, the Company began presenting CBS Sports Network in the Entertainment segment, to reflect changes in management structure and the integration of CBS Sports Network programming with the CBS Television Network. CBS Sports Network was previously included in the Cable Networks segment. Results for all periods presented have been reclassified to conform to this presentation. The following table provides the impact on the Company’s revenues and Segment Operating Income by segment for 2017 as a result of this change. There was no change to the Company’s total revenues or total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116205</wp:posOffset>
            </wp:positionV>
            <wp:extent cx="67748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8"/>
              <w:spacing w:after="0"/>
              <w:rPr>
                <w:sz w:val="20"/>
                <w:szCs w:val="20"/>
                <w:color w:val="auto"/>
              </w:rPr>
            </w:pPr>
            <w:r>
              <w:rPr>
                <w:rFonts w:ascii="Arial" w:cs="Arial" w:eastAsia="Arial" w:hAnsi="Arial"/>
                <w:sz w:val="14"/>
                <w:szCs w:val="14"/>
                <w:b w:val="1"/>
                <w:bCs w:val="1"/>
                <w:color w:val="auto"/>
                <w:w w:val="92"/>
              </w:rPr>
              <w:t>Segment Operating Income</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58"/>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w w:val="90"/>
              </w:rPr>
              <w:t>Second</w:t>
            </w:r>
          </w:p>
        </w:tc>
        <w:tc>
          <w:tcPr>
            <w:tcW w:w="200" w:type="dxa"/>
            <w:vAlign w:val="bottom"/>
          </w:tcPr>
          <w:p>
            <w:pPr>
              <w:spacing w:after="0"/>
              <w:rPr>
                <w:sz w:val="22"/>
                <w:szCs w:val="22"/>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2"/>
                <w:szCs w:val="22"/>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22"/>
                <w:szCs w:val="22"/>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22"/>
                <w:szCs w:val="22"/>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22"/>
                <w:szCs w:val="22"/>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r>
      <w:tr>
        <w:trPr>
          <w:trHeight w:val="276"/>
        </w:trPr>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Year</w:t>
            </w:r>
          </w:p>
        </w:tc>
      </w:tr>
      <w:tr>
        <w:trPr>
          <w:trHeight w:val="258"/>
        </w:trPr>
        <w:tc>
          <w:tcPr>
            <w:tcW w:w="2240" w:type="dxa"/>
            <w:vAlign w:val="bottom"/>
          </w:tcPr>
          <w:p>
            <w:pPr>
              <w:ind w:left="20"/>
              <w:spacing w:after="0"/>
              <w:rPr>
                <w:sz w:val="20"/>
                <w:szCs w:val="20"/>
                <w:color w:val="auto"/>
              </w:rPr>
            </w:pPr>
            <w:r>
              <w:rPr>
                <w:rFonts w:ascii="Arial" w:cs="Arial" w:eastAsia="Arial" w:hAnsi="Arial"/>
                <w:sz w:val="14"/>
                <w:szCs w:val="14"/>
                <w:color w:val="auto"/>
              </w:rPr>
              <w:t>Entertainment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2240" w:type="dxa"/>
            <w:vAlign w:val="bottom"/>
          </w:tcPr>
          <w:p>
            <w:pPr>
              <w:ind w:left="20"/>
              <w:spacing w:after="0"/>
              <w:rPr>
                <w:sz w:val="20"/>
                <w:szCs w:val="20"/>
                <w:color w:val="auto"/>
              </w:rPr>
            </w:pPr>
            <w:r>
              <w:rPr>
                <w:rFonts w:ascii="Arial" w:cs="Arial" w:eastAsia="Arial" w:hAnsi="Arial"/>
                <w:sz w:val="14"/>
                <w:szCs w:val="14"/>
                <w:color w:val="auto"/>
              </w:rPr>
              <w:t>Cable Networks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Corporate/Eliminations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CONDENSED CONSOLIDATING FINANCIAL STATEMENTS</w:t>
      </w:r>
    </w:p>
    <w:p>
      <w:pPr>
        <w:spacing w:after="0" w:line="14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CBS Operations Inc. is a wholly owned subsidiary of the Company. CBS Operations Inc. has fully and unconditionally guaranteed CBS Corp.’s senior debt securities (See Note 8). The following condensed consolidating financial statements present the results of operations, financial position and cash flows of CBS Corp., CBS Operations Inc., the direct and indirect Non-Guarantor Affiliates of CBS Corp. and CBS Operations Inc., and the eliminations necessary to arrive at the information for the Company on a consolidated basis. Changes to the entities that comprise the guarantor group are reflected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23773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jc w:val="right"/>
              <w:ind w:right="611"/>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5"/>
          </w:tcPr>
          <w:p>
            <w:pPr>
              <w:jc w:val="right"/>
              <w:ind w:right="51"/>
              <w:spacing w:after="0"/>
              <w:rPr>
                <w:sz w:val="20"/>
                <w:szCs w:val="20"/>
                <w:color w:val="auto"/>
              </w:rPr>
            </w:pPr>
            <w:r>
              <w:rPr>
                <w:rFonts w:ascii="Arial" w:cs="Arial" w:eastAsia="Arial" w:hAnsi="Arial"/>
                <w:sz w:val="18"/>
                <w:szCs w:val="18"/>
                <w:b w:val="1"/>
                <w:bCs w:val="1"/>
                <w:color w:val="auto"/>
                <w:w w:val="90"/>
              </w:rPr>
              <w:t>For the Year Ended December 31, 2018</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w w:val="94"/>
              </w:rPr>
              <w:t>CBS</w:t>
            </w:r>
          </w:p>
        </w:tc>
        <w:tc>
          <w:tcPr>
            <w:tcW w:w="180" w:type="dxa"/>
            <w:vAlign w:val="bottom"/>
          </w:tcPr>
          <w:p>
            <w:pPr>
              <w:spacing w:after="0"/>
              <w:rPr>
                <w:sz w:val="12"/>
                <w:szCs w:val="12"/>
                <w:color w:val="auto"/>
              </w:rPr>
            </w:pPr>
          </w:p>
        </w:tc>
        <w:tc>
          <w:tcPr>
            <w:tcW w:w="840" w:type="dxa"/>
            <w:vAlign w:val="bottom"/>
          </w:tcPr>
          <w:p>
            <w:pPr>
              <w:jc w:val="center"/>
              <w:ind w:right="93"/>
              <w:spacing w:after="0" w:line="147"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9"/>
              </w:rPr>
              <w:t>CBS Corp.</w:t>
            </w:r>
          </w:p>
        </w:tc>
        <w:tc>
          <w:tcPr>
            <w:tcW w:w="22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2"/>
                <w:szCs w:val="12"/>
                <w:color w:val="auto"/>
              </w:rPr>
            </w:pPr>
          </w:p>
        </w:tc>
        <w:tc>
          <w:tcPr>
            <w:tcW w:w="8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Affiliates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14,317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9,008</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70"/>
        </w:trPr>
        <w:tc>
          <w:tcPr>
            <w:tcW w:w="44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70"/>
        </w:trPr>
        <w:tc>
          <w:tcPr>
            <w:tcW w:w="44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448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11,169</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3,148</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0"/>
        </w:trPr>
        <w:tc>
          <w:tcPr>
            <w:tcW w:w="44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0"/>
        </w:trPr>
        <w:tc>
          <w:tcPr>
            <w:tcW w:w="44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60" w:type="dxa"/>
            <w:vAlign w:val="bottom"/>
            <w:gridSpan w:val="3"/>
          </w:tcPr>
          <w:p>
            <w:pPr>
              <w:ind w:left="20"/>
              <w:spacing w:after="0"/>
              <w:rPr>
                <w:sz w:val="20"/>
                <w:szCs w:val="20"/>
                <w:color w:val="auto"/>
              </w:rPr>
            </w:pPr>
            <w:r>
              <w:rPr>
                <w:rFonts w:ascii="Arial" w:cs="Arial" w:eastAsia="Arial" w:hAnsi="Arial"/>
                <w:sz w:val="18"/>
                <w:szCs w:val="18"/>
                <w:color w:val="auto"/>
                <w:w w:val="95"/>
              </w:rPr>
              <w:t>Earnings (loss) before income taxes and equity in earnings (loss) of investee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companies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3,728</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0"/>
        </w:trPr>
        <w:tc>
          <w:tcPr>
            <w:tcW w:w="448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6"/>
        </w:trPr>
        <w:tc>
          <w:tcPr>
            <w:tcW w:w="448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w:t>
            </w: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2,386</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(3,901)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1,960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3,104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34"/>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1,847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3,072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34"/>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4"/>
        </w:trPr>
        <w:tc>
          <w:tcPr>
            <w:tcW w:w="4480" w:type="dxa"/>
            <w:vAlign w:val="bottom"/>
          </w:tcPr>
          <w:p>
            <w:pPr>
              <w:spacing w:after="0"/>
              <w:rPr>
                <w:sz w:val="24"/>
                <w:szCs w:val="24"/>
                <w:color w:val="auto"/>
              </w:rPr>
            </w:pPr>
          </w:p>
        </w:tc>
        <w:tc>
          <w:tcPr>
            <w:tcW w:w="2320" w:type="dxa"/>
            <w:vAlign w:val="bottom"/>
            <w:gridSpan w:val="3"/>
          </w:tcPr>
          <w:p>
            <w:pPr>
              <w:jc w:val="right"/>
              <w:ind w:right="791"/>
              <w:spacing w:after="0"/>
              <w:rPr>
                <w:sz w:val="20"/>
                <w:szCs w:val="20"/>
                <w:color w:val="auto"/>
              </w:rPr>
            </w:pPr>
            <w:r>
              <w:rPr>
                <w:rFonts w:ascii="Arial" w:cs="Arial" w:eastAsia="Arial" w:hAnsi="Arial"/>
                <w:sz w:val="18"/>
                <w:szCs w:val="18"/>
                <w:color w:val="auto"/>
              </w:rPr>
              <w:t>II-103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38" w:name="page139"/>
    <w:bookmarkEnd w:id="138"/>
    <w:p>
      <w:pPr>
        <w:ind w:left="376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471805</wp:posOffset>
            </wp:positionV>
            <wp:extent cx="723773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jc w:val="right"/>
              <w:ind w:right="611"/>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5"/>
          </w:tcPr>
          <w:p>
            <w:pPr>
              <w:jc w:val="right"/>
              <w:ind w:right="51"/>
              <w:spacing w:after="0"/>
              <w:rPr>
                <w:sz w:val="20"/>
                <w:szCs w:val="20"/>
                <w:color w:val="auto"/>
              </w:rPr>
            </w:pPr>
            <w:r>
              <w:rPr>
                <w:rFonts w:ascii="Arial" w:cs="Arial" w:eastAsia="Arial" w:hAnsi="Arial"/>
                <w:sz w:val="18"/>
                <w:szCs w:val="18"/>
                <w:b w:val="1"/>
                <w:bCs w:val="1"/>
                <w:color w:val="auto"/>
                <w:w w:val="90"/>
              </w:rPr>
              <w:t>For the Year Ended December 31, 2017</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2"/>
              <w:spacing w:after="0" w:line="147" w:lineRule="exact"/>
              <w:rPr>
                <w:sz w:val="20"/>
                <w:szCs w:val="20"/>
                <w:color w:val="auto"/>
              </w:rPr>
            </w:pPr>
            <w:r>
              <w:rPr>
                <w:rFonts w:ascii="Arial" w:cs="Arial" w:eastAsia="Arial" w:hAnsi="Arial"/>
                <w:sz w:val="14"/>
                <w:szCs w:val="14"/>
                <w:b w:val="1"/>
                <w:bCs w:val="1"/>
                <w:color w:val="auto"/>
                <w:w w:val="94"/>
              </w:rPr>
              <w:t>CBS</w:t>
            </w:r>
          </w:p>
        </w:tc>
        <w:tc>
          <w:tcPr>
            <w:tcW w:w="180" w:type="dxa"/>
            <w:vAlign w:val="bottom"/>
          </w:tcPr>
          <w:p>
            <w:pPr>
              <w:spacing w:after="0"/>
              <w:rPr>
                <w:sz w:val="12"/>
                <w:szCs w:val="12"/>
                <w:color w:val="auto"/>
              </w:rPr>
            </w:pPr>
          </w:p>
        </w:tc>
        <w:tc>
          <w:tcPr>
            <w:tcW w:w="840" w:type="dxa"/>
            <w:vAlign w:val="bottom"/>
          </w:tcPr>
          <w:p>
            <w:pPr>
              <w:jc w:val="center"/>
              <w:ind w:right="92"/>
              <w:spacing w:after="0" w:line="147"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9"/>
              </w:rPr>
              <w:t>CBS Corp.</w:t>
            </w:r>
          </w:p>
        </w:tc>
        <w:tc>
          <w:tcPr>
            <w:tcW w:w="22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2"/>
                <w:szCs w:val="12"/>
                <w:color w:val="auto"/>
              </w:rPr>
            </w:pPr>
          </w:p>
        </w:tc>
        <w:tc>
          <w:tcPr>
            <w:tcW w:w="8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Affiliates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13,510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13,692</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8,337</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Restructuring charges and other corporate matters</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Other operating items, net</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10,377</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3,133</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Pension settlement charge</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60" w:type="dxa"/>
            <w:vAlign w:val="bottom"/>
            <w:gridSpan w:val="3"/>
          </w:tcPr>
          <w:p>
            <w:pPr>
              <w:ind w:left="20"/>
              <w:spacing w:after="0"/>
              <w:rPr>
                <w:sz w:val="20"/>
                <w:szCs w:val="20"/>
                <w:color w:val="auto"/>
              </w:rPr>
            </w:pPr>
            <w:r>
              <w:rPr>
                <w:rFonts w:ascii="Arial" w:cs="Arial" w:eastAsia="Arial" w:hAnsi="Arial"/>
                <w:sz w:val="18"/>
                <w:szCs w:val="18"/>
                <w:color w:val="auto"/>
                <w:w w:val="95"/>
              </w:rPr>
              <w:t>Earnings (loss) from continuing operations before income taxes and equity in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earnings (loss) of investee companies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3,738</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56"/>
        </w:trPr>
        <w:tc>
          <w:tcPr>
            <w:tcW w:w="488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w:t>
            </w: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2,562</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1,614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4"/>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1,640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34"/>
        </w:trPr>
        <w:tc>
          <w:tcPr>
            <w:tcW w:w="4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4"/>
        </w:trPr>
        <w:tc>
          <w:tcPr>
            <w:tcW w:w="4880" w:type="dxa"/>
            <w:vAlign w:val="bottom"/>
          </w:tcPr>
          <w:p>
            <w:pPr>
              <w:spacing w:after="0"/>
              <w:rPr>
                <w:sz w:val="24"/>
                <w:szCs w:val="24"/>
                <w:color w:val="auto"/>
              </w:rPr>
            </w:pPr>
          </w:p>
        </w:tc>
        <w:tc>
          <w:tcPr>
            <w:tcW w:w="1920" w:type="dxa"/>
            <w:vAlign w:val="bottom"/>
            <w:gridSpan w:val="3"/>
          </w:tcPr>
          <w:p>
            <w:pPr>
              <w:jc w:val="right"/>
              <w:ind w:right="791"/>
              <w:spacing w:after="0"/>
              <w:rPr>
                <w:sz w:val="20"/>
                <w:szCs w:val="20"/>
                <w:color w:val="auto"/>
              </w:rPr>
            </w:pPr>
            <w:r>
              <w:rPr>
                <w:rFonts w:ascii="Arial" w:cs="Arial" w:eastAsia="Arial" w:hAnsi="Arial"/>
                <w:sz w:val="18"/>
                <w:szCs w:val="18"/>
                <w:color w:val="auto"/>
              </w:rPr>
              <w:t>II-104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400" w:right="239" w:bottom="1440" w:gutter="0" w:footer="0" w:header="0"/>
        </w:sectPr>
      </w:pPr>
    </w:p>
    <w:bookmarkStart w:id="139" w:name="page140"/>
    <w:bookmarkEnd w:id="139"/>
    <w:p>
      <w:pPr>
        <w:ind w:left="376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471805</wp:posOffset>
            </wp:positionV>
            <wp:extent cx="723773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jc w:val="right"/>
              <w:ind w:right="611"/>
              <w:spacing w:after="0"/>
              <w:rPr>
                <w:sz w:val="20"/>
                <w:szCs w:val="20"/>
                <w:color w:val="auto"/>
              </w:rPr>
            </w:pPr>
            <w:r>
              <w:rPr>
                <w:rFonts w:ascii="Arial" w:cs="Arial" w:eastAsia="Arial" w:hAnsi="Arial"/>
                <w:sz w:val="18"/>
                <w:szCs w:val="18"/>
                <w:b w:val="1"/>
                <w:bCs w:val="1"/>
                <w:color w:val="auto"/>
              </w:rPr>
              <w:t>Statement of Operations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5"/>
          </w:tcPr>
          <w:p>
            <w:pPr>
              <w:jc w:val="right"/>
              <w:ind w:right="51"/>
              <w:spacing w:after="0"/>
              <w:rPr>
                <w:sz w:val="20"/>
                <w:szCs w:val="20"/>
                <w:color w:val="auto"/>
              </w:rPr>
            </w:pPr>
            <w:r>
              <w:rPr>
                <w:rFonts w:ascii="Arial" w:cs="Arial" w:eastAsia="Arial" w:hAnsi="Arial"/>
                <w:sz w:val="18"/>
                <w:szCs w:val="18"/>
                <w:b w:val="1"/>
                <w:bCs w:val="1"/>
                <w:color w:val="auto"/>
                <w:w w:val="90"/>
              </w:rPr>
              <w:t>For the Year Ended December 31, 2016</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2"/>
              <w:spacing w:after="0" w:line="147" w:lineRule="exact"/>
              <w:rPr>
                <w:sz w:val="20"/>
                <w:szCs w:val="20"/>
                <w:color w:val="auto"/>
              </w:rPr>
            </w:pPr>
            <w:r>
              <w:rPr>
                <w:rFonts w:ascii="Arial" w:cs="Arial" w:eastAsia="Arial" w:hAnsi="Arial"/>
                <w:sz w:val="14"/>
                <w:szCs w:val="14"/>
                <w:b w:val="1"/>
                <w:bCs w:val="1"/>
                <w:color w:val="auto"/>
                <w:w w:val="94"/>
              </w:rPr>
              <w:t>CBS</w:t>
            </w:r>
          </w:p>
        </w:tc>
        <w:tc>
          <w:tcPr>
            <w:tcW w:w="180" w:type="dxa"/>
            <w:vAlign w:val="bottom"/>
          </w:tcPr>
          <w:p>
            <w:pPr>
              <w:spacing w:after="0"/>
              <w:rPr>
                <w:sz w:val="12"/>
                <w:szCs w:val="12"/>
                <w:color w:val="auto"/>
              </w:rPr>
            </w:pPr>
          </w:p>
        </w:tc>
        <w:tc>
          <w:tcPr>
            <w:tcW w:w="840" w:type="dxa"/>
            <w:vAlign w:val="bottom"/>
          </w:tcPr>
          <w:p>
            <w:pPr>
              <w:jc w:val="center"/>
              <w:ind w:right="93"/>
              <w:spacing w:after="0" w:line="147"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9"/>
              </w:rPr>
              <w:t>CBS Corp.</w:t>
            </w:r>
          </w:p>
        </w:tc>
        <w:tc>
          <w:tcPr>
            <w:tcW w:w="22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2"/>
                <w:szCs w:val="12"/>
                <w:color w:val="auto"/>
              </w:rPr>
            </w:pPr>
          </w:p>
        </w:tc>
        <w:tc>
          <w:tcPr>
            <w:tcW w:w="8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Affiliates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12,973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7,883</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0"/>
        </w:trPr>
        <w:tc>
          <w:tcPr>
            <w:tcW w:w="45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1,721</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70"/>
        </w:trPr>
        <w:tc>
          <w:tcPr>
            <w:tcW w:w="45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450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500" w:type="dxa"/>
            <w:vAlign w:val="bottom"/>
          </w:tcPr>
          <w:p>
            <w:pPr>
              <w:ind w:left="160"/>
              <w:spacing w:after="0"/>
              <w:rPr>
                <w:sz w:val="20"/>
                <w:szCs w:val="20"/>
                <w:color w:val="auto"/>
              </w:rPr>
            </w:pPr>
            <w:r>
              <w:rPr>
                <w:rFonts w:ascii="Arial" w:cs="Arial" w:eastAsia="Arial" w:hAnsi="Arial"/>
                <w:sz w:val="18"/>
                <w:szCs w:val="18"/>
                <w:color w:val="auto"/>
              </w:rPr>
              <w:t>Other operating items, net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9,828</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3,145</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Pension settlement charge</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60" w:type="dxa"/>
            <w:vAlign w:val="bottom"/>
            <w:gridSpan w:val="3"/>
          </w:tcPr>
          <w:p>
            <w:pPr>
              <w:ind w:left="20"/>
              <w:spacing w:after="0"/>
              <w:rPr>
                <w:sz w:val="20"/>
                <w:szCs w:val="20"/>
                <w:color w:val="auto"/>
              </w:rPr>
            </w:pPr>
            <w:r>
              <w:rPr>
                <w:rFonts w:ascii="Arial" w:cs="Arial" w:eastAsia="Arial" w:hAnsi="Arial"/>
                <w:sz w:val="18"/>
                <w:szCs w:val="18"/>
                <w:color w:val="auto"/>
                <w:w w:val="95"/>
              </w:rPr>
              <w:t>Earnings (loss) from continuing operations before income taxes and equity in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earnings (loss) of investee companies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3,647</w:t>
            </w:r>
          </w:p>
        </w:tc>
        <w:tc>
          <w:tcPr>
            <w:tcW w:w="2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(2,897)</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(2,897)</w:t>
            </w: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2,243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34"/>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2,212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34"/>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0"/>
        </w:trPr>
        <w:tc>
          <w:tcPr>
            <w:tcW w:w="4500" w:type="dxa"/>
            <w:vAlign w:val="bottom"/>
          </w:tcPr>
          <w:p>
            <w:pPr>
              <w:spacing w:after="0"/>
              <w:rPr>
                <w:sz w:val="24"/>
                <w:szCs w:val="24"/>
                <w:color w:val="auto"/>
              </w:rPr>
            </w:pPr>
          </w:p>
        </w:tc>
        <w:tc>
          <w:tcPr>
            <w:tcW w:w="2300" w:type="dxa"/>
            <w:vAlign w:val="bottom"/>
            <w:gridSpan w:val="3"/>
          </w:tcPr>
          <w:p>
            <w:pPr>
              <w:jc w:val="right"/>
              <w:ind w:right="791"/>
              <w:spacing w:after="0"/>
              <w:rPr>
                <w:sz w:val="20"/>
                <w:szCs w:val="20"/>
                <w:color w:val="auto"/>
              </w:rPr>
            </w:pPr>
            <w:r>
              <w:rPr>
                <w:rFonts w:ascii="Arial" w:cs="Arial" w:eastAsia="Arial" w:hAnsi="Arial"/>
                <w:sz w:val="18"/>
                <w:szCs w:val="18"/>
                <w:color w:val="auto"/>
              </w:rPr>
              <w:t>II-105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400" w:right="239" w:bottom="1440" w:gutter="0" w:footer="0" w:header="0"/>
        </w:sectPr>
      </w:pPr>
    </w:p>
    <w:bookmarkStart w:id="140" w:name="page141"/>
    <w:bookmarkEnd w:id="140"/>
    <w:p>
      <w:pPr>
        <w:ind w:left="37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719518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7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w w:val="92"/>
              </w:rPr>
              <w:t>At December 31, 2018</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CBS</w:t>
            </w:r>
          </w:p>
        </w:tc>
        <w:tc>
          <w:tcPr>
            <w:tcW w:w="440" w:type="dxa"/>
            <w:vAlign w:val="bottom"/>
          </w:tcPr>
          <w:p>
            <w:pPr>
              <w:spacing w:after="0"/>
              <w:rPr>
                <w:sz w:val="12"/>
                <w:szCs w:val="12"/>
                <w:color w:val="auto"/>
              </w:rPr>
            </w:pPr>
          </w:p>
        </w:tc>
        <w:tc>
          <w:tcPr>
            <w:tcW w:w="1040" w:type="dxa"/>
            <w:vAlign w:val="bottom"/>
          </w:tcPr>
          <w:p>
            <w:pPr>
              <w:jc w:val="center"/>
              <w:ind w:right="251"/>
              <w:spacing w:after="0" w:line="147"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w w:val="99"/>
              </w:rPr>
              <w:t>CBS Corp.</w:t>
            </w: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440" w:type="dxa"/>
            <w:vAlign w:val="bottom"/>
          </w:tcPr>
          <w:p>
            <w:pPr>
              <w:spacing w:after="0"/>
              <w:rPr>
                <w:sz w:val="12"/>
                <w:szCs w:val="12"/>
                <w:color w:val="auto"/>
              </w:rPr>
            </w:pPr>
          </w:p>
        </w:tc>
        <w:tc>
          <w:tcPr>
            <w:tcW w:w="1040" w:type="dxa"/>
            <w:vAlign w:val="bottom"/>
          </w:tcPr>
          <w:p>
            <w:pPr>
              <w:jc w:val="center"/>
              <w:ind w:right="251"/>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w w:val="96"/>
              </w:rPr>
              <w:t>Eliminations</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4"/>
              </w:rPr>
              <w:t>Affiliates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4,013</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Programming and other inventory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1,984</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6,481</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2,672</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Net property and equipment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Programming and other inventory</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3,874</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4,760</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2,638</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Investments in consolidated subsidiaries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47,600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16,901</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(64,501)</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2,143</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31,686</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(32,212)</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48,259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52,768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(96,749)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21,859</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9"/>
                <w:szCs w:val="19"/>
                <w:color w:val="auto"/>
              </w:rPr>
              <w:t>’</w:t>
            </w:r>
            <w:r>
              <w:rPr>
                <w:rFonts w:ascii="Arial" w:cs="Arial" w:eastAsia="Arial" w:hAnsi="Arial"/>
                <w:sz w:val="18"/>
                <w:szCs w:val="18"/>
                <w:b w:val="1"/>
                <w:bCs w:val="1"/>
                <w:color w:val="auto"/>
              </w:rPr>
              <w:t xml:space="preserve"> Equity</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88"/>
        </w:trPr>
        <w:tc>
          <w:tcPr>
            <w:tcW w:w="5120" w:type="dxa"/>
            <w:vAlign w:val="bottom"/>
          </w:tcPr>
          <w:p>
            <w:pPr>
              <w:ind w:left="40"/>
              <w:spacing w:after="0"/>
              <w:rPr>
                <w:sz w:val="20"/>
                <w:szCs w:val="20"/>
                <w:color w:val="auto"/>
              </w:rPr>
            </w:pPr>
            <w:r>
              <w:rPr>
                <w:rFonts w:ascii="Arial" w:cs="Arial" w:eastAsia="Arial" w:hAnsi="Arial"/>
                <w:sz w:val="18"/>
                <w:szCs w:val="18"/>
                <w:color w:val="auto"/>
              </w:rPr>
              <w:t>Participants</w:t>
            </w:r>
            <w:r>
              <w:rPr>
                <w:rFonts w:ascii="Arial" w:cs="Arial" w:eastAsia="Arial" w:hAnsi="Arial"/>
                <w:sz w:val="19"/>
                <w:szCs w:val="19"/>
                <w:color w:val="auto"/>
              </w:rPr>
              <w:t>’</w:t>
            </w:r>
            <w:r>
              <w:rPr>
                <w:rFonts w:ascii="Arial" w:cs="Arial" w:eastAsia="Arial" w:hAnsi="Arial"/>
                <w:sz w:val="18"/>
                <w:szCs w:val="18"/>
                <w:color w:val="auto"/>
              </w:rPr>
              <w:t xml:space="preserve"> share and royalties payable</w:t>
            </w:r>
          </w:p>
        </w:tc>
        <w:tc>
          <w:tcPr>
            <w:tcW w:w="14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1,177</w:t>
            </w:r>
          </w:p>
        </w:tc>
        <w:tc>
          <w:tcPr>
            <w:tcW w:w="18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66"/>
        </w:trPr>
        <w:tc>
          <w:tcPr>
            <w:tcW w:w="5120" w:type="dxa"/>
            <w:vAlign w:val="bottom"/>
          </w:tcPr>
          <w:p>
            <w:pPr>
              <w:ind w:left="40"/>
              <w:spacing w:after="0"/>
              <w:rPr>
                <w:sz w:val="20"/>
                <w:szCs w:val="20"/>
                <w:color w:val="auto"/>
              </w:rPr>
            </w:pPr>
            <w:r>
              <w:rPr>
                <w:rFonts w:ascii="Arial" w:cs="Arial" w:eastAsia="Arial" w:hAnsi="Arial"/>
                <w:sz w:val="18"/>
                <w:szCs w:val="18"/>
                <w:color w:val="auto"/>
              </w:rPr>
              <w:t>Accrued programming and production costs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1,137</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3,190</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9,388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32,212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(32,212)</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43,637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60,894</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(60,894)</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43,637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(17,201)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17,214</w:t>
            </w:r>
          </w:p>
        </w:tc>
        <w:tc>
          <w:tcPr>
            <w:tcW w:w="44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(9,381)</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(7,833)</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25,662</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17,359</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52,273</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(69,632)</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25,662</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Less treasury stock, at cost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22,858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(5,131)</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22,858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8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9"/>
                <w:szCs w:val="19"/>
                <w:color w:val="auto"/>
              </w:rPr>
              <w:t>’</w:t>
            </w:r>
            <w:r>
              <w:rPr>
                <w:rFonts w:ascii="Arial" w:cs="Arial" w:eastAsia="Arial" w:hAnsi="Arial"/>
                <w:sz w:val="18"/>
                <w:szCs w:val="18"/>
                <w:color w:val="auto"/>
              </w:rPr>
              <w:t xml:space="preserve"> Equity</w:t>
            </w:r>
          </w:p>
        </w:tc>
        <w:tc>
          <w:tcPr>
            <w:tcW w:w="14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2,804</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17,028</w:t>
            </w:r>
          </w:p>
        </w:tc>
        <w:tc>
          <w:tcPr>
            <w:tcW w:w="440" w:type="dxa"/>
            <w:vAlign w:val="bottom"/>
          </w:tcPr>
          <w:p>
            <w:pPr>
              <w:spacing w:after="0"/>
              <w:rPr>
                <w:sz w:val="22"/>
                <w:szCs w:val="22"/>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47,473</w:t>
            </w:r>
          </w:p>
        </w:tc>
        <w:tc>
          <w:tcPr>
            <w:tcW w:w="18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(64,501)</w:t>
            </w: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40"/>
              <w:spacing w:after="0"/>
              <w:rPr>
                <w:sz w:val="20"/>
                <w:szCs w:val="20"/>
                <w:color w:val="auto"/>
              </w:rPr>
            </w:pPr>
            <w:r>
              <w:rPr>
                <w:rFonts w:ascii="Arial" w:cs="Arial" w:eastAsia="Arial" w:hAnsi="Arial"/>
                <w:sz w:val="18"/>
                <w:szCs w:val="18"/>
                <w:color w:val="auto"/>
              </w:rPr>
              <w:t>Total Liabilities and Stockholders</w:t>
            </w:r>
            <w:r>
              <w:rPr>
                <w:rFonts w:ascii="Arial" w:cs="Arial" w:eastAsia="Arial" w:hAnsi="Arial"/>
                <w:sz w:val="19"/>
                <w:szCs w:val="19"/>
                <w:color w:val="auto"/>
              </w:rPr>
              <w:t>’</w:t>
            </w:r>
            <w:r>
              <w:rPr>
                <w:rFonts w:ascii="Arial" w:cs="Arial" w:eastAsia="Arial" w:hAnsi="Arial"/>
                <w:sz w:val="18"/>
                <w:szCs w:val="18"/>
                <w:color w:val="auto"/>
              </w:rPr>
              <w:t xml:space="preserve">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48,259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52,768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(96,749)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21,859</w:t>
            </w:r>
          </w:p>
        </w:tc>
        <w:tc>
          <w:tcPr>
            <w:tcW w:w="0" w:type="dxa"/>
            <w:vAlign w:val="bottom"/>
          </w:tcPr>
          <w:p>
            <w:pPr>
              <w:spacing w:after="0"/>
              <w:rPr>
                <w:sz w:val="1"/>
                <w:szCs w:val="1"/>
                <w:color w:val="auto"/>
              </w:rPr>
            </w:pPr>
          </w:p>
        </w:tc>
      </w:tr>
      <w:tr>
        <w:trPr>
          <w:trHeight w:val="30"/>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400" w:right="27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II-106</w:t>
      </w:r>
    </w:p>
    <w:p>
      <w:pPr>
        <w:sectPr>
          <w:pgSz w:w="11900" w:h="16838" w:orient="portrait"/>
          <w:cols w:equalWidth="0" w:num="1">
            <w:col w:w="11340"/>
          </w:cols>
          <w:pgMar w:left="280" w:top="400" w:right="279" w:bottom="1440" w:gutter="0" w:footer="0" w:header="0"/>
          <w:type w:val="continuous"/>
        </w:sectPr>
      </w:pPr>
    </w:p>
    <w:bookmarkStart w:id="141" w:name="page142"/>
    <w:bookmarkEnd w:id="141"/>
    <w:p>
      <w:pPr>
        <w:ind w:left="37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719518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7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w w:val="92"/>
              </w:rPr>
              <w:t>At December 31, 2017</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CBS</w:t>
            </w:r>
          </w:p>
        </w:tc>
        <w:tc>
          <w:tcPr>
            <w:tcW w:w="440" w:type="dxa"/>
            <w:vAlign w:val="bottom"/>
          </w:tcPr>
          <w:p>
            <w:pPr>
              <w:spacing w:after="0"/>
              <w:rPr>
                <w:sz w:val="12"/>
                <w:szCs w:val="12"/>
                <w:color w:val="auto"/>
              </w:rPr>
            </w:pPr>
          </w:p>
        </w:tc>
        <w:tc>
          <w:tcPr>
            <w:tcW w:w="1040" w:type="dxa"/>
            <w:vAlign w:val="bottom"/>
          </w:tcPr>
          <w:p>
            <w:pPr>
              <w:jc w:val="center"/>
              <w:ind w:right="251"/>
              <w:spacing w:after="0" w:line="147"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w w:val="99"/>
              </w:rPr>
              <w:t>CBS Corp.</w:t>
            </w: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440" w:type="dxa"/>
            <w:vAlign w:val="bottom"/>
          </w:tcPr>
          <w:p>
            <w:pPr>
              <w:spacing w:after="0"/>
              <w:rPr>
                <w:sz w:val="12"/>
                <w:szCs w:val="12"/>
                <w:color w:val="auto"/>
              </w:rPr>
            </w:pPr>
          </w:p>
        </w:tc>
        <w:tc>
          <w:tcPr>
            <w:tcW w:w="1040" w:type="dxa"/>
            <w:vAlign w:val="bottom"/>
          </w:tcPr>
          <w:p>
            <w:pPr>
              <w:jc w:val="center"/>
              <w:ind w:right="251"/>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w w:val="96"/>
              </w:rPr>
              <w:t>Eliminations</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4"/>
              </w:rPr>
              <w:t>Affiliates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3,666</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Programming and other inventory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5,941</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1,511</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Net property and equipment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Programming and other inventory</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2,874</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4,731</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2,666</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Investments in consolidated subsidiaries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45,504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15,385</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(60,889)</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2,685</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1,221</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29,562</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(30,783)</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46,124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16,764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49,663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(91,708)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9"/>
                <w:szCs w:val="19"/>
                <w:color w:val="auto"/>
              </w:rPr>
              <w:t>’</w:t>
            </w:r>
            <w:r>
              <w:rPr>
                <w:rFonts w:ascii="Arial" w:cs="Arial" w:eastAsia="Arial" w:hAnsi="Arial"/>
                <w:sz w:val="18"/>
                <w:szCs w:val="18"/>
                <w:b w:val="1"/>
                <w:bCs w:val="1"/>
                <w:color w:val="auto"/>
              </w:rPr>
              <w:t xml:space="preserve"> Equity</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Participants’ share and royalties payable</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Accrued programming and production costs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9,378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2,947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2,248</w:t>
            </w:r>
          </w:p>
        </w:tc>
        <w:tc>
          <w:tcPr>
            <w:tcW w:w="18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30,783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(30,783)</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5120" w:type="dxa"/>
            <w:vAlign w:val="bottom"/>
          </w:tcPr>
          <w:p>
            <w:pPr>
              <w:ind w:left="40"/>
              <w:spacing w:after="0"/>
              <w:rPr>
                <w:sz w:val="20"/>
                <w:szCs w:val="20"/>
                <w:color w:val="auto"/>
              </w:rPr>
            </w:pPr>
            <w:r>
              <w:rPr>
                <w:rFonts w:ascii="Arial" w:cs="Arial" w:eastAsia="Arial" w:hAnsi="Arial"/>
                <w:sz w:val="18"/>
                <w:szCs w:val="18"/>
                <w:color w:val="auto"/>
              </w:rPr>
              <w:t>Stockholders</w:t>
            </w:r>
            <w:r>
              <w:rPr>
                <w:rFonts w:ascii="Arial" w:cs="Arial" w:eastAsia="Arial" w:hAnsi="Arial"/>
                <w:sz w:val="19"/>
                <w:szCs w:val="19"/>
                <w:color w:val="auto"/>
              </w:rPr>
              <w:t>’</w:t>
            </w:r>
            <w:r>
              <w:rPr>
                <w:rFonts w:ascii="Arial" w:cs="Arial" w:eastAsia="Arial" w:hAnsi="Arial"/>
                <w:sz w:val="18"/>
                <w:szCs w:val="18"/>
                <w:color w:val="auto"/>
              </w:rPr>
              <w:t xml:space="preserve">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43,797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60,894</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(60,894)</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43,797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(18,900)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16,417</w:t>
            </w:r>
          </w:p>
        </w:tc>
        <w:tc>
          <w:tcPr>
            <w:tcW w:w="44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(4,193)</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24,236</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16,558</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49,462</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(66,020)</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24,236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Less treasury stock, at cost</w:t>
            </w:r>
          </w:p>
        </w:tc>
        <w:tc>
          <w:tcPr>
            <w:tcW w:w="14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22,258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(5,131)</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22,258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1,978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16,227</w:t>
            </w:r>
          </w:p>
        </w:tc>
        <w:tc>
          <w:tcPr>
            <w:tcW w:w="44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44,662</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(60,889)</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40"/>
              <w:spacing w:after="0"/>
              <w:rPr>
                <w:sz w:val="20"/>
                <w:szCs w:val="20"/>
                <w:color w:val="auto"/>
              </w:rPr>
            </w:pPr>
            <w:r>
              <w:rPr>
                <w:rFonts w:ascii="Arial" w:cs="Arial" w:eastAsia="Arial" w:hAnsi="Arial"/>
                <w:sz w:val="18"/>
                <w:szCs w:val="18"/>
                <w:color w:val="auto"/>
              </w:rPr>
              <w:t>Total Liabilities and Stockholders</w:t>
            </w:r>
            <w:r>
              <w:rPr>
                <w:rFonts w:ascii="Arial" w:cs="Arial" w:eastAsia="Arial" w:hAnsi="Arial"/>
                <w:sz w:val="19"/>
                <w:szCs w:val="19"/>
                <w:color w:val="auto"/>
              </w:rPr>
              <w:t>’</w:t>
            </w:r>
            <w:r>
              <w:rPr>
                <w:rFonts w:ascii="Arial" w:cs="Arial" w:eastAsia="Arial" w:hAnsi="Arial"/>
                <w:sz w:val="18"/>
                <w:szCs w:val="18"/>
                <w:color w:val="auto"/>
              </w:rPr>
              <w:t xml:space="preserve">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46,124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16,764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49,663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(91,708)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30"/>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400" w:right="2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II-107</w:t>
      </w:r>
    </w:p>
    <w:p>
      <w:pPr>
        <w:sectPr>
          <w:pgSz w:w="11900" w:h="16838" w:orient="portrait"/>
          <w:cols w:equalWidth="0" w:num="1">
            <w:col w:w="11340"/>
          </w:cols>
          <w:pgMar w:left="280" w:top="400" w:right="279" w:bottom="1440" w:gutter="0" w:footer="0" w:header="0"/>
          <w:type w:val="continuous"/>
        </w:sectPr>
      </w:pPr>
    </w:p>
    <w:bookmarkStart w:id="142" w:name="page143"/>
    <w:bookmarkEnd w:id="142"/>
    <w:p>
      <w:pPr>
        <w:ind w:left="37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719518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89"/>
              </w:rPr>
              <w:t>Statement of Cash Flows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90"/>
              </w:rPr>
              <w:t>For the Year Ended December 31, 2018</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152"/>
              <w:spacing w:after="0" w:line="147" w:lineRule="exact"/>
              <w:rPr>
                <w:sz w:val="20"/>
                <w:szCs w:val="20"/>
                <w:color w:val="auto"/>
              </w:rPr>
            </w:pPr>
            <w:r>
              <w:rPr>
                <w:rFonts w:ascii="Arial" w:cs="Arial" w:eastAsia="Arial" w:hAnsi="Arial"/>
                <w:sz w:val="14"/>
                <w:szCs w:val="14"/>
                <w:b w:val="1"/>
                <w:bCs w:val="1"/>
                <w:color w:val="auto"/>
                <w:w w:val="94"/>
              </w:rPr>
              <w:t>CBS</w:t>
            </w:r>
          </w:p>
        </w:tc>
        <w:tc>
          <w:tcPr>
            <w:tcW w:w="280" w:type="dxa"/>
            <w:vAlign w:val="bottom"/>
          </w:tcPr>
          <w:p>
            <w:pPr>
              <w:spacing w:after="0"/>
              <w:rPr>
                <w:sz w:val="12"/>
                <w:szCs w:val="12"/>
                <w:color w:val="auto"/>
              </w:rPr>
            </w:pPr>
          </w:p>
        </w:tc>
        <w:tc>
          <w:tcPr>
            <w:tcW w:w="96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CBS Corp.</w:t>
            </w:r>
          </w:p>
        </w:tc>
        <w:tc>
          <w:tcPr>
            <w:tcW w:w="28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9"/>
              </w:rPr>
              <w:t>Inc.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4"/>
              </w:rPr>
              <w:t>Affiliates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2,152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Investments in and advances to investee companies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w w:val="92"/>
              </w:rPr>
              <w:t>Net cash flow used for investing activities from continuing operations</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investing activities from discontinued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investing activities</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Repayments of short-term debt borrowings, net</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Payment of capital lease obligations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Purchase of Company common stock</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Payment of payroll taxes in lieu of issuing shares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for stock-based compensation</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Increase (decrease) in intercompany payables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(1,767)</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financing activities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0"/>
              <w:spacing w:after="0"/>
              <w:rPr>
                <w:sz w:val="20"/>
                <w:szCs w:val="20"/>
                <w:color w:val="auto"/>
              </w:rPr>
            </w:pPr>
            <w:r>
              <w:rPr>
                <w:rFonts w:ascii="Arial" w:cs="Arial" w:eastAsia="Arial" w:hAnsi="Arial"/>
                <w:sz w:val="18"/>
                <w:szCs w:val="18"/>
                <w:b w:val="1"/>
                <w:bCs w:val="1"/>
                <w:color w:val="auto"/>
              </w:rPr>
              <w:t>Cash, cash equivalents and restricted cash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0"/>
              <w:spacing w:after="0"/>
              <w:rPr>
                <w:sz w:val="20"/>
                <w:szCs w:val="20"/>
                <w:color w:val="auto"/>
              </w:rPr>
            </w:pPr>
            <w:r>
              <w:rPr>
                <w:rFonts w:ascii="Arial" w:cs="Arial" w:eastAsia="Arial" w:hAnsi="Arial"/>
                <w:sz w:val="18"/>
                <w:szCs w:val="18"/>
                <w:b w:val="1"/>
                <w:bCs w:val="1"/>
                <w:color w:val="auto"/>
              </w:rPr>
              <w:t>end of year (includes $120 of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9"/>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II-108</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0" w:right="279" w:bottom="1440" w:gutter="0" w:footer="0" w:header="0"/>
        </w:sectPr>
      </w:pPr>
    </w:p>
    <w:bookmarkStart w:id="143" w:name="page144"/>
    <w:bookmarkEnd w:id="143"/>
    <w:p>
      <w:pPr>
        <w:ind w:left="37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719518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89"/>
              </w:rPr>
              <w:t>Statement of Cash Flows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90"/>
              </w:rPr>
              <w:t>For the Year Ended December 31, 2017</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152"/>
              <w:spacing w:after="0" w:line="147" w:lineRule="exact"/>
              <w:rPr>
                <w:sz w:val="20"/>
                <w:szCs w:val="20"/>
                <w:color w:val="auto"/>
              </w:rPr>
            </w:pPr>
            <w:r>
              <w:rPr>
                <w:rFonts w:ascii="Arial" w:cs="Arial" w:eastAsia="Arial" w:hAnsi="Arial"/>
                <w:sz w:val="14"/>
                <w:szCs w:val="14"/>
                <w:b w:val="1"/>
                <w:bCs w:val="1"/>
                <w:color w:val="auto"/>
                <w:w w:val="94"/>
              </w:rPr>
              <w:t>CBS</w:t>
            </w:r>
          </w:p>
        </w:tc>
        <w:tc>
          <w:tcPr>
            <w:tcW w:w="280" w:type="dxa"/>
            <w:vAlign w:val="bottom"/>
          </w:tcPr>
          <w:p>
            <w:pPr>
              <w:spacing w:after="0"/>
              <w:rPr>
                <w:sz w:val="12"/>
                <w:szCs w:val="12"/>
                <w:color w:val="auto"/>
              </w:rPr>
            </w:pPr>
          </w:p>
        </w:tc>
        <w:tc>
          <w:tcPr>
            <w:tcW w:w="96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CBS Corp.</w:t>
            </w:r>
          </w:p>
        </w:tc>
        <w:tc>
          <w:tcPr>
            <w:tcW w:w="28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9"/>
              </w:rPr>
              <w:t>Inc.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4"/>
              </w:rPr>
              <w:t>Affiliates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2,581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Investments in and advances to investee companies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Acquisitions (including acquired television library),</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net of cash acquired</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dispositions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investing activities from</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investing activities from</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investing activities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short-term debt borrowings, net</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issuance of senior notes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Repayment of senior notes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(1,244)</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debt borrowings of CBS Radio</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Repayment of debt borrowings of CBS Radio</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Payment of capital lease obligations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Purchase of Company common stock</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(1,111)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Payment of payroll taxes in lieu of issuing shares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for stock-based compensation</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Increase (decrease) in intercompany payables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1,968</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(2,207)</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financing activities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1,320</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(2,236)</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(includes $24 of discontinued operations cash)</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9"/>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II-109</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0" w:right="279" w:bottom="1440" w:gutter="0" w:footer="0" w:header="0"/>
        </w:sectPr>
      </w:pPr>
    </w:p>
    <w:bookmarkStart w:id="144" w:name="page145"/>
    <w:bookmarkEnd w:id="144"/>
    <w:p>
      <w:pPr>
        <w:ind w:left="374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719518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89"/>
              </w:rPr>
              <w:t>Statement of Cash Flows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5"/>
          </w:tcPr>
          <w:p>
            <w:pPr>
              <w:jc w:val="center"/>
              <w:ind w:right="31"/>
              <w:spacing w:after="0"/>
              <w:rPr>
                <w:sz w:val="20"/>
                <w:szCs w:val="20"/>
                <w:color w:val="auto"/>
              </w:rPr>
            </w:pPr>
            <w:r>
              <w:rPr>
                <w:rFonts w:ascii="Arial" w:cs="Arial" w:eastAsia="Arial" w:hAnsi="Arial"/>
                <w:sz w:val="18"/>
                <w:szCs w:val="18"/>
                <w:b w:val="1"/>
                <w:bCs w:val="1"/>
                <w:color w:val="auto"/>
                <w:w w:val="90"/>
              </w:rPr>
              <w:t>For the Year Ended December 31, 2016</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152"/>
              <w:spacing w:after="0" w:line="147" w:lineRule="exact"/>
              <w:rPr>
                <w:sz w:val="20"/>
                <w:szCs w:val="20"/>
                <w:color w:val="auto"/>
              </w:rPr>
            </w:pPr>
            <w:r>
              <w:rPr>
                <w:rFonts w:ascii="Arial" w:cs="Arial" w:eastAsia="Arial" w:hAnsi="Arial"/>
                <w:sz w:val="14"/>
                <w:szCs w:val="14"/>
                <w:b w:val="1"/>
                <w:bCs w:val="1"/>
                <w:color w:val="auto"/>
                <w:w w:val="94"/>
              </w:rPr>
              <w:t>CBS</w:t>
            </w:r>
          </w:p>
        </w:tc>
        <w:tc>
          <w:tcPr>
            <w:tcW w:w="280" w:type="dxa"/>
            <w:vAlign w:val="bottom"/>
          </w:tcPr>
          <w:p>
            <w:pPr>
              <w:spacing w:after="0"/>
              <w:rPr>
                <w:sz w:val="12"/>
                <w:szCs w:val="12"/>
                <w:color w:val="auto"/>
              </w:rPr>
            </w:pPr>
          </w:p>
        </w:tc>
        <w:tc>
          <w:tcPr>
            <w:tcW w:w="96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CBS Corp.</w:t>
            </w:r>
          </w:p>
        </w:tc>
        <w:tc>
          <w:tcPr>
            <w:tcW w:w="28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9"/>
              </w:rPr>
              <w:t>Inc.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4"/>
              </w:rPr>
              <w:t>Affiliates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2,688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Investments in and advances to investee companies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dispositions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investing activities from</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used for investing activities from discontinued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investing activities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short-term debt borrowings, net</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issuance of senior notes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Repayment of senior debentures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debt borrowings of CBS Radio</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1,452</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Repayment of debt borrowings of CBS Radio</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Payment of capital lease obligations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Purchase of Company common stock</w:t>
            </w:r>
          </w:p>
        </w:tc>
        <w:tc>
          <w:tcPr>
            <w:tcW w:w="1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(2,997)</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Payment of payroll taxes in lieu of issuing shares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for stock-based compensation</w:t>
            </w:r>
          </w:p>
        </w:tc>
        <w:tc>
          <w:tcPr>
            <w:tcW w:w="14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8"/>
                <w:szCs w:val="18"/>
                <w:color w:val="auto"/>
              </w:rPr>
              <w:t>Increase (decrease) in intercompany payables</w:t>
            </w:r>
          </w:p>
        </w:tc>
        <w:tc>
          <w:tcPr>
            <w:tcW w:w="14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3,259</w:t>
            </w:r>
          </w:p>
        </w:tc>
        <w:tc>
          <w:tcPr>
            <w:tcW w:w="28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(3,449)</w:t>
            </w:r>
          </w:p>
        </w:tc>
        <w:tc>
          <w:tcPr>
            <w:tcW w:w="260" w:type="dxa"/>
            <w:vAlign w:val="bottom"/>
          </w:tcPr>
          <w:p>
            <w:pPr>
              <w:spacing w:after="0"/>
              <w:rPr>
                <w:sz w:val="23"/>
                <w:szCs w:val="23"/>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flow provided by (used for) financing activities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(2,125)</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6"/>
        </w:trPr>
        <w:tc>
          <w:tcPr>
            <w:tcW w:w="512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(includes $6 of discontinued operations cash)</w:t>
            </w:r>
          </w:p>
        </w:tc>
        <w:tc>
          <w:tcPr>
            <w:tcW w:w="14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year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0"/>
              <w:spacing w:after="0"/>
              <w:rPr>
                <w:sz w:val="20"/>
                <w:szCs w:val="20"/>
                <w:color w:val="auto"/>
              </w:rPr>
            </w:pPr>
            <w:r>
              <w:rPr>
                <w:rFonts w:ascii="Arial" w:cs="Arial" w:eastAsia="Arial" w:hAnsi="Arial"/>
                <w:sz w:val="18"/>
                <w:szCs w:val="18"/>
                <w:b w:val="1"/>
                <w:bCs w:val="1"/>
                <w:color w:val="auto"/>
              </w:rPr>
              <w:t>(includes $24 of discontinued operations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II-110</w:t>
      </w:r>
    </w:p>
    <w:p>
      <w:pPr>
        <w:sectPr>
          <w:pgSz w:w="11900" w:h="16838" w:orient="portrait"/>
          <w:cols w:equalWidth="0" w:num="1">
            <w:col w:w="11340"/>
          </w:cols>
          <w:pgMar w:left="280" w:top="400" w:right="279" w:bottom="1440" w:gutter="0" w:footer="0" w:header="0"/>
        </w:sectPr>
      </w:pPr>
    </w:p>
    <w:bookmarkStart w:id="145" w:name="page146"/>
    <w:bookmarkEnd w:id="145"/>
    <w:p>
      <w:pPr>
        <w:ind w:left="40"/>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9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8"/>
          <w:szCs w:val="18"/>
          <w:color w:val="auto"/>
        </w:rPr>
        <w:t>The Company’s chief executive officer and chief financial officer have concluded that, as of the end of the period covered by this report, the Company’s disclosure controls and procedures (as defined in Rule 13a-15(e) or 15d-15(e) of the Securities Exchange Act of 1934, as amended (“Exchange Act”)) were effective, based on the evaluation of these controls and procedures required by Rule 13a-15(b) or 15d-15(b) of the Exchange Act. No change in the Company’s internal control over financial reporting occurred during the Company’s fourth fiscal quarter that has materially affected, or is reasonably likely to materially affect, the Company’s internal control over financial reporting.</w:t>
      </w:r>
    </w:p>
    <w:p>
      <w:pPr>
        <w:spacing w:after="0" w:line="21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Management’s report on internal control over financial reporting and the report of the Company’s independent registered public accounting firm thereon are set forth in Item 8, on pages II-49 and II-50, of this report.</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II-111</w:t>
      </w:r>
    </w:p>
    <w:p>
      <w:pPr>
        <w:sectPr>
          <w:pgSz w:w="11900" w:h="16838" w:orient="portrait"/>
          <w:cols w:equalWidth="0" w:num="1">
            <w:col w:w="11420"/>
          </w:cols>
          <w:pgMar w:left="240" w:top="792"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information required by this item with respect to the Company’s directors is contained in the CBS Corporation Proxy Statement for the Company’s 2019 Annual Meeting of Stockholders (the “Proxy Statement”) under the headings “CBS Corporation’s Board of Directors,” “Item 1—Election of Directors,” and “Section 16(a) Beneficial Ownership Reporting Compliance,” which information is incorporated herein by reference.</w:t>
      </w:r>
    </w:p>
    <w:p>
      <w:pPr>
        <w:spacing w:after="0" w:line="2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 information required by this item with respect to the Company’s executive officers is (i) contained in the Proxy Statement under the headings “Corporate Governance” and “Section 16(a) Beneficial Ownership Reporting Compliance” and (ii) included in Part I of this Form 10-K under the caption “Executive Officers of the Company,” which information is incorporated herein by reference.</w:t>
      </w: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information required by this item is contained in the Proxy Statement under the headings “CBS Corporation’s Board of Directors,” “Director Compensation,” “Executive Compensation,” “Compensation Discussion and Analysis” and “Compensation Committee Report,” which information is incorporated herein by reference.</w:t>
      </w:r>
    </w:p>
    <w:p>
      <w:pPr>
        <w:spacing w:after="0" w:line="200" w:lineRule="exact"/>
        <w:rPr>
          <w:sz w:val="20"/>
          <w:szCs w:val="20"/>
          <w:color w:val="auto"/>
        </w:rPr>
      </w:pPr>
    </w:p>
    <w:p>
      <w:pPr>
        <w:spacing w:after="0" w:line="33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information required by this item is contained in the Proxy Statement under the headings “Related Person Transactions” and “CBS Corporation’s Board of Directors,” which information is incorporated herein by reference.</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Accounting Fees and Services.</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information required by this item is contained in the Proxy Statement under the heading “Fees for Services Provided by the Independent Registered Public Accounting Firm,” which information is incorporated herein by reference.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526"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i w:val="1"/>
          <w:iCs w:val="1"/>
          <w:color w:val="auto"/>
        </w:rPr>
        <w:t>Exhibits, Financial Statement Schedules.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135" w:lineRule="exact"/>
        <w:rPr>
          <w:sz w:val="20"/>
          <w:szCs w:val="20"/>
          <w:color w:val="auto"/>
        </w:rPr>
      </w:pPr>
    </w:p>
    <w:p>
      <w:pPr>
        <w:ind w:left="540" w:hanging="208"/>
        <w:spacing w:after="0"/>
        <w:tabs>
          <w:tab w:leader="none" w:pos="540" w:val="left"/>
        </w:tabs>
        <w:numPr>
          <w:ilvl w:val="0"/>
          <w:numId w:val="41"/>
        </w:numPr>
        <w:rPr>
          <w:rFonts w:ascii="Arial" w:cs="Arial" w:eastAsia="Arial" w:hAnsi="Arial"/>
          <w:sz w:val="20"/>
          <w:szCs w:val="20"/>
          <w:color w:val="auto"/>
        </w:rPr>
      </w:pPr>
      <w:r>
        <w:rPr>
          <w:rFonts w:ascii="Arial" w:cs="Arial" w:eastAsia="Arial" w:hAnsi="Arial"/>
          <w:sz w:val="20"/>
          <w:szCs w:val="20"/>
          <w:i w:val="1"/>
          <w:iCs w:val="1"/>
          <w:color w:val="auto"/>
        </w:rPr>
        <w:t>Financial Statements</w:t>
      </w:r>
      <w:r>
        <w:rPr>
          <w:rFonts w:ascii="Arial" w:cs="Arial" w:eastAsia="Arial" w:hAnsi="Arial"/>
          <w:sz w:val="20"/>
          <w:szCs w:val="20"/>
          <w:color w:val="auto"/>
        </w:rPr>
        <w:t>.</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financial statements of the Company filed as part of this report on Form 10-K are listed on the Index on page II-48.</w:t>
      </w:r>
    </w:p>
    <w:p>
      <w:pPr>
        <w:spacing w:after="0" w:line="270" w:lineRule="exact"/>
        <w:rPr>
          <w:sz w:val="20"/>
          <w:szCs w:val="20"/>
          <w:color w:val="auto"/>
        </w:rPr>
      </w:pPr>
    </w:p>
    <w:p>
      <w:pPr>
        <w:ind w:left="560" w:hanging="201"/>
        <w:spacing w:after="0"/>
        <w:tabs>
          <w:tab w:leader="none" w:pos="56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Financial Statement Schedules.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financial statement schedule required to be filed by Item 8 of this Form 10-K is listed on the Index on page II-48.</w:t>
      </w:r>
    </w:p>
    <w:p>
      <w:pPr>
        <w:spacing w:after="0" w:line="270" w:lineRule="exact"/>
        <w:rPr>
          <w:sz w:val="20"/>
          <w:szCs w:val="20"/>
          <w:color w:val="auto"/>
        </w:rPr>
      </w:pPr>
    </w:p>
    <w:p>
      <w:pPr>
        <w:ind w:left="560" w:hanging="201"/>
        <w:spacing w:after="0"/>
        <w:tabs>
          <w:tab w:leader="none" w:pos="560"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135"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9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135" w:lineRule="exact"/>
        <w:rPr>
          <w:sz w:val="20"/>
          <w:szCs w:val="20"/>
          <w:color w:val="auto"/>
        </w:rPr>
      </w:pPr>
    </w:p>
    <w:p>
      <w:pPr>
        <w:ind w:firstLine="432"/>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1420"/>
          </w:cols>
          <w:pgMar w:left="240" w:top="684" w:right="239" w:bottom="1440" w:gutter="0" w:footer="0" w:header="0"/>
        </w:sectPr>
      </w:pPr>
    </w:p>
    <w:bookmarkStart w:id="148" w:name="page149"/>
    <w:bookmarkEnd w:id="148"/>
    <w:p>
      <w:pPr>
        <w:ind w:left="3760"/>
        <w:spacing w:after="0"/>
        <w:rPr>
          <w:sz w:val="20"/>
          <w:szCs w:val="20"/>
          <w:color w:val="auto"/>
        </w:rPr>
      </w:pPr>
      <w:r>
        <w:rPr>
          <w:rFonts w:ascii="Arial" w:cs="Arial" w:eastAsia="Arial" w:hAnsi="Arial"/>
          <w:sz w:val="20"/>
          <w:szCs w:val="20"/>
          <w:b w:val="1"/>
          <w:bCs w:val="1"/>
          <w:color w:val="auto"/>
        </w:rPr>
        <w:t>CBS CORPORATION AND SUBSIDIARIES</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SCHEDULE II</w:t>
      </w:r>
      <w:r>
        <w:rPr>
          <w:rFonts w:ascii="Arial" w:cs="Arial" w:eastAsia="Arial" w:hAnsi="Arial"/>
          <w:sz w:val="20"/>
          <w:szCs w:val="20"/>
          <w:color w:val="auto"/>
        </w:rPr>
        <w:t>—</w:t>
      </w:r>
      <w:r>
        <w:rPr>
          <w:rFonts w:ascii="Arial" w:cs="Arial" w:eastAsia="Arial" w:hAnsi="Arial"/>
          <w:sz w:val="20"/>
          <w:szCs w:val="20"/>
          <w:b w:val="1"/>
          <w:bCs w:val="1"/>
          <w:color w:val="auto"/>
        </w:rPr>
        <w:t>VALUATION AND QUALIFYING ACCOUNTS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723773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ind w:left="1240"/>
              <w:spacing w:after="0"/>
              <w:rPr>
                <w:sz w:val="20"/>
                <w:szCs w:val="20"/>
                <w:color w:val="auto"/>
              </w:rPr>
            </w:pPr>
            <w:r>
              <w:rPr>
                <w:rFonts w:ascii="Arial" w:cs="Arial" w:eastAsia="Arial" w:hAnsi="Arial"/>
                <w:sz w:val="18"/>
                <w:szCs w:val="18"/>
                <w:b w:val="1"/>
                <w:bCs w:val="1"/>
                <w:color w:val="auto"/>
              </w:rPr>
              <w:t>Col. A</w:t>
            </w:r>
          </w:p>
        </w:tc>
        <w:tc>
          <w:tcPr>
            <w:tcW w:w="260" w:type="dxa"/>
            <w:vAlign w:val="bottom"/>
          </w:tcPr>
          <w:p>
            <w:pPr>
              <w:spacing w:after="0"/>
              <w:rPr>
                <w:sz w:val="20"/>
                <w:szCs w:val="20"/>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Col. B</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Col. C</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Col. D</w:t>
            </w:r>
          </w:p>
        </w:tc>
        <w:tc>
          <w:tcPr>
            <w:tcW w:w="22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Col. 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Balance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Charged to</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Description</w:t>
            </w: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Beginning of</w:t>
            </w:r>
          </w:p>
        </w:tc>
        <w:tc>
          <w:tcPr>
            <w:tcW w:w="340" w:type="dxa"/>
            <w:vAlign w:val="bottom"/>
          </w:tcPr>
          <w:p>
            <w:pPr>
              <w:spacing w:after="0"/>
              <w:rPr>
                <w:sz w:val="17"/>
                <w:szCs w:val="17"/>
                <w:color w:val="auto"/>
              </w:rPr>
            </w:pPr>
          </w:p>
        </w:tc>
        <w:tc>
          <w:tcPr>
            <w:tcW w:w="1020" w:type="dxa"/>
            <w:vAlign w:val="bottom"/>
          </w:tcPr>
          <w:p>
            <w:pPr>
              <w:jc w:val="center"/>
              <w:ind w:right="331"/>
              <w:spacing w:after="0"/>
              <w:rPr>
                <w:sz w:val="20"/>
                <w:szCs w:val="20"/>
                <w:color w:val="auto"/>
              </w:rPr>
            </w:pPr>
            <w:r>
              <w:rPr>
                <w:rFonts w:ascii="Arial" w:cs="Arial" w:eastAsia="Arial" w:hAnsi="Arial"/>
                <w:sz w:val="16"/>
                <w:szCs w:val="16"/>
                <w:b w:val="1"/>
                <w:bCs w:val="1"/>
                <w:color w:val="auto"/>
                <w:w w:val="92"/>
              </w:rPr>
              <w:t>through</w:t>
            </w: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Charged to Costs</w:t>
            </w:r>
          </w:p>
        </w:tc>
        <w:tc>
          <w:tcPr>
            <w:tcW w:w="30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Other</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Balance at End</w:t>
            </w: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2"/>
              </w:rPr>
              <w:t>Period</w:t>
            </w:r>
          </w:p>
        </w:tc>
        <w:tc>
          <w:tcPr>
            <w:tcW w:w="1360" w:type="dxa"/>
            <w:vAlign w:val="bottom"/>
            <w:gridSpan w:val="2"/>
          </w:tcPr>
          <w:p>
            <w:pPr>
              <w:jc w:val="center"/>
              <w:ind w:right="11"/>
              <w:spacing w:after="0"/>
              <w:rPr>
                <w:sz w:val="20"/>
                <w:szCs w:val="20"/>
                <w:color w:val="auto"/>
              </w:rPr>
            </w:pPr>
            <w:r>
              <w:rPr>
                <w:rFonts w:ascii="Arial" w:cs="Arial" w:eastAsia="Arial" w:hAnsi="Arial"/>
                <w:sz w:val="16"/>
                <w:szCs w:val="16"/>
                <w:b w:val="1"/>
                <w:bCs w:val="1"/>
                <w:color w:val="auto"/>
                <w:w w:val="89"/>
              </w:rPr>
              <w:t>Acquisitions</w:t>
            </w: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and Expenses</w:t>
            </w:r>
          </w:p>
        </w:tc>
        <w:tc>
          <w:tcPr>
            <w:tcW w:w="30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Accounts</w:t>
            </w:r>
          </w:p>
        </w:tc>
        <w:tc>
          <w:tcPr>
            <w:tcW w:w="1440" w:type="dxa"/>
            <w:vAlign w:val="bottom"/>
            <w:gridSpan w:val="3"/>
          </w:tcPr>
          <w:p>
            <w:pPr>
              <w:ind w:left="220"/>
              <w:spacing w:after="0"/>
              <w:rPr>
                <w:sz w:val="20"/>
                <w:szCs w:val="20"/>
                <w:color w:val="auto"/>
              </w:rPr>
            </w:pPr>
            <w:r>
              <w:rPr>
                <w:rFonts w:ascii="Arial" w:cs="Arial" w:eastAsia="Arial" w:hAnsi="Arial"/>
                <w:sz w:val="16"/>
                <w:szCs w:val="16"/>
                <w:b w:val="1"/>
                <w:bCs w:val="1"/>
                <w:color w:val="auto"/>
              </w:rPr>
              <w:t>Deductions</w:t>
            </w:r>
          </w:p>
        </w:tc>
        <w:tc>
          <w:tcPr>
            <w:tcW w:w="22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6"/>
                <w:szCs w:val="16"/>
                <w:b w:val="1"/>
                <w:bCs w:val="1"/>
                <w:color w:val="auto"/>
                <w:w w:val="92"/>
              </w:rPr>
              <w:t>of Period</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522"/>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allowance on deferred tax</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218</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143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540"/>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Reserves for inventory obsolescence: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4"/>
        </w:trPr>
        <w:tc>
          <w:tcPr>
            <w:tcW w:w="2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60" w:top="360" w:right="239" w:bottom="1440" w:gutter="0" w:footer="0" w:header="0"/>
        </w:sectPr>
      </w:pPr>
    </w:p>
    <w:bookmarkStart w:id="149" w:name="page150"/>
    <w:bookmarkEnd w:id="149"/>
    <w:p>
      <w:pPr>
        <w:jc w:val="center"/>
        <w:ind w:right="-1200"/>
        <w:spacing w:after="0"/>
        <w:rPr>
          <w:sz w:val="20"/>
          <w:szCs w:val="20"/>
          <w:color w:val="auto"/>
        </w:rPr>
      </w:pPr>
      <w:r>
        <w:rPr>
          <w:rFonts w:ascii="Arial" w:cs="Arial" w:eastAsia="Arial" w:hAnsi="Arial"/>
          <w:sz w:val="18"/>
          <w:szCs w:val="18"/>
          <w:b w:val="1"/>
          <w:bCs w:val="1"/>
          <w:color w:val="auto"/>
        </w:rPr>
        <w:t>INDEX TO EXHIBITS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ITEM 15(b)</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December 31, 2005, Former Viacom was renamed CBS Corporation.</w:t>
      </w:r>
    </w:p>
    <w:p>
      <w:pPr>
        <w:spacing w:after="0" w:line="298" w:lineRule="exact"/>
        <w:rPr>
          <w:sz w:val="20"/>
          <w:szCs w:val="20"/>
          <w:color w:val="auto"/>
        </w:rPr>
      </w:pPr>
    </w:p>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9" w:lineRule="exact"/>
        <w:rPr>
          <w:sz w:val="20"/>
          <w:szCs w:val="20"/>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67" w:lineRule="exact"/>
        <w:rPr>
          <w:rFonts w:ascii="Arial" w:cs="Arial" w:eastAsia="Arial" w:hAnsi="Arial"/>
          <w:sz w:val="18"/>
          <w:szCs w:val="18"/>
          <w:color w:val="auto"/>
        </w:rPr>
      </w:pPr>
    </w:p>
    <w:p>
      <w:pPr>
        <w:ind w:left="840" w:right="1139" w:hanging="400"/>
        <w:spacing w:after="0" w:line="221" w:lineRule="exact"/>
        <w:tabs>
          <w:tab w:leader="none" w:pos="8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Purchase and Sale Agreement dated as of December 10, 2018 among CBS Broadcasting Inc., Television City Equity, LLC and First American Title Insurance Company (incorporated by reference to </w:t>
      </w:r>
      <w:hyperlink r:id="rId176">
        <w:r>
          <w:rPr>
            <w:rFonts w:ascii="Arial" w:cs="Arial" w:eastAsia="Arial" w:hAnsi="Arial"/>
            <w:sz w:val="17"/>
            <w:szCs w:val="17"/>
            <w:u w:val="single" w:color="auto"/>
            <w:color w:val="0000FF"/>
          </w:rPr>
          <w:t>Exhibit 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Current Report on Form 8-K of CBS Corporation filed December 11, 2018)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36" w:lineRule="exact"/>
        <w:rPr>
          <w:rFonts w:ascii="Arial" w:cs="Arial" w:eastAsia="Arial" w:hAnsi="Arial"/>
          <w:sz w:val="17"/>
          <w:szCs w:val="17"/>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67" w:lineRule="exact"/>
        <w:rPr>
          <w:rFonts w:ascii="Arial" w:cs="Arial" w:eastAsia="Arial" w:hAnsi="Arial"/>
          <w:sz w:val="18"/>
          <w:szCs w:val="18"/>
          <w:color w:val="auto"/>
        </w:rPr>
      </w:pPr>
    </w:p>
    <w:p>
      <w:pPr>
        <w:ind w:left="840" w:right="1039" w:hanging="400"/>
        <w:spacing w:after="0" w:line="221" w:lineRule="exact"/>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CBS Corporation effective December 31, 2005 (incorporated by reference to </w:t>
      </w:r>
      <w:hyperlink r:id="rId177">
        <w:r>
          <w:rPr>
            <w:rFonts w:ascii="Arial" w:cs="Arial" w:eastAsia="Arial" w:hAnsi="Arial"/>
            <w:sz w:val="18"/>
            <w:szCs w:val="18"/>
            <w:u w:val="single" w:color="auto"/>
            <w:color w:val="0000FF"/>
          </w:rPr>
          <w:t>Exhibit 3(a)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2005)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39" w:lineRule="exact"/>
        <w:rPr>
          <w:rFonts w:ascii="Arial" w:cs="Arial" w:eastAsia="Arial" w:hAnsi="Arial"/>
          <w:sz w:val="18"/>
          <w:szCs w:val="18"/>
          <w:color w:val="auto"/>
        </w:rPr>
      </w:pPr>
    </w:p>
    <w:p>
      <w:pPr>
        <w:ind w:left="840" w:right="1379" w:hanging="400"/>
        <w:spacing w:after="0" w:line="224" w:lineRule="exact"/>
        <w:tabs>
          <w:tab w:leader="none" w:pos="8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Amended and Restated Bylaws of CBS Corporation (incorporated by reference to </w:t>
      </w:r>
      <w:hyperlink r:id="rId178">
        <w:r>
          <w:rPr>
            <w:rFonts w:ascii="Arial" w:cs="Arial" w:eastAsia="Arial" w:hAnsi="Arial"/>
            <w:sz w:val="16"/>
            <w:szCs w:val="16"/>
            <w:u w:val="single" w:color="auto"/>
            <w:color w:val="0000FF"/>
          </w:rPr>
          <w:t>Exhibit 3(b)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10-Q of CBS Corporation for the quarter ended September 30, 2018) (File No. 001</w:t>
      </w:r>
      <w:r>
        <w:rPr>
          <w:rFonts w:ascii="MS PGothic" w:cs="MS PGothic" w:eastAsia="MS PGothic" w:hAnsi="MS PGothic"/>
          <w:sz w:val="16"/>
          <w:szCs w:val="16"/>
          <w:color w:val="auto"/>
        </w:rPr>
        <w:t>‑</w:t>
      </w:r>
      <w:r>
        <w:rPr>
          <w:rFonts w:ascii="Arial" w:cs="Arial" w:eastAsia="Arial" w:hAnsi="Arial"/>
          <w:sz w:val="16"/>
          <w:szCs w:val="16"/>
          <w:color w:val="auto"/>
        </w:rPr>
        <w:t>09553).</w:t>
      </w:r>
    </w:p>
    <w:p>
      <w:pPr>
        <w:spacing w:after="0" w:line="36" w:lineRule="exact"/>
        <w:rPr>
          <w:rFonts w:ascii="Arial" w:cs="Arial" w:eastAsia="Arial" w:hAnsi="Arial"/>
          <w:sz w:val="16"/>
          <w:szCs w:val="16"/>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67" w:lineRule="exact"/>
        <w:rPr>
          <w:rFonts w:ascii="Arial" w:cs="Arial" w:eastAsia="Arial" w:hAnsi="Arial"/>
          <w:sz w:val="18"/>
          <w:szCs w:val="18"/>
          <w:color w:val="auto"/>
        </w:rPr>
      </w:pPr>
    </w:p>
    <w:p>
      <w:pPr>
        <w:ind w:left="840" w:right="1059" w:hanging="400"/>
        <w:spacing w:after="0" w:line="220" w:lineRule="exact"/>
        <w:tabs>
          <w:tab w:leader="none" w:pos="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79">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of CBS Corporation filed November 3, 2008 (Registration No. 333</w:t>
      </w:r>
      <w:r>
        <w:rPr>
          <w:rFonts w:ascii="MS PGothic" w:cs="MS PGothic" w:eastAsia="MS PGothic" w:hAnsi="MS PGothic"/>
          <w:sz w:val="18"/>
          <w:szCs w:val="18"/>
          <w:color w:val="auto"/>
        </w:rPr>
        <w:t>‑</w:t>
      </w:r>
      <w:r>
        <w:rPr>
          <w:rFonts w:ascii="Arial" w:cs="Arial" w:eastAsia="Arial" w:hAnsi="Arial"/>
          <w:sz w:val="18"/>
          <w:szCs w:val="18"/>
          <w:color w:val="auto"/>
        </w:rPr>
        <w:t>154962)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2" w:lineRule="exact"/>
        <w:rPr>
          <w:rFonts w:ascii="Arial" w:cs="Arial" w:eastAsia="Arial" w:hAnsi="Arial"/>
          <w:sz w:val="18"/>
          <w:szCs w:val="18"/>
          <w:color w:val="auto"/>
        </w:rPr>
      </w:pPr>
    </w:p>
    <w:p>
      <w:pPr>
        <w:ind w:left="840" w:right="1479" w:hanging="400"/>
        <w:spacing w:after="0" w:line="221" w:lineRule="exact"/>
        <w:tabs>
          <w:tab w:leader="none" w:pos="840" w:val="left"/>
        </w:tabs>
        <w:numPr>
          <w:ilvl w:val="1"/>
          <w:numId w:val="45"/>
        </w:numPr>
        <w:rPr>
          <w:rFonts w:ascii="Arial" w:cs="Arial" w:eastAsia="Arial" w:hAnsi="Arial"/>
          <w:sz w:val="16"/>
          <w:szCs w:val="16"/>
          <w:color w:val="0000FF"/>
        </w:rPr>
      </w:pPr>
      <w:r>
        <w:rPr>
          <w:rFonts w:ascii="Arial" w:cs="Arial" w:eastAsia="Arial" w:hAnsi="Arial"/>
          <w:sz w:val="16"/>
          <w:szCs w:val="16"/>
          <w:color w:val="auto"/>
        </w:rPr>
        <w:t xml:space="preserve">First Supplemental Indenture to 2008 Indenture dated as of April 5, 2010 among CBS Corporation, CBS Operations Inc., and Deutsche Bank Trust Company Americas, as senior trustee (incorporated by reference to </w:t>
      </w:r>
      <w:hyperlink r:id="rId180">
        <w:r>
          <w:rPr>
            <w:rFonts w:ascii="Arial" w:cs="Arial" w:eastAsia="Arial" w:hAnsi="Arial"/>
            <w:sz w:val="16"/>
            <w:szCs w:val="16"/>
            <w:u w:val="single" w:color="auto"/>
            <w:color w:val="0000FF"/>
          </w:rPr>
          <w:t>Exhibit 4.3</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Current Report on Form 8</w:t>
      </w:r>
      <w:r>
        <w:rPr>
          <w:rFonts w:ascii="MS PGothic" w:cs="MS PGothic" w:eastAsia="MS PGothic" w:hAnsi="MS PGothic"/>
          <w:sz w:val="16"/>
          <w:szCs w:val="16"/>
          <w:color w:val="000000"/>
        </w:rPr>
        <w:t>‑</w:t>
      </w:r>
      <w:r>
        <w:rPr>
          <w:rFonts w:ascii="Arial" w:cs="Arial" w:eastAsia="Arial" w:hAnsi="Arial"/>
          <w:sz w:val="16"/>
          <w:szCs w:val="16"/>
          <w:color w:val="000000"/>
        </w:rPr>
        <w:t>K of CBS Corporation filed April 5, 2010 (File No. 001</w:t>
      </w:r>
      <w:r>
        <w:rPr>
          <w:rFonts w:ascii="MS PGothic" w:cs="MS PGothic" w:eastAsia="MS PGothic" w:hAnsi="MS PGothic"/>
          <w:sz w:val="16"/>
          <w:szCs w:val="16"/>
          <w:color w:val="000000"/>
        </w:rPr>
        <w:t>‑</w:t>
      </w:r>
      <w:r>
        <w:rPr>
          <w:rFonts w:ascii="Arial" w:cs="Arial" w:eastAsia="Arial" w:hAnsi="Arial"/>
          <w:sz w:val="16"/>
          <w:szCs w:val="16"/>
          <w:color w:val="000000"/>
        </w:rPr>
        <w:t>09553).</w:t>
      </w:r>
    </w:p>
    <w:p>
      <w:pPr>
        <w:spacing w:after="0" w:line="39" w:lineRule="exact"/>
        <w:rPr>
          <w:rFonts w:ascii="Arial" w:cs="Arial" w:eastAsia="Arial" w:hAnsi="Arial"/>
          <w:sz w:val="16"/>
          <w:szCs w:val="16"/>
          <w:color w:val="0000FF"/>
        </w:rPr>
      </w:pPr>
    </w:p>
    <w:p>
      <w:pPr>
        <w:ind w:left="840" w:right="1359"/>
        <w:spacing w:after="0" w:line="221" w:lineRule="exact"/>
        <w:rPr>
          <w:rFonts w:ascii="Arial" w:cs="Arial" w:eastAsia="Arial" w:hAnsi="Arial"/>
          <w:sz w:val="16"/>
          <w:szCs w:val="16"/>
          <w:color w:val="0000FF"/>
        </w:rPr>
      </w:pPr>
      <w:r>
        <w:rPr>
          <w:rFonts w:ascii="Arial" w:cs="Arial" w:eastAsia="Arial" w:hAnsi="Arial"/>
          <w:sz w:val="16"/>
          <w:szCs w:val="16"/>
          <w:color w:val="auto"/>
        </w:rPr>
        <w:t>The other instruments defining the rights of holders of the long</w:t>
      </w:r>
      <w:r>
        <w:rPr>
          <w:rFonts w:ascii="MS PGothic" w:cs="MS PGothic" w:eastAsia="MS PGothic" w:hAnsi="MS PGothic"/>
          <w:sz w:val="16"/>
          <w:szCs w:val="16"/>
          <w:color w:val="auto"/>
        </w:rPr>
        <w:t>‑</w:t>
      </w:r>
      <w:r>
        <w:rPr>
          <w:rFonts w:ascii="Arial" w:cs="Arial" w:eastAsia="Arial" w:hAnsi="Arial"/>
          <w:sz w:val="16"/>
          <w:szCs w:val="16"/>
          <w:color w:val="auto"/>
        </w:rPr>
        <w:t>term debt securities of CBS Corporation and its subsidiaries are omitted pursuant to paragraph (b)(4)(iii)(A) of Item 601 of Regulation S</w:t>
      </w:r>
      <w:r>
        <w:rPr>
          <w:rFonts w:ascii="MS PGothic" w:cs="MS PGothic" w:eastAsia="MS PGothic" w:hAnsi="MS PGothic"/>
          <w:sz w:val="16"/>
          <w:szCs w:val="16"/>
          <w:color w:val="auto"/>
        </w:rPr>
        <w:t>‑</w:t>
      </w:r>
      <w:r>
        <w:rPr>
          <w:rFonts w:ascii="Arial" w:cs="Arial" w:eastAsia="Arial" w:hAnsi="Arial"/>
          <w:sz w:val="16"/>
          <w:szCs w:val="16"/>
          <w:color w:val="auto"/>
        </w:rPr>
        <w:t>K. CBS Corporation hereby agrees to furnish copies of these instruments to the Securities and Exchange Commission upon request.</w:t>
      </w:r>
    </w:p>
    <w:p>
      <w:pPr>
        <w:spacing w:after="0" w:line="36" w:lineRule="exact"/>
        <w:rPr>
          <w:rFonts w:ascii="Arial" w:cs="Arial" w:eastAsia="Arial" w:hAnsi="Arial"/>
          <w:sz w:val="18"/>
          <w:szCs w:val="18"/>
          <w:color w:val="auto"/>
        </w:rPr>
      </w:pPr>
    </w:p>
    <w:p>
      <w:pPr>
        <w:ind w:left="840" w:hanging="805"/>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67" w:lineRule="exact"/>
        <w:rPr>
          <w:rFonts w:ascii="Arial" w:cs="Arial" w:eastAsia="Arial" w:hAnsi="Arial"/>
          <w:sz w:val="18"/>
          <w:szCs w:val="18"/>
          <w:color w:val="auto"/>
        </w:rPr>
      </w:pPr>
    </w:p>
    <w:p>
      <w:pPr>
        <w:ind w:left="840" w:hanging="400"/>
        <w:spacing w:after="0" w:line="184" w:lineRule="exact"/>
        <w:tabs>
          <w:tab w:leader="none" w:pos="8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CBS Corporation 2009 Long</w:t>
      </w:r>
      <w:r>
        <w:rPr>
          <w:rFonts w:ascii="MS PGothic" w:cs="MS PGothic" w:eastAsia="MS PGothic" w:hAnsi="MS PGothic"/>
          <w:sz w:val="16"/>
          <w:szCs w:val="16"/>
          <w:color w:val="auto"/>
        </w:rPr>
        <w:t>‑</w:t>
      </w:r>
      <w:r>
        <w:rPr>
          <w:rFonts w:ascii="Arial" w:cs="Arial" w:eastAsia="Arial" w:hAnsi="Arial"/>
          <w:sz w:val="16"/>
          <w:szCs w:val="16"/>
          <w:color w:val="auto"/>
        </w:rPr>
        <w:t xml:space="preserve">Term Incentive Plan (as amended and restated December 11, 2018) </w:t>
      </w:r>
      <w:hyperlink w:anchor="page157">
        <w:r>
          <w:rPr>
            <w:rFonts w:ascii="Arial" w:cs="Arial" w:eastAsia="Arial" w:hAnsi="Arial"/>
            <w:sz w:val="16"/>
            <w:szCs w:val="16"/>
            <w:u w:val="single" w:color="auto"/>
            <w:color w:val="0000FF"/>
          </w:rPr>
          <w:t>(filed herewith)</w:t>
        </w:r>
      </w:hyperlink>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840" w:hanging="400"/>
        <w:spacing w:after="0"/>
        <w:tabs>
          <w:tab w:leader="none" w:pos="8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Forms of Certificate and Terms and Conditions for equity awards for:</w:t>
      </w:r>
    </w:p>
    <w:p>
      <w:pPr>
        <w:spacing w:after="0" w:line="63" w:lineRule="exact"/>
        <w:rPr>
          <w:rFonts w:ascii="Arial" w:cs="Arial" w:eastAsia="Arial" w:hAnsi="Arial"/>
          <w:sz w:val="18"/>
          <w:szCs w:val="18"/>
          <w:color w:val="auto"/>
        </w:rPr>
      </w:pPr>
    </w:p>
    <w:p>
      <w:pPr>
        <w:ind w:left="1260" w:right="1379" w:hanging="415"/>
        <w:spacing w:after="0" w:line="223" w:lineRule="exact"/>
        <w:tabs>
          <w:tab w:leader="none" w:pos="12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Stock Options (incorporated by reference to </w:t>
      </w:r>
      <w:hyperlink r:id="rId181">
        <w:r>
          <w:rPr>
            <w:rFonts w:ascii="Arial" w:cs="Arial" w:eastAsia="Arial" w:hAnsi="Arial"/>
            <w:sz w:val="18"/>
            <w:szCs w:val="18"/>
            <w:u w:val="single" w:color="auto"/>
            <w:color w:val="0000FF"/>
          </w:rPr>
          <w:t>Exhibit 10(c)(ii)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1" w:lineRule="exact"/>
        <w:rPr>
          <w:rFonts w:ascii="Arial" w:cs="Arial" w:eastAsia="Arial" w:hAnsi="Arial"/>
          <w:sz w:val="18"/>
          <w:szCs w:val="18"/>
          <w:color w:val="auto"/>
        </w:rPr>
      </w:pPr>
    </w:p>
    <w:p>
      <w:pPr>
        <w:ind w:left="1260" w:right="999" w:hanging="415"/>
        <w:spacing w:after="0" w:line="221" w:lineRule="exact"/>
        <w:tabs>
          <w:tab w:leader="none" w:pos="12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Performance</w:t>
      </w:r>
      <w:r>
        <w:rPr>
          <w:rFonts w:ascii="MS PGothic" w:cs="MS PGothic" w:eastAsia="MS PGothic" w:hAnsi="MS PGothic"/>
          <w:sz w:val="18"/>
          <w:szCs w:val="18"/>
          <w:color w:val="auto"/>
        </w:rPr>
        <w:t>‑</w:t>
      </w:r>
      <w:r>
        <w:rPr>
          <w:rFonts w:ascii="Arial" w:cs="Arial" w:eastAsia="Arial" w:hAnsi="Arial"/>
          <w:sz w:val="18"/>
          <w:szCs w:val="18"/>
          <w:color w:val="auto"/>
        </w:rPr>
        <w:t xml:space="preserve">Based Restricted Share Units with Time Vesting and Performance Vesting (incorporated by reference to </w:t>
      </w:r>
      <w:hyperlink r:id="rId182">
        <w:r>
          <w:rPr>
            <w:rFonts w:ascii="Arial" w:cs="Arial" w:eastAsia="Arial" w:hAnsi="Arial"/>
            <w:sz w:val="18"/>
            <w:szCs w:val="18"/>
            <w:u w:val="single" w:color="auto"/>
            <w:color w:val="0000FF"/>
          </w:rPr>
          <w:t>Exhibit 10(c)(v)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39" w:lineRule="exact"/>
        <w:rPr>
          <w:rFonts w:ascii="Arial" w:cs="Arial" w:eastAsia="Arial" w:hAnsi="Arial"/>
          <w:sz w:val="18"/>
          <w:szCs w:val="18"/>
          <w:color w:val="auto"/>
        </w:rPr>
      </w:pPr>
    </w:p>
    <w:p>
      <w:pPr>
        <w:ind w:left="1260" w:right="1499" w:hanging="415"/>
        <w:spacing w:after="0" w:line="224" w:lineRule="exact"/>
        <w:tabs>
          <w:tab w:leader="none" w:pos="1260" w:val="left"/>
        </w:tabs>
        <w:numPr>
          <w:ilvl w:val="2"/>
          <w:numId w:val="46"/>
        </w:numPr>
        <w:rPr>
          <w:rFonts w:ascii="Arial" w:cs="Arial" w:eastAsia="Arial" w:hAnsi="Arial"/>
          <w:sz w:val="16"/>
          <w:szCs w:val="16"/>
          <w:color w:val="auto"/>
        </w:rPr>
      </w:pPr>
      <w:r>
        <w:rPr>
          <w:rFonts w:ascii="Arial" w:cs="Arial" w:eastAsia="Arial" w:hAnsi="Arial"/>
          <w:sz w:val="16"/>
          <w:szCs w:val="16"/>
          <w:color w:val="auto"/>
        </w:rPr>
        <w:t xml:space="preserve">Restricted Share Units with Time Vesting (incorporated by reference to </w:t>
      </w:r>
      <w:hyperlink r:id="rId183">
        <w:r>
          <w:rPr>
            <w:rFonts w:ascii="Arial" w:cs="Arial" w:eastAsia="Arial" w:hAnsi="Arial"/>
            <w:sz w:val="16"/>
            <w:szCs w:val="16"/>
            <w:u w:val="single" w:color="auto"/>
            <w:color w:val="0000FF"/>
          </w:rPr>
          <w:t>Exhibit 10(c)(vii)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2011) (File</w:t>
      </w:r>
    </w:p>
    <w:p>
      <w:pPr>
        <w:ind w:left="1260"/>
        <w:spacing w:after="0" w:line="207" w:lineRule="exact"/>
        <w:rPr>
          <w:rFonts w:ascii="Arial" w:cs="Arial" w:eastAsia="Arial" w:hAnsi="Arial"/>
          <w:sz w:val="16"/>
          <w:szCs w:val="16"/>
          <w:color w:val="auto"/>
        </w:rPr>
      </w:pPr>
      <w:r>
        <w:rPr>
          <w:rFonts w:ascii="Arial" w:cs="Arial" w:eastAsia="Arial" w:hAnsi="Arial"/>
          <w:sz w:val="18"/>
          <w:szCs w:val="18"/>
          <w:color w:val="auto"/>
        </w:rPr>
        <w:t>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8" w:lineRule="exact"/>
        <w:rPr>
          <w:rFonts w:ascii="Arial" w:cs="Arial" w:eastAsia="Arial" w:hAnsi="Arial"/>
          <w:sz w:val="16"/>
          <w:szCs w:val="16"/>
          <w:color w:val="auto"/>
        </w:rPr>
      </w:pPr>
    </w:p>
    <w:p>
      <w:pPr>
        <w:ind w:left="840" w:right="999" w:hanging="400"/>
        <w:spacing w:after="0" w:line="220" w:lineRule="exact"/>
        <w:tabs>
          <w:tab w:leader="none" w:pos="8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CBS Corporation Senior Executive Short</w:t>
      </w:r>
      <w:r>
        <w:rPr>
          <w:rFonts w:ascii="MS PGothic" w:cs="MS PGothic" w:eastAsia="MS PGothic" w:hAnsi="MS PGothic"/>
          <w:sz w:val="16"/>
          <w:szCs w:val="16"/>
          <w:color w:val="auto"/>
        </w:rPr>
        <w:t>‑</w:t>
      </w:r>
      <w:r>
        <w:rPr>
          <w:rFonts w:ascii="Arial" w:cs="Arial" w:eastAsia="Arial" w:hAnsi="Arial"/>
          <w:sz w:val="16"/>
          <w:szCs w:val="16"/>
          <w:color w:val="auto"/>
        </w:rPr>
        <w:t xml:space="preserve">Term Incentive Plan (as amended and restated as of December 31, 2005) (incorporated by reference to </w:t>
      </w:r>
      <w:hyperlink r:id="rId184">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09553) (as amended by the First Amendment to the CBS Corporation Senior Executive Short</w:t>
      </w:r>
      <w:r>
        <w:rPr>
          <w:rFonts w:ascii="MS PGothic" w:cs="MS PGothic" w:eastAsia="MS PGothic" w:hAnsi="MS PGothic"/>
          <w:sz w:val="16"/>
          <w:szCs w:val="16"/>
          <w:color w:val="auto"/>
        </w:rPr>
        <w:t>‑</w:t>
      </w:r>
      <w:r>
        <w:rPr>
          <w:rFonts w:ascii="Arial" w:cs="Arial" w:eastAsia="Arial" w:hAnsi="Arial"/>
          <w:sz w:val="16"/>
          <w:szCs w:val="16"/>
          <w:color w:val="auto"/>
        </w:rPr>
        <w:t>Term Incentive Plan effective January 1, 2009) (incorporated by reference to</w:t>
      </w:r>
    </w:p>
    <w:p>
      <w:pPr>
        <w:spacing w:after="0" w:line="1" w:lineRule="exact"/>
        <w:rPr>
          <w:rFonts w:ascii="Arial" w:cs="Arial" w:eastAsia="Arial" w:hAnsi="Arial"/>
          <w:sz w:val="16"/>
          <w:szCs w:val="16"/>
          <w:color w:val="auto"/>
        </w:rPr>
      </w:pPr>
    </w:p>
    <w:p>
      <w:pPr>
        <w:ind w:left="840"/>
        <w:spacing w:after="0" w:line="196" w:lineRule="exact"/>
        <w:rPr>
          <w:rFonts w:ascii="Arial" w:cs="Arial" w:eastAsia="Arial" w:hAnsi="Arial"/>
          <w:sz w:val="17"/>
          <w:szCs w:val="17"/>
          <w:color w:val="0000FF"/>
        </w:rPr>
      </w:pPr>
      <w:hyperlink r:id="rId185">
        <w:r>
          <w:rPr>
            <w:rFonts w:ascii="Arial" w:cs="Arial" w:eastAsia="Arial" w:hAnsi="Arial"/>
            <w:sz w:val="17"/>
            <w:szCs w:val="17"/>
            <w:u w:val="single" w:color="auto"/>
            <w:color w:val="0000FF"/>
          </w:rPr>
          <w:t>Exhibit 10(d)</w:t>
        </w:r>
        <w:r>
          <w:rPr>
            <w:rFonts w:ascii="Arial" w:cs="Arial" w:eastAsia="Arial" w:hAnsi="Arial"/>
            <w:sz w:val="17"/>
            <w:szCs w:val="17"/>
            <w:color w:val="0000FF"/>
          </w:rPr>
          <w:t xml:space="preserve"> </w:t>
        </w:r>
      </w:hyperlink>
      <w:r>
        <w:rPr>
          <w:rFonts w:ascii="Arial" w:cs="Arial" w:eastAsia="Arial" w:hAnsi="Arial"/>
          <w:sz w:val="17"/>
          <w:szCs w:val="17"/>
          <w:color w:val="000000"/>
        </w:rPr>
        <w:t>to</w:t>
      </w:r>
      <w:r>
        <w:rPr>
          <w:rFonts w:ascii="Arial" w:cs="Arial" w:eastAsia="Arial" w:hAnsi="Arial"/>
          <w:sz w:val="17"/>
          <w:szCs w:val="17"/>
          <w:color w:val="0000FF"/>
        </w:rPr>
        <w:t xml:space="preserve"> </w:t>
      </w:r>
      <w:r>
        <w:rPr>
          <w:rFonts w:ascii="Arial" w:cs="Arial" w:eastAsia="Arial" w:hAnsi="Arial"/>
          <w:sz w:val="17"/>
          <w:szCs w:val="17"/>
          <w:color w:val="000000"/>
        </w:rPr>
        <w:t>the Annual Report on Form 10</w:t>
      </w:r>
      <w:r>
        <w:rPr>
          <w:rFonts w:ascii="MS PGothic" w:cs="MS PGothic" w:eastAsia="MS PGothic" w:hAnsi="MS PGothic"/>
          <w:sz w:val="17"/>
          <w:szCs w:val="17"/>
          <w:color w:val="000000"/>
        </w:rPr>
        <w:t>‑</w:t>
      </w:r>
      <w:r>
        <w:rPr>
          <w:rFonts w:ascii="Arial" w:cs="Arial" w:eastAsia="Arial" w:hAnsi="Arial"/>
          <w:sz w:val="17"/>
          <w:szCs w:val="17"/>
          <w:color w:val="000000"/>
        </w:rPr>
        <w:t>K of CBS Corporation for the fiscal year ended December 31,</w:t>
      </w:r>
    </w:p>
    <w:p>
      <w:pPr>
        <w:spacing w:after="0" w:line="21" w:lineRule="exact"/>
        <w:rPr>
          <w:rFonts w:ascii="Arial" w:cs="Arial" w:eastAsia="Arial" w:hAnsi="Arial"/>
          <w:sz w:val="16"/>
          <w:szCs w:val="16"/>
          <w:color w:val="auto"/>
        </w:rPr>
      </w:pPr>
    </w:p>
    <w:p>
      <w:pPr>
        <w:ind w:left="840"/>
        <w:spacing w:after="0" w:line="207" w:lineRule="exact"/>
        <w:rPr>
          <w:sz w:val="20"/>
          <w:szCs w:val="20"/>
          <w:color w:val="auto"/>
        </w:rPr>
      </w:pPr>
      <w:r>
        <w:rPr>
          <w:rFonts w:ascii="Arial" w:cs="Arial" w:eastAsia="Arial" w:hAnsi="Arial"/>
          <w:sz w:val="18"/>
          <w:szCs w:val="18"/>
          <w:color w:val="auto"/>
        </w:rPr>
        <w:t>2008)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6"/>
          <w:szCs w:val="16"/>
          <w:color w:val="auto"/>
        </w:rPr>
      </w:pPr>
    </w:p>
    <w:p>
      <w:pPr>
        <w:ind w:left="55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219"/>
          </w:cols>
          <w:pgMar w:left="240" w:top="580" w:right="1440" w:bottom="1440" w:gutter="0" w:footer="0" w:header="0"/>
        </w:sectPr>
      </w:pPr>
    </w:p>
    <w:bookmarkStart w:id="150" w:name="page151"/>
    <w:bookmarkEnd w:id="150"/>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43" w:lineRule="exact"/>
        <w:rPr>
          <w:sz w:val="20"/>
          <w:szCs w:val="20"/>
          <w:color w:val="auto"/>
        </w:rPr>
      </w:pPr>
    </w:p>
    <w:p>
      <w:pPr>
        <w:ind w:left="840" w:right="1179" w:hanging="400"/>
        <w:spacing w:after="0" w:line="218" w:lineRule="exact"/>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CBS Retirement Excess Pension Plan (as amended and restated as of December 31, 2005) (incorporated by reference to </w:t>
      </w:r>
      <w:hyperlink r:id="rId187">
        <w:r>
          <w:rPr>
            <w:rFonts w:ascii="Arial" w:cs="Arial" w:eastAsia="Arial" w:hAnsi="Arial"/>
            <w:sz w:val="16"/>
            <w:szCs w:val="16"/>
            <w:u w:val="single" w:color="auto"/>
            <w:color w:val="0000FF"/>
          </w:rPr>
          <w:t>Exhibit 10(o)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2009) (incorporated by reference to </w:t>
      </w:r>
      <w:hyperlink r:id="rId188">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effective as of January 1, 2009, as amended and restated as of January 1, 2012) (incorporated by reference to </w:t>
      </w:r>
      <w:hyperlink r:id="rId189">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2012) (File No. 001</w:t>
      </w:r>
      <w:r>
        <w:rPr>
          <w:rFonts w:ascii="MS PGothic" w:cs="MS PGothic" w:eastAsia="MS PGothic" w:hAnsi="MS PGothic"/>
          <w:sz w:val="16"/>
          <w:szCs w:val="16"/>
          <w:color w:val="auto"/>
        </w:rPr>
        <w:t>‑</w:t>
      </w:r>
      <w:r>
        <w:rPr>
          <w:rFonts w:ascii="Arial" w:cs="Arial" w:eastAsia="Arial" w:hAnsi="Arial"/>
          <w:sz w:val="16"/>
          <w:szCs w:val="16"/>
          <w:color w:val="auto"/>
        </w:rPr>
        <w:t>09553).*</w:t>
      </w:r>
    </w:p>
    <w:p>
      <w:pPr>
        <w:spacing w:after="0" w:line="42" w:lineRule="exact"/>
        <w:rPr>
          <w:rFonts w:ascii="Arial" w:cs="Arial" w:eastAsia="Arial" w:hAnsi="Arial"/>
          <w:sz w:val="16"/>
          <w:szCs w:val="16"/>
          <w:color w:val="auto"/>
        </w:rPr>
      </w:pPr>
    </w:p>
    <w:p>
      <w:pPr>
        <w:ind w:left="840" w:right="999" w:hanging="400"/>
        <w:spacing w:after="0" w:line="217" w:lineRule="exact"/>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CBS Excess 401(k) Plan for Designated Senior Executives (as amended and restated as of December 31, 2005) (incorporated by reference to </w:t>
      </w:r>
      <w:hyperlink r:id="rId190">
        <w:r>
          <w:rPr>
            <w:rFonts w:ascii="Arial" w:cs="Arial" w:eastAsia="Arial" w:hAnsi="Arial"/>
            <w:sz w:val="16"/>
            <w:szCs w:val="16"/>
            <w:u w:val="single" w:color="auto"/>
            <w:color w:val="0000FF"/>
          </w:rPr>
          <w:t>Exhibit 10(p)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as of January 1, 2009) (incorporated by reference to </w:t>
      </w:r>
      <w:hyperlink r:id="rId191">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2008)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1 as of January 1, 2009) (incorporated by reference to </w:t>
      </w:r>
      <w:hyperlink r:id="rId192">
        <w:r>
          <w:rPr>
            <w:rFonts w:ascii="Arial" w:cs="Arial" w:eastAsia="Arial" w:hAnsi="Arial"/>
            <w:sz w:val="16"/>
            <w:szCs w:val="16"/>
            <w:u w:val="single" w:color="auto"/>
            <w:color w:val="0000FF"/>
          </w:rPr>
          <w:t>Exhibit 10(b)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Corporation for the quarter ended March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2 as of January 1, 2009) (incorporated by reference to </w:t>
      </w:r>
      <w:hyperlink r:id="rId193">
        <w:r>
          <w:rPr>
            <w:rFonts w:ascii="Arial" w:cs="Arial" w:eastAsia="Arial" w:hAnsi="Arial"/>
            <w:sz w:val="16"/>
            <w:szCs w:val="16"/>
            <w:u w:val="single" w:color="auto"/>
            <w:color w:val="0000FF"/>
          </w:rPr>
          <w:t>Exhibit 10(h)</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2014) (incorporated by reference to </w:t>
      </w:r>
      <w:hyperlink r:id="rId194">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3 as of January 1, 2014) (incorporated by reference to </w:t>
      </w:r>
      <w:hyperlink r:id="rId194">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2 as of February 1, 2015) (incorporated by reference to </w:t>
      </w:r>
      <w:hyperlink r:id="rId195">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B was amended by Amendment No. 4 as of February 1, 2015) (incorporated by reference to </w:t>
      </w:r>
      <w:hyperlink r:id="rId195">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A was amended by Amendment No. 3 as of January 1, 2015) (incorporated by reference to </w:t>
      </w:r>
      <w:hyperlink r:id="rId195">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B was amended by Amendment No. 5 as of January 1, 2015) (incorporated by reference to </w:t>
      </w:r>
      <w:hyperlink r:id="rId195">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A was amended by Amendment No. 4 as of October 2, 2017) (incorporated by reference to </w:t>
      </w:r>
      <w:hyperlink r:id="rId196">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2017) (File No. 001-09553) (as Part B was amended by Amendment No. 6 as of October 2, 2017) (incorporated by reference to </w:t>
      </w:r>
      <w:hyperlink r:id="rId196">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10-K of CBS Corporation for the year ended December 31, 2017) (File No. 001-09553).*</w:t>
      </w:r>
    </w:p>
    <w:p>
      <w:pPr>
        <w:spacing w:after="0" w:line="51" w:lineRule="exact"/>
        <w:rPr>
          <w:rFonts w:ascii="Arial" w:cs="Arial" w:eastAsia="Arial" w:hAnsi="Arial"/>
          <w:sz w:val="16"/>
          <w:szCs w:val="16"/>
          <w:color w:val="auto"/>
        </w:rPr>
      </w:pPr>
    </w:p>
    <w:p>
      <w:pPr>
        <w:ind w:left="840" w:right="999" w:hanging="400"/>
        <w:spacing w:after="0" w:line="217" w:lineRule="exact"/>
        <w:tabs>
          <w:tab w:leader="none" w:pos="840" w:val="left"/>
        </w:tabs>
        <w:numPr>
          <w:ilvl w:val="0"/>
          <w:numId w:val="47"/>
        </w:numPr>
        <w:rPr>
          <w:rFonts w:ascii="Arial" w:cs="Arial" w:eastAsia="Arial" w:hAnsi="Arial"/>
          <w:sz w:val="16"/>
          <w:szCs w:val="16"/>
          <w:color w:val="0000FF"/>
        </w:rPr>
      </w:pPr>
      <w:r>
        <w:rPr>
          <w:rFonts w:ascii="Arial" w:cs="Arial" w:eastAsia="Arial" w:hAnsi="Arial"/>
          <w:sz w:val="16"/>
          <w:szCs w:val="16"/>
          <w:color w:val="auto"/>
        </w:rPr>
        <w:t xml:space="preserve">CBS Bonus Deferral Plan for Designated Senior Executives (as amended and restated as of December 31, 2005) (incorporated by reference to </w:t>
      </w:r>
      <w:hyperlink r:id="rId197">
        <w:r>
          <w:rPr>
            <w:rFonts w:ascii="Arial" w:cs="Arial" w:eastAsia="Arial" w:hAnsi="Arial"/>
            <w:sz w:val="16"/>
            <w:szCs w:val="16"/>
            <w:u w:val="single" w:color="auto"/>
            <w:color w:val="0000FF"/>
          </w:rPr>
          <w:t>Exhibit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as of January 1, 2009) (incorporated by reference to </w:t>
      </w:r>
      <w:hyperlink r:id="rId198">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2008)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1 as of January 1, 2009) (incorporated by reference to </w:t>
      </w:r>
      <w:hyperlink r:id="rId199">
        <w:r>
          <w:rPr>
            <w:rFonts w:ascii="Arial" w:cs="Arial" w:eastAsia="Arial" w:hAnsi="Arial"/>
            <w:sz w:val="16"/>
            <w:szCs w:val="16"/>
            <w:u w:val="single" w:color="auto"/>
            <w:color w:val="0000FF"/>
          </w:rPr>
          <w:t>Exhibit 10(c)</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Corporation for the quarter ended March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2 as of January 1, 2009) (incorporated by reference to </w:t>
      </w:r>
      <w:hyperlink r:id="rId200">
        <w:r>
          <w:rPr>
            <w:rFonts w:ascii="Arial" w:cs="Arial" w:eastAsia="Arial" w:hAnsi="Arial"/>
            <w:sz w:val="16"/>
            <w:szCs w:val="16"/>
            <w:u w:val="single" w:color="auto"/>
            <w:color w:val="0000FF"/>
          </w:rPr>
          <w:t>Exhibit 10(i)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2014) (incorporated by reference to </w:t>
      </w:r>
      <w:hyperlink r:id="rId201">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3 as of January 1, 2014) (incorporated by reference to </w:t>
      </w:r>
      <w:hyperlink r:id="rId201">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2 as of January 1, 2015) (incorporated by reference to </w:t>
      </w:r>
      <w:hyperlink r:id="rId202">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fiscal year ended December 31, 2014) (File No. 001-09553) (as Part B was amended by Amendment No. 4 as of January 1, 2015) (incorporated by reference to </w:t>
      </w:r>
      <w:hyperlink r:id="rId202">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10-K of CBS Corporation for the fiscal year ended December 31, 2014) (File No. 001-</w:t>
      </w:r>
      <w:hyperlink r:id="rId203">
        <w:r>
          <w:rPr>
            <w:rFonts w:ascii="Arial" w:cs="Arial" w:eastAsia="Arial" w:hAnsi="Arial"/>
            <w:sz w:val="16"/>
            <w:szCs w:val="16"/>
            <w:color w:val="auto"/>
          </w:rPr>
          <w:t xml:space="preserve">09553) (as Part A was amended by Amendment No. 3 as of October 2, 2017) (incorporated by reference to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203">
        <w:r>
          <w:rPr>
            <w:rFonts w:ascii="Arial" w:cs="Arial" w:eastAsia="Arial" w:hAnsi="Arial"/>
            <w:sz w:val="16"/>
            <w:szCs w:val="16"/>
            <w:u w:val="single" w:color="auto"/>
            <w:color w:val="0000FF"/>
          </w:rPr>
          <w:t>10(f)</w:t>
        </w:r>
        <w:r>
          <w:rPr>
            <w:rFonts w:ascii="Arial" w:cs="Arial" w:eastAsia="Arial" w:hAnsi="Arial"/>
            <w:sz w:val="16"/>
            <w:szCs w:val="16"/>
            <w:color w:val="0000FF"/>
          </w:rPr>
          <w:t xml:space="preserve"> </w:t>
        </w:r>
        <w:r>
          <w:rPr>
            <w:rFonts w:ascii="Arial" w:cs="Arial" w:eastAsia="Arial" w:hAnsi="Arial"/>
            <w:sz w:val="16"/>
            <w:szCs w:val="16"/>
            <w:color w:val="000000"/>
          </w:rPr>
          <w:t>of the Annual Report on Form 10-K of CBS Corporation for the year ended December 31, 2017) (File No.</w:t>
        </w:r>
      </w:hyperlink>
    </w:p>
    <w:p>
      <w:pPr>
        <w:spacing w:after="0" w:line="12" w:lineRule="exact"/>
        <w:rPr>
          <w:rFonts w:ascii="Arial" w:cs="Arial" w:eastAsia="Arial" w:hAnsi="Arial"/>
          <w:sz w:val="16"/>
          <w:szCs w:val="16"/>
          <w:color w:val="0000FF"/>
        </w:rPr>
      </w:pPr>
    </w:p>
    <w:p>
      <w:pPr>
        <w:ind w:left="840" w:right="1059"/>
        <w:spacing w:after="0" w:line="281" w:lineRule="auto"/>
        <w:rPr>
          <w:rFonts w:ascii="Arial" w:cs="Arial" w:eastAsia="Arial" w:hAnsi="Arial"/>
          <w:sz w:val="16"/>
          <w:szCs w:val="16"/>
          <w:color w:val="0000FF"/>
        </w:rPr>
      </w:pPr>
      <w:r>
        <w:rPr>
          <w:rFonts w:ascii="Arial" w:cs="Arial" w:eastAsia="Arial" w:hAnsi="Arial"/>
          <w:sz w:val="16"/>
          <w:szCs w:val="16"/>
          <w:color w:val="auto"/>
        </w:rPr>
        <w:t xml:space="preserve">001-09553) (as Part B was amended by Amendment No. 5 as of October 2, 2017) (incorporated by reference to </w:t>
      </w:r>
      <w:hyperlink r:id="rId203">
        <w:r>
          <w:rPr>
            <w:rFonts w:ascii="Arial" w:cs="Arial" w:eastAsia="Arial" w:hAnsi="Arial"/>
            <w:sz w:val="16"/>
            <w:szCs w:val="16"/>
            <w:u w:val="single" w:color="auto"/>
            <w:color w:val="0000FF"/>
          </w:rPr>
          <w:t>Exhibit 10(f)</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Annual Report on Form 10-K of CBS Corporation for the year ended December 31, 2017) (File</w:t>
      </w:r>
    </w:p>
    <w:p>
      <w:pPr>
        <w:spacing w:after="0" w:line="1" w:lineRule="exact"/>
        <w:rPr>
          <w:rFonts w:ascii="Arial" w:cs="Arial" w:eastAsia="Arial" w:hAnsi="Arial"/>
          <w:sz w:val="16"/>
          <w:szCs w:val="16"/>
          <w:color w:val="auto"/>
        </w:rPr>
      </w:pPr>
    </w:p>
    <w:p>
      <w:pPr>
        <w:ind w:left="840"/>
        <w:spacing w:after="0"/>
        <w:rPr>
          <w:sz w:val="20"/>
          <w:szCs w:val="20"/>
          <w:color w:val="auto"/>
        </w:rPr>
      </w:pPr>
      <w:r>
        <w:rPr>
          <w:rFonts w:ascii="Arial" w:cs="Arial" w:eastAsia="Arial" w:hAnsi="Arial"/>
          <w:sz w:val="18"/>
          <w:szCs w:val="18"/>
          <w:color w:val="auto"/>
        </w:rPr>
        <w:t>No. 001-09553).*</w:t>
      </w:r>
    </w:p>
    <w:p>
      <w:pPr>
        <w:spacing w:after="0" w:line="1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6"/>
          <w:szCs w:val="16"/>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522" w:right="1440" w:bottom="1440" w:gutter="0" w:footer="0" w:header="0"/>
        </w:sectPr>
      </w:pPr>
    </w:p>
    <w:bookmarkStart w:id="151" w:name="page152"/>
    <w:bookmarkEnd w:id="151"/>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832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43" w:lineRule="exact"/>
        <w:rPr>
          <w:sz w:val="20"/>
          <w:szCs w:val="20"/>
          <w:color w:val="auto"/>
        </w:rPr>
      </w:pPr>
    </w:p>
    <w:p>
      <w:pPr>
        <w:ind w:left="840" w:hanging="400"/>
        <w:spacing w:after="0"/>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Summary of CBS Corporation Compensation for Outside Directors (as of January 31, 2019) (</w:t>
      </w:r>
      <w:hyperlink w:anchor="page185">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840" w:right="1359" w:hanging="400"/>
        <w:spacing w:after="0" w:line="223" w:lineRule="exact"/>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Form of Director Indemnification Agreement (incorporated by reference to </w:t>
      </w:r>
      <w:hyperlink r:id="rId205">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CBS Corporation filed September 18, 2009)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1" w:lineRule="exact"/>
        <w:rPr>
          <w:rFonts w:ascii="Arial" w:cs="Arial" w:eastAsia="Arial" w:hAnsi="Arial"/>
          <w:sz w:val="18"/>
          <w:szCs w:val="18"/>
          <w:color w:val="auto"/>
        </w:rPr>
      </w:pPr>
    </w:p>
    <w:p>
      <w:pPr>
        <w:ind w:left="840" w:right="1519" w:hanging="400"/>
        <w:spacing w:after="0" w:line="221" w:lineRule="exact"/>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Former Viacom Deferred Compensation Plan for Non</w:t>
      </w:r>
      <w:r>
        <w:rPr>
          <w:rFonts w:ascii="MS PGothic" w:cs="MS PGothic" w:eastAsia="MS PGothic" w:hAnsi="MS PGothic"/>
          <w:sz w:val="17"/>
          <w:szCs w:val="17"/>
          <w:color w:val="auto"/>
        </w:rPr>
        <w:t>‑</w:t>
      </w:r>
      <w:r>
        <w:rPr>
          <w:rFonts w:ascii="Arial" w:cs="Arial" w:eastAsia="Arial" w:hAnsi="Arial"/>
          <w:sz w:val="17"/>
          <w:szCs w:val="17"/>
          <w:color w:val="auto"/>
        </w:rPr>
        <w:t xml:space="preserve">Employee Directors (as amended and restated as of October 14, 2003) (incorporated by reference to </w:t>
      </w:r>
      <w:hyperlink r:id="rId206">
        <w:r>
          <w:rPr>
            <w:rFonts w:ascii="Arial" w:cs="Arial" w:eastAsia="Arial" w:hAnsi="Arial"/>
            <w:sz w:val="17"/>
            <w:szCs w:val="17"/>
            <w:u w:val="single" w:color="auto"/>
            <w:color w:val="0000FF"/>
          </w:rPr>
          <w:t>Exhibit 10(e)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Former Viacom for the fiscal year ended December 31, 2003)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40" w:lineRule="exact"/>
        <w:rPr>
          <w:rFonts w:ascii="Arial" w:cs="Arial" w:eastAsia="Arial" w:hAnsi="Arial"/>
          <w:sz w:val="17"/>
          <w:szCs w:val="17"/>
          <w:color w:val="auto"/>
        </w:rPr>
      </w:pPr>
    </w:p>
    <w:p>
      <w:pPr>
        <w:ind w:left="840" w:right="1159" w:hanging="400"/>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CBS Corporation Deferred Compensation Plan for Outside Directors (as amended and restated as of January 29, 2015) (incorporated by reference to </w:t>
      </w:r>
      <w:hyperlink r:id="rId207">
        <w:r>
          <w:rPr>
            <w:rFonts w:ascii="Arial" w:cs="Arial" w:eastAsia="Arial" w:hAnsi="Arial"/>
            <w:sz w:val="18"/>
            <w:szCs w:val="18"/>
            <w:u w:val="single" w:color="auto"/>
            <w:color w:val="0000FF"/>
          </w:rPr>
          <w:t>Exhibit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9" w:lineRule="exact"/>
        <w:rPr>
          <w:rFonts w:ascii="Arial" w:cs="Arial" w:eastAsia="Arial" w:hAnsi="Arial"/>
          <w:sz w:val="18"/>
          <w:szCs w:val="18"/>
          <w:color w:val="auto"/>
        </w:rPr>
      </w:pPr>
    </w:p>
    <w:p>
      <w:pPr>
        <w:ind w:left="840" w:right="1159" w:hanging="400"/>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CBS Corporation 2000 Stock Option Plan for Outside Directors (as amended and restated through December 14, 2016) (incorporated by reference to </w:t>
      </w:r>
      <w:hyperlink r:id="rId208">
        <w:r>
          <w:rPr>
            <w:rFonts w:ascii="Arial" w:cs="Arial" w:eastAsia="Arial" w:hAnsi="Arial"/>
            <w:sz w:val="18"/>
            <w:szCs w:val="18"/>
            <w:u w:val="single" w:color="auto"/>
            <w:color w:val="0000FF"/>
          </w:rPr>
          <w:t>Exhibit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2016) (File No. 001-09553).*</w:t>
      </w:r>
    </w:p>
    <w:p>
      <w:pPr>
        <w:spacing w:after="0" w:line="19" w:lineRule="exact"/>
        <w:rPr>
          <w:rFonts w:ascii="Arial" w:cs="Arial" w:eastAsia="Arial" w:hAnsi="Arial"/>
          <w:sz w:val="18"/>
          <w:szCs w:val="18"/>
          <w:color w:val="auto"/>
        </w:rPr>
      </w:pPr>
    </w:p>
    <w:p>
      <w:pPr>
        <w:ind w:left="840" w:right="1139" w:hanging="400"/>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CBS Corporation 2005 RSU Plan for Outside Directors (as amended and restated through January 29, 2015) (incorporated by reference to </w:t>
      </w:r>
      <w:hyperlink r:id="rId209">
        <w:r>
          <w:rPr>
            <w:rFonts w:ascii="Arial" w:cs="Arial" w:eastAsia="Arial" w:hAnsi="Arial"/>
            <w:sz w:val="18"/>
            <w:szCs w:val="18"/>
            <w:u w:val="single" w:color="auto"/>
            <w:color w:val="0000FF"/>
          </w:rPr>
          <w:t>Exhibit 10(m)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9" w:lineRule="exact"/>
        <w:rPr>
          <w:rFonts w:ascii="Arial" w:cs="Arial" w:eastAsia="Arial" w:hAnsi="Arial"/>
          <w:sz w:val="18"/>
          <w:szCs w:val="18"/>
          <w:color w:val="auto"/>
        </w:rPr>
      </w:pPr>
    </w:p>
    <w:p>
      <w:pPr>
        <w:ind w:left="840" w:right="1079" w:hanging="400"/>
        <w:spacing w:after="0" w:line="264" w:lineRule="auto"/>
        <w:tabs>
          <w:tab w:leader="none" w:pos="840" w:val="left"/>
        </w:tabs>
        <w:numPr>
          <w:ilvl w:val="0"/>
          <w:numId w:val="48"/>
        </w:numPr>
        <w:rPr>
          <w:rFonts w:ascii="Arial" w:cs="Arial" w:eastAsia="Arial" w:hAnsi="Arial"/>
          <w:sz w:val="18"/>
          <w:szCs w:val="18"/>
          <w:color w:val="0000FF"/>
        </w:rPr>
      </w:pPr>
      <w:r>
        <w:rPr>
          <w:rFonts w:ascii="Arial" w:cs="Arial" w:eastAsia="Arial" w:hAnsi="Arial"/>
          <w:sz w:val="18"/>
          <w:szCs w:val="18"/>
          <w:color w:val="auto"/>
        </w:rPr>
        <w:t xml:space="preserve">CBS Corporation 2015 Equity Plan for Outside Directors (effective May 21, 2015) (incorporated by reference to </w:t>
      </w:r>
      <w:hyperlink r:id="rId210">
        <w:r>
          <w:rPr>
            <w:rFonts w:ascii="Arial" w:cs="Arial" w:eastAsia="Arial" w:hAnsi="Arial"/>
            <w:sz w:val="18"/>
            <w:szCs w:val="18"/>
            <w:u w:val="single" w:color="auto"/>
            <w:color w:val="0000FF"/>
          </w:rPr>
          <w:t>Exhibit 10(a)</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Quarterly Report on Form 10-Q of CBS Corporation for the quarter ended June 30, 2015) (File</w:t>
      </w:r>
      <w:r>
        <w:rPr>
          <w:rFonts w:ascii="Arial" w:cs="Arial" w:eastAsia="Arial" w:hAnsi="Arial"/>
          <w:sz w:val="18"/>
          <w:szCs w:val="18"/>
          <w:color w:val="0000FF"/>
        </w:rPr>
        <w:t xml:space="preserve"> </w:t>
      </w:r>
      <w:r>
        <w:rPr>
          <w:rFonts w:ascii="Arial" w:cs="Arial" w:eastAsia="Arial" w:hAnsi="Arial"/>
          <w:sz w:val="18"/>
          <w:szCs w:val="18"/>
          <w:color w:val="000000"/>
        </w:rPr>
        <w:t>No. 001-09553).*</w:t>
      </w:r>
    </w:p>
    <w:p>
      <w:pPr>
        <w:spacing w:after="0" w:line="19" w:lineRule="exact"/>
        <w:rPr>
          <w:rFonts w:ascii="Arial" w:cs="Arial" w:eastAsia="Arial" w:hAnsi="Arial"/>
          <w:sz w:val="18"/>
          <w:szCs w:val="18"/>
          <w:color w:val="0000FF"/>
        </w:rPr>
      </w:pPr>
    </w:p>
    <w:p>
      <w:pPr>
        <w:ind w:left="840" w:right="1039" w:hanging="400"/>
        <w:spacing w:after="0" w:line="25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July 1, 2017 between CBS Corporation and Joseph R. Ianniello (incorporated by reference to </w:t>
      </w:r>
      <w:hyperlink r:id="rId211">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2017) (File No. 001-09553), as amended by Letter Agreement dated as of September 9, 2018 (incorporated by reference to </w:t>
      </w:r>
      <w:hyperlink r:id="rId212">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September 27, 2018) (File No. 001-09553).*</w:t>
      </w:r>
    </w:p>
    <w:p>
      <w:pPr>
        <w:spacing w:after="0" w:line="26" w:lineRule="exact"/>
        <w:rPr>
          <w:rFonts w:ascii="Arial" w:cs="Arial" w:eastAsia="Arial" w:hAnsi="Arial"/>
          <w:sz w:val="18"/>
          <w:szCs w:val="18"/>
          <w:color w:val="auto"/>
        </w:rPr>
      </w:pPr>
    </w:p>
    <w:p>
      <w:pPr>
        <w:jc w:val="both"/>
        <w:ind w:left="840" w:right="1179" w:hanging="400"/>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Employment Agreement dated October 18, 2018 between CBS Corporation and Christina Spade (incorporated by reference to </w:t>
      </w:r>
      <w:hyperlink r:id="rId213">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October 19, 2018) (File No. 001-09553).*</w:t>
      </w:r>
    </w:p>
    <w:p>
      <w:pPr>
        <w:spacing w:after="0" w:line="19" w:lineRule="exact"/>
        <w:rPr>
          <w:rFonts w:ascii="Arial" w:cs="Arial" w:eastAsia="Arial" w:hAnsi="Arial"/>
          <w:sz w:val="18"/>
          <w:szCs w:val="18"/>
          <w:color w:val="auto"/>
        </w:rPr>
      </w:pPr>
    </w:p>
    <w:p>
      <w:pPr>
        <w:ind w:left="840" w:right="1039" w:hanging="400"/>
        <w:spacing w:after="0" w:line="25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June 1, 2017 between CBS Corporation and Lawrence P. Tu (incorporated by reference to </w:t>
      </w:r>
      <w:hyperlink r:id="rId214">
        <w:r>
          <w:rPr>
            <w:rFonts w:ascii="Arial" w:cs="Arial" w:eastAsia="Arial" w:hAnsi="Arial"/>
            <w:sz w:val="18"/>
            <w:szCs w:val="18"/>
            <w:u w:val="single" w:color="auto"/>
            <w:color w:val="0000FF"/>
          </w:rPr>
          <w:t>Exhibit 10(b)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2017) (File No. 001-09553), as amended by Letter Agreement dated April 25, 2018 (incorporated by reference to </w:t>
      </w:r>
      <w:hyperlink r:id="rId215">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CBS Corporation for the quarter ended March 31, 2018) (File No. 001-09553).*</w:t>
      </w:r>
    </w:p>
    <w:p>
      <w:pPr>
        <w:spacing w:after="0" w:line="26" w:lineRule="exact"/>
        <w:rPr>
          <w:rFonts w:ascii="Arial" w:cs="Arial" w:eastAsia="Arial" w:hAnsi="Arial"/>
          <w:sz w:val="18"/>
          <w:szCs w:val="18"/>
          <w:color w:val="auto"/>
        </w:rPr>
      </w:pPr>
    </w:p>
    <w:p>
      <w:pPr>
        <w:ind w:left="840" w:right="1319" w:hanging="400"/>
        <w:spacing w:after="0" w:line="277" w:lineRule="auto"/>
        <w:tabs>
          <w:tab w:leader="none" w:pos="840" w:val="left"/>
        </w:tabs>
        <w:numPr>
          <w:ilvl w:val="0"/>
          <w:numId w:val="48"/>
        </w:numPr>
        <w:rPr>
          <w:rFonts w:ascii="Arial" w:cs="Arial" w:eastAsia="Arial" w:hAnsi="Arial"/>
          <w:sz w:val="18"/>
          <w:szCs w:val="18"/>
          <w:color w:val="0000FF"/>
        </w:rPr>
      </w:pPr>
      <w:hyperlink w:anchor="page187">
        <w:r>
          <w:rPr>
            <w:rFonts w:ascii="Arial" w:cs="Arial" w:eastAsia="Arial" w:hAnsi="Arial"/>
            <w:sz w:val="18"/>
            <w:szCs w:val="18"/>
            <w:color w:val="auto"/>
          </w:rPr>
          <w:t>Employment Agreement dated as of January 1, 2019 between CBS Corporation and Jonathan H. Anschell (</w:t>
        </w:r>
        <w:r>
          <w:rPr>
            <w:rFonts w:ascii="Arial" w:cs="Arial" w:eastAsia="Arial" w:hAnsi="Arial"/>
            <w:sz w:val="18"/>
            <w:szCs w:val="18"/>
            <w:u w:val="single" w:color="auto"/>
            <w:color w:val="0000FF"/>
          </w:rPr>
          <w:t>filed</w:t>
        </w:r>
      </w:hyperlink>
      <w:r>
        <w:rPr>
          <w:rFonts w:ascii="Arial" w:cs="Arial" w:eastAsia="Arial" w:hAnsi="Arial"/>
          <w:sz w:val="18"/>
          <w:szCs w:val="18"/>
          <w:color w:val="auto"/>
        </w:rPr>
        <w:t xml:space="preserve"> </w:t>
      </w:r>
      <w:hyperlink w:anchor="page187">
        <w:r>
          <w:rPr>
            <w:rFonts w:ascii="Arial" w:cs="Arial" w:eastAsia="Arial" w:hAnsi="Arial"/>
            <w:sz w:val="18"/>
            <w:szCs w:val="18"/>
            <w:u w:val="single" w:color="auto"/>
            <w:color w:val="0000FF"/>
          </w:rPr>
          <w:t>herewith</w:t>
        </w:r>
        <w:r>
          <w:rPr>
            <w:rFonts w:ascii="Arial" w:cs="Arial" w:eastAsia="Arial" w:hAnsi="Arial"/>
            <w:sz w:val="18"/>
            <w:szCs w:val="18"/>
            <w:color w:val="000000"/>
          </w:rPr>
          <w:t>).*</w:t>
        </w:r>
      </w:hyperlink>
    </w:p>
    <w:p>
      <w:pPr>
        <w:spacing w:after="0" w:line="8" w:lineRule="exact"/>
        <w:rPr>
          <w:rFonts w:ascii="Arial" w:cs="Arial" w:eastAsia="Arial" w:hAnsi="Arial"/>
          <w:sz w:val="18"/>
          <w:szCs w:val="18"/>
          <w:color w:val="0000FF"/>
        </w:rPr>
      </w:pPr>
    </w:p>
    <w:p>
      <w:pPr>
        <w:ind w:left="840" w:right="1599" w:hanging="400"/>
        <w:spacing w:after="0" w:line="277" w:lineRule="auto"/>
        <w:tabs>
          <w:tab w:leader="none" w:pos="840" w:val="left"/>
        </w:tabs>
        <w:numPr>
          <w:ilvl w:val="0"/>
          <w:numId w:val="48"/>
        </w:numPr>
        <w:rPr>
          <w:rFonts w:ascii="Arial" w:cs="Arial" w:eastAsia="Arial" w:hAnsi="Arial"/>
          <w:sz w:val="18"/>
          <w:szCs w:val="18"/>
          <w:color w:val="0000FF"/>
        </w:rPr>
      </w:pPr>
      <w:hyperlink w:anchor="page225">
        <w:r>
          <w:rPr>
            <w:rFonts w:ascii="Arial" w:cs="Arial" w:eastAsia="Arial" w:hAnsi="Arial"/>
            <w:sz w:val="18"/>
            <w:szCs w:val="18"/>
            <w:color w:val="auto"/>
          </w:rPr>
          <w:t>Employment Agreement dated as of January 1, 2019 between CBS Corporation and Richard M. Jones (</w:t>
        </w:r>
        <w:r>
          <w:rPr>
            <w:rFonts w:ascii="Arial" w:cs="Arial" w:eastAsia="Arial" w:hAnsi="Arial"/>
            <w:sz w:val="18"/>
            <w:szCs w:val="18"/>
            <w:u w:val="single" w:color="auto"/>
            <w:color w:val="0000FF"/>
          </w:rPr>
          <w:t>filed</w:t>
        </w:r>
      </w:hyperlink>
      <w:r>
        <w:rPr>
          <w:rFonts w:ascii="Arial" w:cs="Arial" w:eastAsia="Arial" w:hAnsi="Arial"/>
          <w:sz w:val="18"/>
          <w:szCs w:val="18"/>
          <w:color w:val="auto"/>
        </w:rPr>
        <w:t xml:space="preserve"> </w:t>
      </w:r>
      <w:hyperlink w:anchor="page225">
        <w:r>
          <w:rPr>
            <w:rFonts w:ascii="Arial" w:cs="Arial" w:eastAsia="Arial" w:hAnsi="Arial"/>
            <w:sz w:val="18"/>
            <w:szCs w:val="18"/>
            <w:u w:val="single" w:color="auto"/>
            <w:color w:val="0000FF"/>
          </w:rPr>
          <w:t>herewith</w:t>
        </w:r>
        <w:r>
          <w:rPr>
            <w:rFonts w:ascii="Arial" w:cs="Arial" w:eastAsia="Arial" w:hAnsi="Arial"/>
            <w:sz w:val="18"/>
            <w:szCs w:val="18"/>
            <w:color w:val="000000"/>
          </w:rPr>
          <w:t>).*</w:t>
        </w:r>
      </w:hyperlink>
    </w:p>
    <w:p>
      <w:pPr>
        <w:spacing w:after="0" w:line="8" w:lineRule="exact"/>
        <w:rPr>
          <w:rFonts w:ascii="Arial" w:cs="Arial" w:eastAsia="Arial" w:hAnsi="Arial"/>
          <w:sz w:val="18"/>
          <w:szCs w:val="18"/>
          <w:color w:val="0000FF"/>
        </w:rPr>
      </w:pPr>
    </w:p>
    <w:p>
      <w:pPr>
        <w:ind w:left="840" w:right="1039" w:hanging="400"/>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Employment Agreement dated May 19, 2017 between CBS Corporation and Leslie Moonves (incorporated by reference to </w:t>
      </w:r>
      <w:hyperlink r:id="rId216">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CBS Corporation for the quarter ended June 30, 2017) (File No. 001-09553).*</w:t>
      </w:r>
    </w:p>
    <w:p>
      <w:pPr>
        <w:spacing w:after="0" w:line="19" w:lineRule="exact"/>
        <w:rPr>
          <w:rFonts w:ascii="Arial" w:cs="Arial" w:eastAsia="Arial" w:hAnsi="Arial"/>
          <w:sz w:val="18"/>
          <w:szCs w:val="18"/>
          <w:color w:val="auto"/>
        </w:rPr>
      </w:pPr>
    </w:p>
    <w:p>
      <w:pPr>
        <w:ind w:left="840" w:right="1039" w:hanging="400"/>
        <w:spacing w:after="0" w:line="25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Letter Agreement dated December 11, 2014 between CBS Corporation and Leslie Moonves amending and restating the Letter Agreement dated May 2, 2012 between CBS Corporation and Leslie Moonves (incorporated by reference to </w:t>
      </w:r>
      <w:hyperlink r:id="rId217">
        <w:r>
          <w:rPr>
            <w:rFonts w:ascii="Arial" w:cs="Arial" w:eastAsia="Arial" w:hAnsi="Arial"/>
            <w:sz w:val="18"/>
            <w:szCs w:val="18"/>
            <w:u w:val="single" w:color="auto"/>
            <w:color w:val="0000FF"/>
          </w:rPr>
          <w:t>Exhibit 10(p)</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2" w:lineRule="exact"/>
        <w:rPr>
          <w:rFonts w:ascii="Arial" w:cs="Arial" w:eastAsia="Arial" w:hAnsi="Arial"/>
          <w:sz w:val="18"/>
          <w:szCs w:val="18"/>
          <w:color w:val="auto"/>
        </w:rPr>
      </w:pPr>
    </w:p>
    <w:p>
      <w:pPr>
        <w:ind w:left="840" w:right="1699"/>
        <w:spacing w:after="0" w:line="261" w:lineRule="auto"/>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confidential treatment order granted by the Securities and Exchange Commission.</w:t>
      </w:r>
    </w:p>
    <w:p>
      <w:pPr>
        <w:spacing w:after="0" w:line="21" w:lineRule="exact"/>
        <w:rPr>
          <w:rFonts w:ascii="Arial" w:cs="Arial" w:eastAsia="Arial" w:hAnsi="Arial"/>
          <w:sz w:val="18"/>
          <w:szCs w:val="18"/>
          <w:color w:val="auto"/>
        </w:rPr>
      </w:pPr>
    </w:p>
    <w:p>
      <w:pPr>
        <w:ind w:left="840" w:right="1259" w:hanging="400"/>
        <w:spacing w:after="0" w:line="291"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Separation and Settlement Agreement and Releases effective as of September 9, 2018 between CBS Corporation and Leslie Moonves (incorporated by reference to </w:t>
      </w:r>
      <w:hyperlink r:id="rId218">
        <w:r>
          <w:rPr>
            <w:rFonts w:ascii="Arial" w:cs="Arial" w:eastAsia="Arial" w:hAnsi="Arial"/>
            <w:sz w:val="16"/>
            <w:szCs w:val="16"/>
            <w:u w:val="single" w:color="auto"/>
            <w:color w:val="0000FF"/>
          </w:rPr>
          <w:t>Exhibit 10(b)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Current Report on Form 8-K of CBS</w:t>
      </w:r>
    </w:p>
    <w:p>
      <w:pPr>
        <w:ind w:left="840"/>
        <w:spacing w:after="0"/>
        <w:rPr>
          <w:sz w:val="20"/>
          <w:szCs w:val="20"/>
          <w:color w:val="auto"/>
        </w:rPr>
      </w:pPr>
      <w:r>
        <w:rPr>
          <w:rFonts w:ascii="Arial" w:cs="Arial" w:eastAsia="Arial" w:hAnsi="Arial"/>
          <w:sz w:val="18"/>
          <w:szCs w:val="18"/>
          <w:color w:val="auto"/>
        </w:rPr>
        <w:t>Corporation filed September 10, 2018) (File No. 001-09553).*</w:t>
      </w:r>
    </w:p>
    <w:p>
      <w:pPr>
        <w:spacing w:after="0" w:line="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219"/>
          </w:cols>
          <w:pgMar w:left="240" w:top="522" w:right="1440" w:bottom="1440" w:gutter="0" w:footer="0" w:header="0"/>
        </w:sectPr>
      </w:pPr>
    </w:p>
    <w:bookmarkStart w:id="152" w:name="page153"/>
    <w:bookmarkEnd w:id="152"/>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43" w:lineRule="exact"/>
        <w:rPr>
          <w:sz w:val="20"/>
          <w:szCs w:val="20"/>
          <w:color w:val="auto"/>
        </w:rPr>
      </w:pPr>
    </w:p>
    <w:p>
      <w:pPr>
        <w:ind w:left="840" w:right="1379" w:hanging="400"/>
        <w:spacing w:after="0" w:line="257"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September 29, 2016 between CBS Corporation and Anthony G. Ambrosio (incorporated by reference to </w:t>
      </w:r>
      <w:hyperlink r:id="rId220">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2016), as amended by Letter Agreement dated August 4, 2017 (incorporated by reference to </w:t>
      </w:r>
      <w:hyperlink r:id="rId221">
        <w:r>
          <w:rPr>
            <w:rFonts w:ascii="Arial" w:cs="Arial" w:eastAsia="Arial" w:hAnsi="Arial"/>
            <w:sz w:val="18"/>
            <w:szCs w:val="18"/>
            <w:u w:val="single" w:color="auto"/>
            <w:color w:val="0000FF"/>
          </w:rPr>
          <w:t>Exhibit 10(c)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CBS Corporation for the quarter ended September 30, 2017) (File No. 001-09553).*</w:t>
      </w:r>
    </w:p>
    <w:p>
      <w:pPr>
        <w:spacing w:after="0" w:line="26" w:lineRule="exact"/>
        <w:rPr>
          <w:rFonts w:ascii="Arial" w:cs="Arial" w:eastAsia="Arial" w:hAnsi="Arial"/>
          <w:sz w:val="18"/>
          <w:szCs w:val="18"/>
          <w:color w:val="auto"/>
        </w:rPr>
      </w:pPr>
    </w:p>
    <w:p>
      <w:pPr>
        <w:ind w:left="840" w:right="999" w:hanging="400"/>
        <w:spacing w:after="0" w:line="26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Separation Agreement dated October 11, 2018 between CBS Corporation and Anthony G. Ambrosio (incorporated by reference to </w:t>
      </w:r>
      <w:hyperlink r:id="rId222">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October 12, 2018) (File No. 001-09553).*</w:t>
      </w:r>
    </w:p>
    <w:p>
      <w:pPr>
        <w:spacing w:after="0" w:line="19" w:lineRule="exact"/>
        <w:rPr>
          <w:rFonts w:ascii="Arial" w:cs="Arial" w:eastAsia="Arial" w:hAnsi="Arial"/>
          <w:sz w:val="18"/>
          <w:szCs w:val="18"/>
          <w:color w:val="auto"/>
        </w:rPr>
      </w:pPr>
    </w:p>
    <w:p>
      <w:pPr>
        <w:ind w:left="840" w:right="1019" w:hanging="400"/>
        <w:spacing w:after="0" w:line="255"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July 1, 2016 between CBS Corporation and Gil Schwartz (incorporated by reference to </w:t>
      </w:r>
      <w:hyperlink r:id="rId223">
        <w:r>
          <w:rPr>
            <w:rFonts w:ascii="Arial" w:cs="Arial" w:eastAsia="Arial" w:hAnsi="Arial"/>
            <w:sz w:val="18"/>
            <w:szCs w:val="18"/>
            <w:u w:val="single" w:color="auto"/>
            <w:color w:val="0000FF"/>
          </w:rPr>
          <w:t>Exhibit 10(u)</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Annual Report on Form 10-K of CBS Corporation for the fiscal year ended December 31, 2015) (File No. 001-09553), as amended by Letter Agreement dated August 4, 2017 (incorporated by reference to </w:t>
      </w:r>
      <w:hyperlink r:id="rId224">
        <w:r>
          <w:rPr>
            <w:rFonts w:ascii="Arial" w:cs="Arial" w:eastAsia="Arial" w:hAnsi="Arial"/>
            <w:sz w:val="18"/>
            <w:szCs w:val="18"/>
            <w:u w:val="single" w:color="auto"/>
            <w:color w:val="0000FF"/>
          </w:rPr>
          <w:t>Exhibit 10(d)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2017) (File No. 001-09553), as amended by Letter Agreement dated January 11, 2018 (incorporated by reference to </w:t>
      </w:r>
      <w:hyperlink r:id="rId225">
        <w:r>
          <w:rPr>
            <w:rFonts w:ascii="Arial" w:cs="Arial" w:eastAsia="Arial" w:hAnsi="Arial"/>
            <w:sz w:val="18"/>
            <w:szCs w:val="18"/>
            <w:u w:val="single" w:color="auto"/>
            <w:color w:val="0000FF"/>
          </w:rPr>
          <w:t>Exhibit 10(s)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year ended December 31, 2017) (File No. 001-09553).*</w:t>
      </w:r>
    </w:p>
    <w:p>
      <w:pPr>
        <w:spacing w:after="0" w:line="27" w:lineRule="exact"/>
        <w:rPr>
          <w:rFonts w:ascii="Arial" w:cs="Arial" w:eastAsia="Arial" w:hAnsi="Arial"/>
          <w:sz w:val="18"/>
          <w:szCs w:val="18"/>
          <w:color w:val="auto"/>
        </w:rPr>
      </w:pPr>
    </w:p>
    <w:p>
      <w:pPr>
        <w:ind w:left="840" w:right="1019" w:hanging="400"/>
        <w:spacing w:after="0" w:line="26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Separation Agreement dated as of September 21, 2018 between CBS Corporation and Gil D. Schwartz (incorporated by reference to </w:t>
      </w:r>
      <w:hyperlink r:id="rId226">
        <w:r>
          <w:rPr>
            <w:rFonts w:ascii="Arial" w:cs="Arial" w:eastAsia="Arial" w:hAnsi="Arial"/>
            <w:sz w:val="18"/>
            <w:szCs w:val="18"/>
            <w:u w:val="single" w:color="auto"/>
            <w:color w:val="0000FF"/>
          </w:rPr>
          <w:t>Exhibit 10(b)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September 27, 2018) (File No. 001-09553).*</w:t>
      </w:r>
    </w:p>
    <w:p>
      <w:pPr>
        <w:spacing w:after="0" w:line="19" w:lineRule="exact"/>
        <w:rPr>
          <w:rFonts w:ascii="Arial" w:cs="Arial" w:eastAsia="Arial" w:hAnsi="Arial"/>
          <w:sz w:val="18"/>
          <w:szCs w:val="18"/>
          <w:color w:val="auto"/>
        </w:rPr>
      </w:pPr>
    </w:p>
    <w:p>
      <w:pPr>
        <w:ind w:left="840" w:right="1219" w:hanging="400"/>
        <w:spacing w:after="0" w:line="277"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Corporation plans assumed by Former Viacom after the merger with former CBS Corporation, consisting of the following:</w:t>
      </w:r>
    </w:p>
    <w:p>
      <w:pPr>
        <w:spacing w:after="0" w:line="8" w:lineRule="exact"/>
        <w:rPr>
          <w:rFonts w:ascii="Arial" w:cs="Arial" w:eastAsia="Arial" w:hAnsi="Arial"/>
          <w:sz w:val="18"/>
          <w:szCs w:val="18"/>
          <w:color w:val="auto"/>
        </w:rPr>
      </w:pPr>
    </w:p>
    <w:p>
      <w:pPr>
        <w:ind w:left="1260" w:right="1079" w:hanging="415"/>
        <w:spacing w:after="0" w:line="219" w:lineRule="exact"/>
        <w:tabs>
          <w:tab w:leader="none" w:pos="1260" w:val="left"/>
        </w:tabs>
        <w:numPr>
          <w:ilvl w:val="1"/>
          <w:numId w:val="49"/>
        </w:numPr>
        <w:rPr>
          <w:rFonts w:ascii="Arial" w:cs="Arial" w:eastAsia="Arial" w:hAnsi="Arial"/>
          <w:sz w:val="16"/>
          <w:szCs w:val="16"/>
          <w:color w:val="000000"/>
        </w:rPr>
      </w:pPr>
      <w:r>
        <w:rPr>
          <w:rFonts w:ascii="Arial" w:cs="Arial" w:eastAsia="Arial" w:hAnsi="Arial"/>
          <w:sz w:val="16"/>
          <w:szCs w:val="16"/>
          <w:color w:val="auto"/>
        </w:rPr>
        <w:t xml:space="preserve">CBS Supplemental Executive Retirement Plan (as amended as of April 1, 1999) (incorporated by reference to </w:t>
      </w:r>
      <w:hyperlink r:id="rId227">
        <w:r>
          <w:rPr>
            <w:rFonts w:ascii="Arial" w:cs="Arial" w:eastAsia="Arial" w:hAnsi="Arial"/>
            <w:sz w:val="16"/>
            <w:szCs w:val="16"/>
            <w:u w:val="single" w:color="auto"/>
            <w:color w:val="0000FF"/>
          </w:rPr>
          <w:t>Exhibit 10(h)</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Quarterly Report on Form 10</w:t>
      </w:r>
      <w:r>
        <w:rPr>
          <w:rFonts w:ascii="MS PGothic" w:cs="MS PGothic" w:eastAsia="MS PGothic" w:hAnsi="MS PGothic"/>
          <w:sz w:val="16"/>
          <w:szCs w:val="16"/>
          <w:color w:val="000000"/>
        </w:rPr>
        <w:t>‑</w:t>
      </w:r>
      <w:r>
        <w:rPr>
          <w:rFonts w:ascii="Arial" w:cs="Arial" w:eastAsia="Arial" w:hAnsi="Arial"/>
          <w:sz w:val="16"/>
          <w:szCs w:val="16"/>
          <w:color w:val="000000"/>
        </w:rPr>
        <w:t>Q of CBS for the quarter ended September 30, 1999) (File</w:t>
      </w:r>
      <w:r>
        <w:rPr>
          <w:rFonts w:ascii="Arial" w:cs="Arial" w:eastAsia="Arial" w:hAnsi="Arial"/>
          <w:sz w:val="16"/>
          <w:szCs w:val="16"/>
          <w:color w:val="0000FF"/>
        </w:rPr>
        <w:t xml:space="preserve"> </w:t>
      </w:r>
      <w:r>
        <w:rPr>
          <w:rFonts w:ascii="Arial" w:cs="Arial" w:eastAsia="Arial" w:hAnsi="Arial"/>
          <w:sz w:val="16"/>
          <w:szCs w:val="16"/>
          <w:color w:val="000000"/>
        </w:rPr>
        <w:t>No. 001</w:t>
      </w:r>
      <w:r>
        <w:rPr>
          <w:rFonts w:ascii="MS PGothic" w:cs="MS PGothic" w:eastAsia="MS PGothic" w:hAnsi="MS PGothic"/>
          <w:sz w:val="16"/>
          <w:szCs w:val="16"/>
          <w:color w:val="000000"/>
        </w:rPr>
        <w:t>‑</w:t>
      </w:r>
      <w:r>
        <w:rPr>
          <w:rFonts w:ascii="Arial" w:cs="Arial" w:eastAsia="Arial" w:hAnsi="Arial"/>
          <w:sz w:val="16"/>
          <w:szCs w:val="16"/>
          <w:color w:val="000000"/>
        </w:rPr>
        <w:t xml:space="preserve">00977) (as amended by Part B, effective as of January 1, 2009, as amended and restated as of January 1, 2012) (incorporated by reference to </w:t>
      </w:r>
      <w:hyperlink r:id="rId228">
        <w:r>
          <w:rPr>
            <w:rFonts w:ascii="Arial" w:cs="Arial" w:eastAsia="Arial" w:hAnsi="Arial"/>
            <w:sz w:val="16"/>
            <w:szCs w:val="16"/>
            <w:u w:val="single" w:color="auto"/>
            <w:color w:val="0000FF"/>
          </w:rPr>
          <w:t>Exhibit 10(t)(i)</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to the Annual Report on Form 10</w:t>
      </w:r>
      <w:r>
        <w:rPr>
          <w:rFonts w:ascii="MS PGothic" w:cs="MS PGothic" w:eastAsia="MS PGothic" w:hAnsi="MS PGothic"/>
          <w:sz w:val="16"/>
          <w:szCs w:val="16"/>
          <w:color w:val="000000"/>
        </w:rPr>
        <w:t>‑</w:t>
      </w:r>
      <w:r>
        <w:rPr>
          <w:rFonts w:ascii="Arial" w:cs="Arial" w:eastAsia="Arial" w:hAnsi="Arial"/>
          <w:sz w:val="16"/>
          <w:szCs w:val="16"/>
          <w:color w:val="000000"/>
        </w:rPr>
        <w:t>K of CBS Corporation for the fiscal year ended December 31, 2012) (File No. 001</w:t>
      </w:r>
      <w:r>
        <w:rPr>
          <w:rFonts w:ascii="MS PGothic" w:cs="MS PGothic" w:eastAsia="MS PGothic" w:hAnsi="MS PGothic"/>
          <w:sz w:val="16"/>
          <w:szCs w:val="16"/>
          <w:color w:val="000000"/>
        </w:rPr>
        <w:t>‑</w:t>
      </w:r>
      <w:r>
        <w:rPr>
          <w:rFonts w:ascii="Arial" w:cs="Arial" w:eastAsia="Arial" w:hAnsi="Arial"/>
          <w:sz w:val="16"/>
          <w:szCs w:val="16"/>
          <w:color w:val="000000"/>
        </w:rPr>
        <w:t>09553).*</w:t>
      </w:r>
    </w:p>
    <w:p>
      <w:pPr>
        <w:spacing w:after="0" w:line="42" w:lineRule="exact"/>
        <w:rPr>
          <w:rFonts w:ascii="Arial" w:cs="Arial" w:eastAsia="Arial" w:hAnsi="Arial"/>
          <w:sz w:val="16"/>
          <w:szCs w:val="16"/>
          <w:color w:val="000000"/>
        </w:rPr>
      </w:pPr>
    </w:p>
    <w:p>
      <w:pPr>
        <w:ind w:left="1260" w:right="1139" w:hanging="415"/>
        <w:spacing w:after="0" w:line="219" w:lineRule="exact"/>
        <w:tabs>
          <w:tab w:leader="none" w:pos="12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CBS Bonus Supplemental Executive Retirement Plan (as amended as of April 1, 1999) (incorporated by reference to </w:t>
      </w:r>
      <w:hyperlink r:id="rId227">
        <w:r>
          <w:rPr>
            <w:rFonts w:ascii="Arial" w:cs="Arial" w:eastAsia="Arial" w:hAnsi="Arial"/>
            <w:sz w:val="16"/>
            <w:szCs w:val="16"/>
            <w:u w:val="single" w:color="auto"/>
            <w:color w:val="0000FF"/>
          </w:rPr>
          <w:t>Exhibit 10(i)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for the quarter ended September 30, 1999)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00977) (as amended by Part B, effective as of January 1, 2009, as amended and restated as of January 1, 2012) (incorporated by reference to </w:t>
      </w:r>
      <w:hyperlink r:id="rId229">
        <w:r>
          <w:rPr>
            <w:rFonts w:ascii="Arial" w:cs="Arial" w:eastAsia="Arial" w:hAnsi="Arial"/>
            <w:sz w:val="16"/>
            <w:szCs w:val="16"/>
            <w:u w:val="single" w:color="auto"/>
            <w:color w:val="0000FF"/>
          </w:rPr>
          <w:t>Exhibit 10(t)(ii)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2012) (File No. 001</w:t>
      </w:r>
      <w:r>
        <w:rPr>
          <w:rFonts w:ascii="MS PGothic" w:cs="MS PGothic" w:eastAsia="MS PGothic" w:hAnsi="MS PGothic"/>
          <w:sz w:val="16"/>
          <w:szCs w:val="16"/>
          <w:color w:val="auto"/>
        </w:rPr>
        <w:t>‑</w:t>
      </w:r>
      <w:r>
        <w:rPr>
          <w:rFonts w:ascii="Arial" w:cs="Arial" w:eastAsia="Arial" w:hAnsi="Arial"/>
          <w:sz w:val="16"/>
          <w:szCs w:val="16"/>
          <w:color w:val="auto"/>
        </w:rPr>
        <w:t>09553).*</w:t>
      </w:r>
    </w:p>
    <w:p>
      <w:pPr>
        <w:spacing w:after="0" w:line="42" w:lineRule="exact"/>
        <w:rPr>
          <w:rFonts w:ascii="Arial" w:cs="Arial" w:eastAsia="Arial" w:hAnsi="Arial"/>
          <w:sz w:val="16"/>
          <w:szCs w:val="16"/>
          <w:color w:val="auto"/>
        </w:rPr>
      </w:pPr>
    </w:p>
    <w:p>
      <w:pPr>
        <w:jc w:val="both"/>
        <w:ind w:left="1260" w:right="999" w:hanging="415"/>
        <w:spacing w:after="0" w:line="221" w:lineRule="exact"/>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CBS Supplemental Employee Investment Fund (as amended as of January 1, 1998) (incorporated by reference to </w:t>
      </w:r>
      <w:hyperlink r:id="rId227">
        <w:r>
          <w:rPr>
            <w:rFonts w:ascii="Arial" w:cs="Arial" w:eastAsia="Arial" w:hAnsi="Arial"/>
            <w:sz w:val="18"/>
            <w:szCs w:val="18"/>
            <w:u w:val="single" w:color="auto"/>
            <w:color w:val="0000FF"/>
          </w:rPr>
          <w:t>Exhibit 10(j)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CBS for the quarter ended September 30, 1999) (File No. 001</w:t>
      </w:r>
      <w:r>
        <w:rPr>
          <w:rFonts w:ascii="MS PGothic" w:cs="MS PGothic" w:eastAsia="MS PGothic" w:hAnsi="MS PGothic"/>
          <w:sz w:val="18"/>
          <w:szCs w:val="18"/>
          <w:color w:val="auto"/>
        </w:rPr>
        <w:t>‑</w:t>
      </w:r>
      <w:r>
        <w:rPr>
          <w:rFonts w:ascii="Arial" w:cs="Arial" w:eastAsia="Arial" w:hAnsi="Arial"/>
          <w:sz w:val="18"/>
          <w:szCs w:val="18"/>
          <w:color w:val="auto"/>
        </w:rPr>
        <w:t>00977).*</w:t>
      </w:r>
    </w:p>
    <w:p>
      <w:pPr>
        <w:spacing w:after="0" w:line="40" w:lineRule="exact"/>
        <w:rPr>
          <w:rFonts w:ascii="Arial" w:cs="Arial" w:eastAsia="Arial" w:hAnsi="Arial"/>
          <w:sz w:val="16"/>
          <w:szCs w:val="16"/>
          <w:color w:val="auto"/>
        </w:rPr>
      </w:pPr>
    </w:p>
    <w:p>
      <w:pPr>
        <w:ind w:left="840" w:hanging="400"/>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CBS Corporation Matching Gifts Program for Directors (</w:t>
      </w:r>
      <w:hyperlink w:anchor="page183">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840" w:right="1019" w:hanging="400"/>
        <w:spacing w:after="0" w:line="219" w:lineRule="exact"/>
        <w:tabs>
          <w:tab w:leader="none" w:pos="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Amended and Restated $2.5 Billion Credit Agreement, dated as of June 9, 2016, among CBS Corporation; CBS Operations Inc.; the Subsidiary Borrowers Parties thereto; the Lenders named therein; JPMorgan Chase Bank, N.A., as Administrative Agent; Citibank, N.A., as Syndication Agent; and Bank of America, N.A., Deutsche Bank Securities Inc., Goldman Sachs Bank USA, Mizuho Bank, Ltd., Morgan Stanley MUFG Loan Partners, LLC, and Wells Fargo Bank, N.A., as Co</w:t>
      </w:r>
      <w:r>
        <w:rPr>
          <w:rFonts w:ascii="MS PGothic" w:cs="MS PGothic" w:eastAsia="MS PGothic" w:hAnsi="MS PGothic"/>
          <w:sz w:val="17"/>
          <w:szCs w:val="17"/>
          <w:color w:val="auto"/>
        </w:rPr>
        <w:t>‑</w:t>
      </w:r>
      <w:r>
        <w:rPr>
          <w:rFonts w:ascii="Arial" w:cs="Arial" w:eastAsia="Arial" w:hAnsi="Arial"/>
          <w:sz w:val="17"/>
          <w:szCs w:val="17"/>
          <w:color w:val="auto"/>
        </w:rPr>
        <w:t xml:space="preserve">Documentation Agents (incorporated by reference to </w:t>
      </w:r>
      <w:hyperlink r:id="rId230">
        <w:r>
          <w:rPr>
            <w:rFonts w:ascii="Arial" w:cs="Arial" w:eastAsia="Arial" w:hAnsi="Arial"/>
            <w:sz w:val="17"/>
            <w:szCs w:val="17"/>
            <w:u w:val="single" w:color="auto"/>
            <w:color w:val="0000FF"/>
          </w:rPr>
          <w:t>Exhibit 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Current Report on Form 8-K of CBS Corporation filed June 10, 2016) (File No. 001-09553).</w:t>
      </w:r>
    </w:p>
    <w:p>
      <w:pPr>
        <w:spacing w:after="0" w:line="40" w:lineRule="exact"/>
        <w:rPr>
          <w:rFonts w:ascii="Arial" w:cs="Arial" w:eastAsia="Arial" w:hAnsi="Arial"/>
          <w:sz w:val="17"/>
          <w:szCs w:val="17"/>
          <w:color w:val="auto"/>
        </w:rPr>
      </w:pPr>
    </w:p>
    <w:p>
      <w:pPr>
        <w:ind w:left="840" w:right="1059" w:hanging="400"/>
        <w:spacing w:after="0" w:line="298" w:lineRule="auto"/>
        <w:tabs>
          <w:tab w:leader="none" w:pos="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Settlement and Release Agreement effective as of September 9, 2018 (incorporated by reference to </w:t>
      </w:r>
      <w:hyperlink r:id="rId231">
        <w:r>
          <w:rPr>
            <w:rFonts w:ascii="Arial" w:cs="Arial" w:eastAsia="Arial" w:hAnsi="Arial"/>
            <w:sz w:val="17"/>
            <w:szCs w:val="17"/>
            <w:u w:val="single" w:color="auto"/>
            <w:color w:val="0000FF"/>
          </w:rPr>
          <w:t>Exhibit 10(a)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Current Report on Form 8-K of CBS Corporation filed September 10, 2018) (File No. 001-09553).</w:t>
      </w:r>
    </w:p>
    <w:p>
      <w:pPr>
        <w:ind w:left="840" w:right="1379" w:hanging="400"/>
        <w:spacing w:after="0" w:line="221" w:lineRule="exact"/>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Separation Agreement dated as of December 19, 2005 by and between Former Viacom and New Viacom Corp. (incorporated by reference to </w:t>
      </w:r>
      <w:hyperlink r:id="rId232">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Former Viacom filed December 21, 2005)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39" w:lineRule="exact"/>
        <w:rPr>
          <w:rFonts w:ascii="Arial" w:cs="Arial" w:eastAsia="Arial" w:hAnsi="Arial"/>
          <w:sz w:val="18"/>
          <w:szCs w:val="18"/>
          <w:color w:val="auto"/>
        </w:rPr>
      </w:pPr>
    </w:p>
    <w:p>
      <w:pPr>
        <w:ind w:left="840" w:right="1119" w:hanging="400"/>
        <w:spacing w:after="0" w:line="224" w:lineRule="exact"/>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Tax Matters Agreement dated as of December 30, 2005 by and between Former Viacom and New Viacom Corp. (incorporated by reference to </w:t>
      </w:r>
      <w:hyperlink r:id="rId233">
        <w:r>
          <w:rPr>
            <w:rFonts w:ascii="Arial" w:cs="Arial" w:eastAsia="Arial" w:hAnsi="Arial"/>
            <w:sz w:val="16"/>
            <w:szCs w:val="16"/>
            <w:u w:val="single" w:color="auto"/>
            <w:color w:val="0000FF"/>
          </w:rPr>
          <w:t>Exhibit 10.1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of CBS Corporation filed January 5,</w:t>
      </w:r>
    </w:p>
    <w:p>
      <w:pPr>
        <w:ind w:left="840"/>
        <w:spacing w:after="0" w:line="207" w:lineRule="exact"/>
        <w:rPr>
          <w:sz w:val="20"/>
          <w:szCs w:val="20"/>
          <w:color w:val="auto"/>
        </w:rPr>
      </w:pPr>
      <w:r>
        <w:rPr>
          <w:rFonts w:ascii="Arial" w:cs="Arial" w:eastAsia="Arial" w:hAnsi="Arial"/>
          <w:sz w:val="18"/>
          <w:szCs w:val="18"/>
          <w:color w:val="auto"/>
        </w:rPr>
        <w:t>2006)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0219"/>
          </w:cols>
          <w:pgMar w:left="240" w:top="522" w:right="1440" w:bottom="1440" w:gutter="0" w:footer="0" w:header="0"/>
        </w:sectPr>
      </w:pPr>
    </w:p>
    <w:bookmarkStart w:id="153" w:name="page154"/>
    <w:bookmarkEnd w:id="153"/>
    <w:p>
      <w:pPr>
        <w:ind w:left="65"/>
        <w:spacing w:after="0"/>
        <w:tabs>
          <w:tab w:leader="none" w:pos="4245"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5848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39" w:lineRule="exact"/>
        <w:rPr>
          <w:sz w:val="20"/>
          <w:szCs w:val="20"/>
          <w:color w:val="auto"/>
        </w:rPr>
      </w:pPr>
    </w:p>
    <w:p>
      <w:pPr>
        <w:ind w:left="905" w:hanging="905"/>
        <w:spacing w:after="0"/>
        <w:tabs>
          <w:tab w:leader="none" w:pos="90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Subsidiaries of CBS Corporation </w:t>
      </w:r>
      <w:r>
        <w:rPr>
          <w:rFonts w:ascii="Arial" w:cs="Arial" w:eastAsia="Arial" w:hAnsi="Arial"/>
          <w:sz w:val="18"/>
          <w:szCs w:val="18"/>
          <w:color w:val="auto"/>
        </w:rPr>
        <w:t>(</w:t>
      </w:r>
      <w:hyperlink w:anchor="page260">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sz w:val="20"/>
          <w:szCs w:val="20"/>
          <w:color w:val="auto"/>
        </w:rPr>
      </w:pPr>
    </w:p>
    <w:p>
      <w:pPr>
        <w:ind w:left="905" w:hanging="905"/>
        <w:spacing w:after="0"/>
        <w:tabs>
          <w:tab w:leader="none" w:pos="905"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67" w:lineRule="exact"/>
        <w:rPr>
          <w:rFonts w:ascii="Arial" w:cs="Arial" w:eastAsia="Arial" w:hAnsi="Arial"/>
          <w:sz w:val="18"/>
          <w:szCs w:val="18"/>
          <w:color w:val="auto"/>
        </w:rPr>
      </w:pPr>
    </w:p>
    <w:p>
      <w:pPr>
        <w:ind w:left="905" w:hanging="405"/>
        <w:spacing w:after="0"/>
        <w:tabs>
          <w:tab w:leader="none" w:pos="9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Consent of PricewaterhouseCoopers LLP (</w:t>
      </w:r>
      <w:hyperlink w:anchor="page273">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5" w:hanging="905"/>
        <w:spacing w:after="0"/>
        <w:tabs>
          <w:tab w:leader="none" w:pos="90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Attorney </w:t>
      </w:r>
      <w:r>
        <w:rPr>
          <w:rFonts w:ascii="Arial" w:cs="Arial" w:eastAsia="Arial" w:hAnsi="Arial"/>
          <w:sz w:val="18"/>
          <w:szCs w:val="18"/>
          <w:color w:val="auto"/>
        </w:rPr>
        <w:t>(</w:t>
      </w:r>
      <w:hyperlink w:anchor="page274">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05" w:hanging="905"/>
        <w:spacing w:after="0" w:line="207" w:lineRule="exact"/>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Certifications</w:t>
      </w:r>
    </w:p>
    <w:p>
      <w:pPr>
        <w:spacing w:after="0" w:line="67" w:lineRule="exact"/>
        <w:rPr>
          <w:rFonts w:ascii="Arial" w:cs="Arial" w:eastAsia="Arial" w:hAnsi="Arial"/>
          <w:sz w:val="18"/>
          <w:szCs w:val="18"/>
          <w:color w:val="auto"/>
        </w:rPr>
      </w:pPr>
    </w:p>
    <w:p>
      <w:pPr>
        <w:ind w:left="905" w:right="1479" w:hanging="405"/>
        <w:spacing w:after="0" w:line="223" w:lineRule="exact"/>
        <w:tabs>
          <w:tab w:leader="none" w:pos="9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15d</w:t>
      </w:r>
      <w:r>
        <w:rPr>
          <w:rFonts w:ascii="MS PGothic" w:cs="MS PGothic" w:eastAsia="MS PGothic" w:hAnsi="MS PGothic"/>
          <w:sz w:val="18"/>
          <w:szCs w:val="18"/>
          <w:color w:val="auto"/>
        </w:rPr>
        <w:t>‑</w:t>
      </w:r>
      <w:r>
        <w:rPr>
          <w:rFonts w:ascii="Arial" w:cs="Arial" w:eastAsia="Arial" w:hAnsi="Arial"/>
          <w:sz w:val="18"/>
          <w:szCs w:val="18"/>
          <w:color w:val="auto"/>
        </w:rPr>
        <w:t>14(a), as adopted pursuant to Section 302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w:t>
      </w:r>
      <w:hyperlink w:anchor="page285">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05" w:right="1519" w:hanging="405"/>
        <w:spacing w:after="0" w:line="224" w:lineRule="exact"/>
        <w:tabs>
          <w:tab w:leader="none" w:pos="905" w:val="left"/>
        </w:tabs>
        <w:numPr>
          <w:ilvl w:val="1"/>
          <w:numId w:val="53"/>
        </w:numPr>
        <w:rPr>
          <w:rFonts w:ascii="Arial" w:cs="Arial" w:eastAsia="Arial" w:hAnsi="Arial"/>
          <w:sz w:val="17"/>
          <w:szCs w:val="17"/>
          <w:color w:val="auto"/>
        </w:rPr>
      </w:pPr>
      <w:r>
        <w:rPr>
          <w:rFonts w:ascii="Arial" w:cs="Arial" w:eastAsia="Arial" w:hAnsi="Arial"/>
          <w:sz w:val="17"/>
          <w:szCs w:val="17"/>
          <w:color w:val="auto"/>
        </w:rPr>
        <w:t>Certification of the Chief Financial Officer of CBS Corporation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15d</w:t>
      </w:r>
      <w:r>
        <w:rPr>
          <w:rFonts w:ascii="MS PGothic" w:cs="MS PGothic" w:eastAsia="MS PGothic" w:hAnsi="MS PGothic"/>
          <w:sz w:val="17"/>
          <w:szCs w:val="17"/>
          <w:color w:val="auto"/>
        </w:rPr>
        <w:t>‑</w:t>
      </w:r>
      <w:r>
        <w:rPr>
          <w:rFonts w:ascii="Arial" w:cs="Arial" w:eastAsia="Arial" w:hAnsi="Arial"/>
          <w:sz w:val="17"/>
          <w:szCs w:val="17"/>
          <w:color w:val="auto"/>
        </w:rPr>
        <w:t>14(a), as adopted pursuant to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86">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35" w:lineRule="exact"/>
        <w:rPr>
          <w:rFonts w:ascii="Arial" w:cs="Arial" w:eastAsia="Arial" w:hAnsi="Arial"/>
          <w:sz w:val="17"/>
          <w:szCs w:val="17"/>
          <w:color w:val="auto"/>
        </w:rPr>
      </w:pPr>
    </w:p>
    <w:p>
      <w:pPr>
        <w:ind w:left="905" w:hanging="905"/>
        <w:spacing w:after="0"/>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67" w:lineRule="exact"/>
        <w:rPr>
          <w:rFonts w:ascii="Arial" w:cs="Arial" w:eastAsia="Arial" w:hAnsi="Arial"/>
          <w:sz w:val="18"/>
          <w:szCs w:val="18"/>
          <w:color w:val="auto"/>
        </w:rPr>
      </w:pPr>
    </w:p>
    <w:p>
      <w:pPr>
        <w:ind w:left="905" w:right="1079" w:hanging="405"/>
        <w:spacing w:after="0" w:line="223" w:lineRule="exact"/>
        <w:tabs>
          <w:tab w:leader="none" w:pos="9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furnished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w:t>
      </w:r>
      <w:hyperlink w:anchor="page287">
        <w:r>
          <w:rPr>
            <w:rFonts w:ascii="Arial" w:cs="Arial" w:eastAsia="Arial" w:hAnsi="Arial"/>
            <w:sz w:val="18"/>
            <w:szCs w:val="18"/>
            <w:u w:val="single" w:color="auto"/>
            <w:color w:val="0000FF"/>
          </w:rPr>
          <w:t>furnished herewith</w:t>
        </w:r>
      </w:hyperlink>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05" w:right="1139" w:hanging="405"/>
        <w:spacing w:after="0" w:line="223" w:lineRule="exact"/>
        <w:tabs>
          <w:tab w:leader="none" w:pos="9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Certification of the Chief Financial Officer of CBS Corporation furnished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w:t>
      </w:r>
      <w:hyperlink w:anchor="page288">
        <w:r>
          <w:rPr>
            <w:rFonts w:ascii="Arial" w:cs="Arial" w:eastAsia="Arial" w:hAnsi="Arial"/>
            <w:sz w:val="18"/>
            <w:szCs w:val="18"/>
            <w:u w:val="single" w:color="auto"/>
            <w:color w:val="0000FF"/>
          </w:rPr>
          <w:t>furnished herewith</w:t>
        </w:r>
      </w:hyperlink>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5" w:hanging="905"/>
        <w:spacing w:after="0"/>
        <w:tabs>
          <w:tab w:leader="none" w:pos="90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Interactive Data File</w:t>
      </w:r>
    </w:p>
    <w:p>
      <w:pPr>
        <w:spacing w:after="0" w:line="67" w:lineRule="exact"/>
        <w:rPr>
          <w:rFonts w:ascii="Arial" w:cs="Arial" w:eastAsia="Arial" w:hAnsi="Arial"/>
          <w:sz w:val="18"/>
          <w:szCs w:val="18"/>
          <w:color w:val="auto"/>
        </w:rPr>
      </w:pPr>
    </w:p>
    <w:p>
      <w:pPr>
        <w:ind w:left="905"/>
        <w:spacing w:after="0"/>
        <w:rPr>
          <w:sz w:val="20"/>
          <w:szCs w:val="20"/>
          <w:color w:val="auto"/>
        </w:rPr>
      </w:pPr>
      <w:r>
        <w:rPr>
          <w:rFonts w:ascii="Arial" w:cs="Arial" w:eastAsia="Arial" w:hAnsi="Arial"/>
          <w:sz w:val="18"/>
          <w:szCs w:val="18"/>
          <w:color w:val="auto"/>
        </w:rPr>
        <w:t>101. INS XBRL Instance Document.</w:t>
      </w:r>
    </w:p>
    <w:p>
      <w:pPr>
        <w:spacing w:after="0" w:line="23" w:lineRule="exact"/>
        <w:rPr>
          <w:rFonts w:ascii="Arial" w:cs="Arial" w:eastAsia="Arial" w:hAnsi="Arial"/>
          <w:sz w:val="18"/>
          <w:szCs w:val="18"/>
          <w:color w:val="auto"/>
        </w:rPr>
      </w:pPr>
    </w:p>
    <w:p>
      <w:pPr>
        <w:ind w:left="905"/>
        <w:spacing w:after="0"/>
        <w:rPr>
          <w:sz w:val="20"/>
          <w:szCs w:val="20"/>
          <w:color w:val="auto"/>
        </w:rPr>
      </w:pPr>
      <w:r>
        <w:rPr>
          <w:rFonts w:ascii="Arial" w:cs="Arial" w:eastAsia="Arial" w:hAnsi="Arial"/>
          <w:sz w:val="18"/>
          <w:szCs w:val="18"/>
          <w:color w:val="auto"/>
        </w:rPr>
        <w:t>101. SCH XBRL Taxonomy Extension Schema.</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 XBRL Taxonomy Extension Calculation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 XBRL Taxonomy Extension Definition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LAB XBRL Taxonomy Extension Label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 XBRL Taxonomy Extension Presentation Linkbase.</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545"/>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0184"/>
          </w:cols>
          <w:pgMar w:left="275" w:top="522"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CBS Corporation has duly caused this report to be signed on its behalf by the undersigned, thereto duly authorized.</w:t>
      </w:r>
    </w:p>
    <w:p>
      <w:pPr>
        <w:spacing w:after="0" w:line="38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CBS CORPORATION</w:t>
      </w:r>
    </w:p>
    <w:p>
      <w:pPr>
        <w:spacing w:after="0" w:line="337" w:lineRule="exact"/>
        <w:rPr>
          <w:sz w:val="20"/>
          <w:szCs w:val="20"/>
          <w:color w:val="auto"/>
        </w:rPr>
      </w:pPr>
    </w:p>
    <w:p>
      <w:pPr>
        <w:ind w:left="68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31750</wp:posOffset>
            </wp:positionV>
            <wp:extent cx="25730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jc w:val="center"/>
        <w:ind w:left="6920"/>
        <w:spacing w:after="0"/>
        <w:rPr>
          <w:sz w:val="20"/>
          <w:szCs w:val="20"/>
          <w:color w:val="auto"/>
        </w:rPr>
      </w:pPr>
      <w:r>
        <w:rPr>
          <w:rFonts w:ascii="Arial" w:cs="Arial" w:eastAsia="Arial" w:hAnsi="Arial"/>
          <w:sz w:val="18"/>
          <w:szCs w:val="18"/>
          <w:color w:val="auto"/>
        </w:rPr>
        <w:t>Joseph R. Ianniello</w:t>
      </w:r>
    </w:p>
    <w:p>
      <w:pPr>
        <w:spacing w:after="0" w:line="23" w:lineRule="exact"/>
        <w:rPr>
          <w:sz w:val="20"/>
          <w:szCs w:val="20"/>
          <w:color w:val="auto"/>
        </w:rPr>
      </w:pPr>
    </w:p>
    <w:p>
      <w:pPr>
        <w:jc w:val="center"/>
        <w:ind w:left="6920"/>
        <w:spacing w:after="0"/>
        <w:rPr>
          <w:sz w:val="20"/>
          <w:szCs w:val="20"/>
          <w:color w:val="auto"/>
        </w:rPr>
      </w:pPr>
      <w:r>
        <w:rPr>
          <w:rFonts w:ascii="Arial" w:cs="Arial" w:eastAsia="Arial" w:hAnsi="Arial"/>
          <w:sz w:val="18"/>
          <w:szCs w:val="18"/>
          <w:i w:val="1"/>
          <w:iCs w:val="1"/>
          <w:color w:val="auto"/>
        </w:rPr>
        <w:t>President and Acting Chief</w:t>
      </w:r>
    </w:p>
    <w:p>
      <w:pPr>
        <w:spacing w:after="0" w:line="9" w:lineRule="exact"/>
        <w:rPr>
          <w:sz w:val="20"/>
          <w:szCs w:val="20"/>
          <w:color w:val="auto"/>
        </w:rPr>
      </w:pPr>
    </w:p>
    <w:p>
      <w:pPr>
        <w:jc w:val="center"/>
        <w:ind w:left="6920"/>
        <w:spacing w:after="0"/>
        <w:rPr>
          <w:sz w:val="20"/>
          <w:szCs w:val="20"/>
          <w:color w:val="auto"/>
        </w:rPr>
      </w:pPr>
      <w:r>
        <w:rPr>
          <w:rFonts w:ascii="Arial" w:cs="Arial" w:eastAsia="Arial" w:hAnsi="Arial"/>
          <w:sz w:val="18"/>
          <w:szCs w:val="18"/>
          <w:i w:val="1"/>
          <w:iCs w:val="1"/>
          <w:color w:val="auto"/>
        </w:rPr>
        <w:t>Executive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14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CBS Corporation and in the capacities and on the dates indicated:</w:t>
      </w:r>
    </w:p>
    <w:p>
      <w:pPr>
        <w:spacing w:after="0" w:line="130" w:lineRule="exact"/>
        <w:rPr>
          <w:sz w:val="20"/>
          <w:szCs w:val="20"/>
          <w:color w:val="auto"/>
        </w:rPr>
      </w:pPr>
    </w:p>
    <w:p>
      <w:pPr>
        <w:ind w:left="2180"/>
        <w:spacing w:after="0"/>
        <w:tabs>
          <w:tab w:leader="none" w:pos="6980" w:val="left"/>
          <w:tab w:leader="none" w:pos="101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46355</wp:posOffset>
            </wp:positionV>
            <wp:extent cx="29584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Joseph R. Ianniello</w:t>
      </w:r>
    </w:p>
    <w:p>
      <w:pPr>
        <w:spacing w:after="0" w:line="200" w:lineRule="exact"/>
        <w:rPr>
          <w:sz w:val="20"/>
          <w:szCs w:val="20"/>
          <w:color w:val="auto"/>
        </w:rPr>
      </w:pP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Christina Spade</w:t>
      </w:r>
    </w:p>
    <w:p>
      <w:pPr>
        <w:spacing w:after="0" w:line="200" w:lineRule="exact"/>
        <w:rPr>
          <w:sz w:val="20"/>
          <w:szCs w:val="20"/>
          <w:color w:val="auto"/>
        </w:rPr>
      </w:pP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Lawrence Liding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Lawrence Liding</w:t>
      </w:r>
    </w:p>
    <w:p>
      <w:pPr>
        <w:spacing w:after="0" w:line="33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Candace K. Beinecke</w:t>
      </w:r>
    </w:p>
    <w:p>
      <w:pPr>
        <w:spacing w:after="0" w:line="35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Barbara M. Byrne</w:t>
      </w:r>
    </w:p>
    <w:p>
      <w:pPr>
        <w:spacing w:after="0" w:line="33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Gary L. Countryman</w:t>
      </w:r>
    </w:p>
    <w:p>
      <w:pPr>
        <w:spacing w:after="0" w:line="34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Brian Goldner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1"/>
              </w:rPr>
              <w:t>President and Acting Chief</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4"/>
              </w:rPr>
              <w:t>Executive Officer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230"/>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4"/>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4"/>
              </w:rPr>
              <w:t>Chief Financial Officer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230"/>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4"/>
              </w:rPr>
              <w:t>(Principal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1"/>
              </w:rPr>
              <w:t>Controller and</w:t>
            </w:r>
          </w:p>
        </w:tc>
        <w:tc>
          <w:tcPr>
            <w:tcW w:w="2000" w:type="dxa"/>
            <w:vAlign w:val="bottom"/>
            <w:vMerge w:val="restart"/>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122"/>
        </w:trPr>
        <w:tc>
          <w:tcPr>
            <w:tcW w:w="2900" w:type="dxa"/>
            <w:vAlign w:val="bottom"/>
            <w:vMerge w:val="restart"/>
          </w:tcPr>
          <w:p>
            <w:pPr>
              <w:jc w:val="center"/>
              <w:ind w:right="610"/>
              <w:spacing w:after="0"/>
              <w:rPr>
                <w:sz w:val="20"/>
                <w:szCs w:val="20"/>
                <w:color w:val="auto"/>
              </w:rPr>
            </w:pPr>
            <w:r>
              <w:rPr>
                <w:rFonts w:ascii="Arial" w:cs="Arial" w:eastAsia="Arial" w:hAnsi="Arial"/>
                <w:sz w:val="18"/>
                <w:szCs w:val="18"/>
                <w:color w:val="auto"/>
                <w:w w:val="94"/>
              </w:rPr>
              <w:t>Chief Accounting Officer</w:t>
            </w: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5"/>
              </w:rPr>
              <w:t>(Principal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2019</w:t>
            </w:r>
          </w:p>
        </w:tc>
        <w:tc>
          <w:tcPr>
            <w:tcW w:w="0" w:type="dxa"/>
            <w:vAlign w:val="bottom"/>
          </w:tcPr>
          <w:p>
            <w:pPr>
              <w:spacing w:after="0"/>
              <w:rPr>
                <w:sz w:val="1"/>
                <w:szCs w:val="1"/>
                <w:color w:val="auto"/>
              </w:rPr>
            </w:pPr>
          </w:p>
        </w:tc>
      </w:tr>
    </w:tbl>
    <w:p>
      <w:pPr>
        <w:sectPr>
          <w:pgSz w:w="11900" w:h="16838" w:orient="portrait"/>
          <w:cols w:equalWidth="0" w:num="2">
            <w:col w:w="5340" w:space="720"/>
            <w:col w:w="5360"/>
          </w:cols>
          <w:pgMar w:left="240" w:top="499" w:right="239" w:bottom="1440" w:gutter="0" w:footer="0" w:header="0"/>
          <w:type w:val="continuous"/>
        </w:sectPr>
      </w:pPr>
    </w:p>
    <w:bookmarkStart w:id="155" w:name="page156"/>
    <w:bookmarkEnd w:id="155"/>
    <w:p>
      <w:pPr>
        <w:ind w:left="1840"/>
        <w:spacing w:after="0"/>
        <w:rPr>
          <w:sz w:val="20"/>
          <w:szCs w:val="20"/>
          <w:color w:val="auto"/>
        </w:rPr>
      </w:pPr>
      <w:r>
        <w:rPr>
          <w:rFonts w:ascii="Arial" w:cs="Arial" w:eastAsia="Arial" w:hAnsi="Arial"/>
          <w:sz w:val="16"/>
          <w:szCs w:val="16"/>
          <w:b w:val="1"/>
          <w:bCs w:val="1"/>
          <w:u w:val="single" w:color="auto"/>
          <w:color w:val="auto"/>
        </w:rPr>
        <w:t>Signature</w:t>
      </w:r>
    </w:p>
    <w:p>
      <w:pPr>
        <w:spacing w:after="0" w:line="34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Linda M. Griego</w:t>
      </w: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Robert N. Klieger</w:t>
      </w: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Martha L. Minow</w:t>
      </w: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Shari Redstone</w:t>
      </w: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Susan Schuman</w:t>
      </w:r>
    </w:p>
    <w:p>
      <w:pPr>
        <w:spacing w:after="0" w:line="33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Frederick O. Terrell</w:t>
      </w:r>
    </w:p>
    <w:p>
      <w:pPr>
        <w:spacing w:after="0" w:line="200" w:lineRule="exact"/>
        <w:rPr>
          <w:sz w:val="20"/>
          <w:szCs w:val="20"/>
          <w:color w:val="auto"/>
        </w:rPr>
      </w:pPr>
    </w:p>
    <w:p>
      <w:pPr>
        <w:spacing w:after="0" w:line="3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31750</wp:posOffset>
            </wp:positionV>
            <wp:extent cx="29584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Strauss Zelnick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Lawrence P. 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46355</wp:posOffset>
            </wp:positionV>
            <wp:extent cx="25298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Lawrence P. Tu</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Attorney-in-Fact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for Directors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6"/>
          <w:szCs w:val="16"/>
          <w:b w:val="1"/>
          <w:bCs w:val="1"/>
          <w:u w:val="single" w:color="auto"/>
          <w:color w:val="auto"/>
        </w:rPr>
        <w:t>Title</w:t>
      </w: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(Interim Chairman of the</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Board of Directors)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6"/>
          <w:szCs w:val="16"/>
          <w:b w:val="1"/>
          <w:bCs w:val="1"/>
          <w:u w:val="single" w:color="auto"/>
          <w:color w:val="auto"/>
        </w:rPr>
        <w:t>Date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ectPr>
          <w:pgSz w:w="11900" w:h="16838" w:orient="portrait"/>
          <w:cols w:equalWidth="0" w:num="3">
            <w:col w:w="5200" w:space="720"/>
            <w:col w:w="2660" w:space="720"/>
            <w:col w:w="1320"/>
          </w:cols>
          <w:pgMar w:left="580" w:top="868" w:right="69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10(a)</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CBS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LONG-TERM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(effective February 21, 2008, as amended and restated December 11, 2018)</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Purpose.</w:t>
      </w:r>
    </w:p>
    <w:p>
      <w:pPr>
        <w:spacing w:after="0" w:line="185" w:lineRule="exact"/>
        <w:rPr>
          <w:sz w:val="20"/>
          <w:szCs w:val="20"/>
          <w:color w:val="auto"/>
        </w:rPr>
      </w:pPr>
    </w:p>
    <w:p>
      <w:pPr>
        <w:ind w:right="140" w:firstLine="648"/>
        <w:spacing w:after="0" w:line="265" w:lineRule="auto"/>
        <w:rPr>
          <w:sz w:val="20"/>
          <w:szCs w:val="20"/>
          <w:color w:val="auto"/>
        </w:rPr>
      </w:pPr>
      <w:r>
        <w:rPr>
          <w:rFonts w:ascii="Arial" w:cs="Arial" w:eastAsia="Arial" w:hAnsi="Arial"/>
          <w:sz w:val="21"/>
          <w:szCs w:val="21"/>
          <w:color w:val="auto"/>
        </w:rPr>
        <w:t>The purpose of the CBS Corporation 2009 Long-Term Incentive Plan, as amended and restated December 11, 2018 (the “Plan”), is to benefit and advance the interests of CBS Corporation, a Delaware corporation (the “Company”), and its Subsidiaries (as defined below) by attracting, retaining and motivating Participants (as defined below) and to compensate Participants for their contributions to the financial success of the Company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Definitions.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terms shall have the following meanings:</w:t>
      </w:r>
    </w:p>
    <w:p>
      <w:pPr>
        <w:spacing w:after="0" w:line="214" w:lineRule="exact"/>
        <w:rPr>
          <w:sz w:val="20"/>
          <w:szCs w:val="20"/>
          <w:color w:val="auto"/>
        </w:rPr>
      </w:pPr>
    </w:p>
    <w:p>
      <w:pPr>
        <w:ind w:right="180" w:firstLine="656"/>
        <w:spacing w:after="0" w:line="282" w:lineRule="auto"/>
        <w:tabs>
          <w:tab w:leader="none" w:pos="106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shall mean the individual or individuals to whom the Committee delegates authority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Section 1.3 hereof.</w:t>
      </w:r>
    </w:p>
    <w:p>
      <w:pPr>
        <w:spacing w:after="0" w:line="107" w:lineRule="exact"/>
        <w:rPr>
          <w:rFonts w:ascii="Arial" w:cs="Arial" w:eastAsia="Arial" w:hAnsi="Arial"/>
          <w:sz w:val="22"/>
          <w:szCs w:val="22"/>
          <w:color w:val="auto"/>
        </w:rPr>
      </w:pPr>
    </w:p>
    <w:p>
      <w:pPr>
        <w:ind w:left="1080" w:hanging="424"/>
        <w:spacing w:after="0"/>
        <w:tabs>
          <w:tab w:leader="none" w:pos="108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“Agreement” </w:t>
      </w:r>
      <w:r>
        <w:rPr>
          <w:rFonts w:ascii="Arial" w:cs="Arial" w:eastAsia="Arial" w:hAnsi="Arial"/>
          <w:sz w:val="19"/>
          <w:szCs w:val="19"/>
          <w:color w:val="auto"/>
        </w:rPr>
        <w:t>shall mean the written agreement and/or certificate or other documentation governing an Award under</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68" w:lineRule="exact"/>
        <w:rPr>
          <w:rFonts w:ascii="Arial" w:cs="Arial" w:eastAsia="Arial" w:hAnsi="Arial"/>
          <w:sz w:val="19"/>
          <w:szCs w:val="19"/>
          <w:color w:val="auto"/>
        </w:rPr>
      </w:pPr>
    </w:p>
    <w:p>
      <w:pPr>
        <w:ind w:right="300" w:firstLine="656"/>
        <w:spacing w:after="0" w:line="262" w:lineRule="auto"/>
        <w:tabs>
          <w:tab w:leader="none" w:pos="1068"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“Awards” </w:t>
      </w:r>
      <w:r>
        <w:rPr>
          <w:rFonts w:ascii="Arial" w:cs="Arial" w:eastAsia="Arial" w:hAnsi="Arial"/>
          <w:sz w:val="22"/>
          <w:szCs w:val="22"/>
          <w:color w:val="auto"/>
        </w:rPr>
        <w:t>shall mean any Stock Options, Stock Appreciation Rights, Restricted Shares, Restricted Share Units,</w:t>
      </w:r>
      <w:r>
        <w:rPr>
          <w:rFonts w:ascii="Arial" w:cs="Arial" w:eastAsia="Arial" w:hAnsi="Arial"/>
          <w:sz w:val="22"/>
          <w:szCs w:val="22"/>
          <w:b w:val="1"/>
          <w:bCs w:val="1"/>
          <w:color w:val="auto"/>
        </w:rPr>
        <w:t xml:space="preserve"> </w:t>
      </w:r>
      <w:r>
        <w:rPr>
          <w:rFonts w:ascii="Arial" w:cs="Arial" w:eastAsia="Arial" w:hAnsi="Arial"/>
          <w:sz w:val="22"/>
          <w:szCs w:val="22"/>
          <w:color w:val="auto"/>
        </w:rPr>
        <w:t>unrestricted shares of Class B Common Stock, Dividend Equivalents, Performance Awards or Other Awards or a combination of any of the above awarded under the Plan.</w:t>
      </w:r>
    </w:p>
    <w:p>
      <w:pPr>
        <w:spacing w:after="0" w:line="130" w:lineRule="exact"/>
        <w:rPr>
          <w:rFonts w:ascii="Arial" w:cs="Arial" w:eastAsia="Arial" w:hAnsi="Arial"/>
          <w:sz w:val="22"/>
          <w:szCs w:val="22"/>
          <w:color w:val="auto"/>
        </w:rPr>
      </w:pPr>
    </w:p>
    <w:p>
      <w:pPr>
        <w:ind w:left="1080" w:hanging="424"/>
        <w:spacing w:after="0"/>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shall mean the Board of Directors of the Company.</w:t>
      </w:r>
    </w:p>
    <w:p>
      <w:pPr>
        <w:spacing w:after="0" w:line="192" w:lineRule="exact"/>
        <w:rPr>
          <w:rFonts w:ascii="Arial" w:cs="Arial" w:eastAsia="Arial" w:hAnsi="Arial"/>
          <w:sz w:val="22"/>
          <w:szCs w:val="22"/>
          <w:color w:val="auto"/>
        </w:rPr>
      </w:pPr>
    </w:p>
    <w:p>
      <w:pPr>
        <w:ind w:left="1080" w:hanging="424"/>
        <w:spacing w:after="0"/>
        <w:tabs>
          <w:tab w:leader="none" w:pos="108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“Class B Common Stock” </w:t>
      </w:r>
      <w:r>
        <w:rPr>
          <w:rFonts w:ascii="Arial" w:cs="Arial" w:eastAsia="Arial" w:hAnsi="Arial"/>
          <w:sz w:val="19"/>
          <w:szCs w:val="19"/>
          <w:color w:val="auto"/>
        </w:rPr>
        <w:t>shall mean shares of Class B common stock, par value $0.001 per share, of the Company.</w:t>
      </w:r>
    </w:p>
    <w:p>
      <w:pPr>
        <w:spacing w:after="0" w:line="227" w:lineRule="exact"/>
        <w:rPr>
          <w:rFonts w:ascii="Arial" w:cs="Arial" w:eastAsia="Arial" w:hAnsi="Arial"/>
          <w:sz w:val="19"/>
          <w:szCs w:val="19"/>
          <w:color w:val="auto"/>
        </w:rPr>
      </w:pPr>
    </w:p>
    <w:p>
      <w:pPr>
        <w:ind w:right="80" w:firstLine="656"/>
        <w:spacing w:after="0" w:line="282" w:lineRule="auto"/>
        <w:tabs>
          <w:tab w:leader="none" w:pos="1044"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 including any successor law thereto, and the rules</w:t>
      </w:r>
      <w:r>
        <w:rPr>
          <w:rFonts w:ascii="Arial" w:cs="Arial" w:eastAsia="Arial" w:hAnsi="Arial"/>
          <w:sz w:val="22"/>
          <w:szCs w:val="22"/>
          <w:b w:val="1"/>
          <w:bCs w:val="1"/>
          <w:color w:val="auto"/>
        </w:rPr>
        <w:t xml:space="preserve"> </w:t>
      </w:r>
      <w:r>
        <w:rPr>
          <w:rFonts w:ascii="Arial" w:cs="Arial" w:eastAsia="Arial" w:hAnsi="Arial"/>
          <w:sz w:val="22"/>
          <w:szCs w:val="22"/>
          <w:color w:val="auto"/>
        </w:rPr>
        <w:t>and regulations promulgated thereunder.</w:t>
      </w:r>
    </w:p>
    <w:p>
      <w:pPr>
        <w:spacing w:after="0" w:line="107" w:lineRule="exact"/>
        <w:rPr>
          <w:rFonts w:ascii="Arial" w:cs="Arial" w:eastAsia="Arial" w:hAnsi="Arial"/>
          <w:sz w:val="22"/>
          <w:szCs w:val="22"/>
          <w:color w:val="auto"/>
        </w:rPr>
      </w:pPr>
    </w:p>
    <w:p>
      <w:pPr>
        <w:ind w:right="20" w:firstLine="656"/>
        <w:spacing w:after="0" w:line="282"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shall mean the Compensation Committee of the Board (or such other Committee(s) as may be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or designated by the Board) to administer the Plan in accordance with Section 1.3 (a) hereof.</w:t>
      </w:r>
    </w:p>
    <w:p>
      <w:pPr>
        <w:spacing w:after="0" w:line="107" w:lineRule="exact"/>
        <w:rPr>
          <w:rFonts w:ascii="Arial" w:cs="Arial" w:eastAsia="Arial" w:hAnsi="Arial"/>
          <w:sz w:val="22"/>
          <w:szCs w:val="22"/>
          <w:color w:val="auto"/>
        </w:rPr>
      </w:pPr>
    </w:p>
    <w:p>
      <w:pPr>
        <w:ind w:right="300" w:firstLine="656"/>
        <w:spacing w:after="0" w:line="282"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“Consultant” </w:t>
      </w:r>
      <w:r>
        <w:rPr>
          <w:rFonts w:ascii="Arial" w:cs="Arial" w:eastAsia="Arial" w:hAnsi="Arial"/>
          <w:sz w:val="22"/>
          <w:szCs w:val="22"/>
          <w:color w:val="auto"/>
        </w:rPr>
        <w:t>shall mean an individual other than an Employee who provides services to the Company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as a consultant or advisor.</w:t>
      </w:r>
    </w:p>
    <w:p>
      <w:pPr>
        <w:spacing w:after="0" w:line="107" w:lineRule="exact"/>
        <w:rPr>
          <w:rFonts w:ascii="Arial" w:cs="Arial" w:eastAsia="Arial" w:hAnsi="Arial"/>
          <w:sz w:val="22"/>
          <w:szCs w:val="22"/>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“Date of Grant” </w:t>
      </w:r>
      <w:r>
        <w:rPr>
          <w:rFonts w:ascii="Arial" w:cs="Arial" w:eastAsia="Arial" w:hAnsi="Arial"/>
          <w:sz w:val="22"/>
          <w:szCs w:val="22"/>
          <w:color w:val="auto"/>
        </w:rPr>
        <w:t>shall mean the effective date of the grant of an Award.</w:t>
      </w:r>
    </w:p>
    <w:p>
      <w:pPr>
        <w:sectPr>
          <w:pgSz w:w="11900" w:h="16838" w:orient="portrait"/>
          <w:cols w:equalWidth="0" w:num="1">
            <w:col w:w="11420"/>
          </w:cols>
          <w:pgMar w:left="240" w:top="612" w:right="239" w:bottom="1440" w:gutter="0" w:footer="0" w:header="0"/>
        </w:sectPr>
      </w:pPr>
    </w:p>
    <w:bookmarkStart w:id="157" w:name="page158"/>
    <w:bookmarkEnd w:id="157"/>
    <w:p>
      <w:pPr>
        <w:ind w:left="-20" w:firstLine="656"/>
        <w:spacing w:after="0" w:line="309" w:lineRule="auto"/>
        <w:tabs>
          <w:tab w:leader="none" w:pos="1012"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“Dividend Equivalent” </w:t>
      </w:r>
      <w:r>
        <w:rPr>
          <w:rFonts w:ascii="Arial" w:cs="Arial" w:eastAsia="Arial" w:hAnsi="Arial"/>
          <w:sz w:val="19"/>
          <w:szCs w:val="19"/>
          <w:color w:val="auto"/>
        </w:rPr>
        <w:t>means a right to receive a payment based upon the value of the regular cash dividend paid on a</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number of shares of Class B Common Stock as set forth in Section 7.1 hereof. Payments in respect of Dividend Equivalents may be in cash, or, in the discretion of the Committee, in shares of Class B Common Stock or other securities of the Company designated by the Committee or in a combination of cash, shares of Class B Common Stock or such other securities.</w:t>
      </w:r>
    </w:p>
    <w:p>
      <w:pPr>
        <w:spacing w:after="0" w:line="90" w:lineRule="exact"/>
        <w:rPr>
          <w:rFonts w:ascii="Arial" w:cs="Arial" w:eastAsia="Arial" w:hAnsi="Arial"/>
          <w:sz w:val="19"/>
          <w:szCs w:val="19"/>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“Earnings Per Share” </w:t>
      </w:r>
      <w:r>
        <w:rPr>
          <w:rFonts w:ascii="Arial" w:cs="Arial" w:eastAsia="Arial" w:hAnsi="Arial"/>
          <w:sz w:val="22"/>
          <w:szCs w:val="22"/>
          <w:color w:val="auto"/>
        </w:rPr>
        <w:t>shall have the meaning provided by GAAP.</w:t>
      </w:r>
    </w:p>
    <w:p>
      <w:pPr>
        <w:spacing w:after="0" w:line="192" w:lineRule="exact"/>
        <w:rPr>
          <w:rFonts w:ascii="Arial" w:cs="Arial" w:eastAsia="Arial" w:hAnsi="Arial"/>
          <w:sz w:val="22"/>
          <w:szCs w:val="22"/>
          <w:color w:val="auto"/>
        </w:rPr>
      </w:pPr>
    </w:p>
    <w:p>
      <w:pPr>
        <w:ind w:left="1020" w:hanging="384"/>
        <w:spacing w:after="0"/>
        <w:tabs>
          <w:tab w:leader="none" w:pos="102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“Eligible Person” </w:t>
      </w:r>
      <w:r>
        <w:rPr>
          <w:rFonts w:ascii="Arial" w:cs="Arial" w:eastAsia="Arial" w:hAnsi="Arial"/>
          <w:sz w:val="22"/>
          <w:szCs w:val="22"/>
          <w:color w:val="auto"/>
        </w:rPr>
        <w:t>shall have the meaning set forth in Section 1.4 hereof.</w:t>
      </w:r>
    </w:p>
    <w:p>
      <w:pPr>
        <w:spacing w:after="0" w:line="192" w:lineRule="exact"/>
        <w:rPr>
          <w:rFonts w:ascii="Arial" w:cs="Arial" w:eastAsia="Arial" w:hAnsi="Arial"/>
          <w:sz w:val="22"/>
          <w:szCs w:val="22"/>
          <w:color w:val="auto"/>
        </w:rPr>
      </w:pPr>
    </w:p>
    <w:p>
      <w:pPr>
        <w:ind w:left="1120" w:hanging="48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shall mean an individual who is employed by the Company or any of its Subsidiaries.</w:t>
      </w:r>
    </w:p>
    <w:p>
      <w:pPr>
        <w:spacing w:after="0" w:line="192" w:lineRule="exact"/>
        <w:rPr>
          <w:rFonts w:ascii="Arial" w:cs="Arial" w:eastAsia="Arial" w:hAnsi="Arial"/>
          <w:sz w:val="22"/>
          <w:szCs w:val="22"/>
          <w:color w:val="auto"/>
        </w:rPr>
      </w:pPr>
    </w:p>
    <w:p>
      <w:pPr>
        <w:ind w:left="-20" w:right="260" w:firstLine="656"/>
        <w:spacing w:after="0" w:line="282" w:lineRule="auto"/>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shall mean the Securities Exchange Act of 1934, as amended, including any successor law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rules and regulations promulgated thereunder.</w:t>
      </w:r>
    </w:p>
    <w:p>
      <w:pPr>
        <w:spacing w:after="0" w:line="107" w:lineRule="exact"/>
        <w:rPr>
          <w:rFonts w:ascii="Arial" w:cs="Arial" w:eastAsia="Arial" w:hAnsi="Arial"/>
          <w:sz w:val="22"/>
          <w:szCs w:val="22"/>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“Expiration Date” </w:t>
      </w:r>
      <w:r>
        <w:rPr>
          <w:rFonts w:ascii="Arial" w:cs="Arial" w:eastAsia="Arial" w:hAnsi="Arial"/>
          <w:sz w:val="22"/>
          <w:szCs w:val="22"/>
          <w:color w:val="auto"/>
        </w:rPr>
        <w:t>shall have the meaning set forth in Section 13.2 hereof.</w:t>
      </w:r>
    </w:p>
    <w:p>
      <w:pPr>
        <w:spacing w:after="0" w:line="192" w:lineRule="exact"/>
        <w:rPr>
          <w:rFonts w:ascii="Arial" w:cs="Arial" w:eastAsia="Arial" w:hAnsi="Arial"/>
          <w:sz w:val="22"/>
          <w:szCs w:val="22"/>
          <w:color w:val="auto"/>
        </w:rPr>
      </w:pPr>
    </w:p>
    <w:p>
      <w:pPr>
        <w:ind w:left="-20" w:right="80" w:firstLine="656"/>
        <w:spacing w:after="0" w:line="256" w:lineRule="auto"/>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“Fair Market Value” </w:t>
      </w:r>
      <w:r>
        <w:rPr>
          <w:rFonts w:ascii="Arial" w:cs="Arial" w:eastAsia="Arial" w:hAnsi="Arial"/>
          <w:sz w:val="22"/>
          <w:szCs w:val="22"/>
          <w:color w:val="auto"/>
        </w:rPr>
        <w:t>of a share of Class B Common Stock on a given date shall be, unless the Committee determines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the 4:00 p.m. (New York time) closing price on such date on the New York Stock Exchange or other principal stock exchange on which the Class B Common Stock is then listed, as reported by The Wall Street Journal (Northeast edition) or any other authoritative source selected by the Company.</w:t>
      </w:r>
    </w:p>
    <w:p>
      <w:pPr>
        <w:spacing w:after="0" w:line="136" w:lineRule="exact"/>
        <w:rPr>
          <w:rFonts w:ascii="Arial" w:cs="Arial" w:eastAsia="Arial" w:hAnsi="Arial"/>
          <w:sz w:val="22"/>
          <w:szCs w:val="22"/>
          <w:color w:val="auto"/>
        </w:rPr>
      </w:pPr>
    </w:p>
    <w:p>
      <w:pPr>
        <w:ind w:left="-20" w:right="760" w:firstLine="656"/>
        <w:spacing w:after="0" w:line="282" w:lineRule="auto"/>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“Free Cash Flow” </w:t>
      </w:r>
      <w:r>
        <w:rPr>
          <w:rFonts w:ascii="Arial" w:cs="Arial" w:eastAsia="Arial" w:hAnsi="Arial"/>
          <w:sz w:val="22"/>
          <w:szCs w:val="22"/>
          <w:color w:val="auto"/>
        </w:rPr>
        <w:t>shall mean OIBDA, less cash interest, taxes paid, working capital requirements and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expenditures.</w:t>
      </w:r>
    </w:p>
    <w:p>
      <w:pPr>
        <w:spacing w:after="0" w:line="107" w:lineRule="exact"/>
        <w:rPr>
          <w:rFonts w:ascii="Arial" w:cs="Arial" w:eastAsia="Arial" w:hAnsi="Arial"/>
          <w:sz w:val="22"/>
          <w:szCs w:val="22"/>
          <w:color w:val="auto"/>
        </w:rPr>
      </w:pPr>
    </w:p>
    <w:p>
      <w:pPr>
        <w:ind w:left="1040" w:hanging="404"/>
        <w:spacing w:after="0"/>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shall mean generally accepted accounting principles in the United States.</w:t>
      </w:r>
    </w:p>
    <w:p>
      <w:pPr>
        <w:spacing w:after="0" w:line="192" w:lineRule="exact"/>
        <w:rPr>
          <w:rFonts w:ascii="Arial" w:cs="Arial" w:eastAsia="Arial" w:hAnsi="Arial"/>
          <w:sz w:val="22"/>
          <w:szCs w:val="22"/>
          <w:color w:val="auto"/>
        </w:rPr>
      </w:pPr>
    </w:p>
    <w:p>
      <w:pPr>
        <w:ind w:left="1040" w:hanging="404"/>
        <w:spacing w:after="0"/>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Net Earnings</w:t>
      </w:r>
      <w:r>
        <w:rPr>
          <w:rFonts w:ascii="Arial" w:cs="Arial" w:eastAsia="Arial" w:hAnsi="Arial"/>
          <w:sz w:val="22"/>
          <w:szCs w:val="22"/>
          <w:color w:val="auto"/>
        </w:rPr>
        <w:t>” shall have the meaning provided by GAAP.</w:t>
      </w:r>
    </w:p>
    <w:p>
      <w:pPr>
        <w:spacing w:after="0" w:line="192" w:lineRule="exact"/>
        <w:rPr>
          <w:rFonts w:ascii="Arial" w:cs="Arial" w:eastAsia="Arial" w:hAnsi="Arial"/>
          <w:sz w:val="22"/>
          <w:szCs w:val="22"/>
          <w:color w:val="auto"/>
        </w:rPr>
      </w:pPr>
    </w:p>
    <w:p>
      <w:pPr>
        <w:ind w:left="1020" w:hanging="384"/>
        <w:spacing w:after="0"/>
        <w:tabs>
          <w:tab w:leader="none" w:pos="102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“Net Earnings from Continuing Operations” </w:t>
      </w:r>
      <w:r>
        <w:rPr>
          <w:rFonts w:ascii="Arial" w:cs="Arial" w:eastAsia="Arial" w:hAnsi="Arial"/>
          <w:sz w:val="22"/>
          <w:szCs w:val="22"/>
          <w:color w:val="auto"/>
        </w:rPr>
        <w:t>shall have the meaning provided by GAAP.</w:t>
      </w:r>
    </w:p>
    <w:p>
      <w:pPr>
        <w:spacing w:after="0" w:line="192" w:lineRule="exact"/>
        <w:rPr>
          <w:rFonts w:ascii="Arial" w:cs="Arial" w:eastAsia="Arial" w:hAnsi="Arial"/>
          <w:sz w:val="22"/>
          <w:szCs w:val="22"/>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shall have the meaning provided by GAAP.</w:t>
      </w:r>
    </w:p>
    <w:p>
      <w:pPr>
        <w:spacing w:after="0" w:line="192" w:lineRule="exact"/>
        <w:rPr>
          <w:rFonts w:ascii="Arial" w:cs="Arial" w:eastAsia="Arial" w:hAnsi="Arial"/>
          <w:sz w:val="22"/>
          <w:szCs w:val="22"/>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“OIBDA” </w:t>
      </w:r>
      <w:r>
        <w:rPr>
          <w:rFonts w:ascii="Arial" w:cs="Arial" w:eastAsia="Arial" w:hAnsi="Arial"/>
          <w:sz w:val="22"/>
          <w:szCs w:val="22"/>
          <w:color w:val="auto"/>
        </w:rPr>
        <w:t>shall mean the Company’s Operating Income before depreciation and amortization.</w:t>
      </w:r>
    </w:p>
    <w:p>
      <w:pPr>
        <w:spacing w:after="0" w:line="192" w:lineRule="exact"/>
        <w:rPr>
          <w:rFonts w:ascii="Arial" w:cs="Arial" w:eastAsia="Arial" w:hAnsi="Arial"/>
          <w:sz w:val="22"/>
          <w:szCs w:val="22"/>
          <w:color w:val="auto"/>
        </w:rPr>
      </w:pPr>
    </w:p>
    <w:p>
      <w:pPr>
        <w:ind w:left="-20" w:right="80" w:firstLine="656"/>
        <w:spacing w:after="0" w:line="282" w:lineRule="auto"/>
        <w:tabs>
          <w:tab w:leader="none" w:pos="1108"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“OIBDA Without Inter-Company Eliminations” </w:t>
      </w:r>
      <w:r>
        <w:rPr>
          <w:rFonts w:ascii="Arial" w:cs="Arial" w:eastAsia="Arial" w:hAnsi="Arial"/>
          <w:sz w:val="22"/>
          <w:szCs w:val="22"/>
          <w:color w:val="auto"/>
        </w:rPr>
        <w:t>shall mean the Company’s Operating Income before depreciation,</w:t>
      </w:r>
      <w:r>
        <w:rPr>
          <w:rFonts w:ascii="Arial" w:cs="Arial" w:eastAsia="Arial" w:hAnsi="Arial"/>
          <w:sz w:val="22"/>
          <w:szCs w:val="22"/>
          <w:b w:val="1"/>
          <w:bCs w:val="1"/>
          <w:color w:val="auto"/>
        </w:rPr>
        <w:t xml:space="preserve"> </w:t>
      </w:r>
      <w:r>
        <w:rPr>
          <w:rFonts w:ascii="Arial" w:cs="Arial" w:eastAsia="Arial" w:hAnsi="Arial"/>
          <w:sz w:val="22"/>
          <w:szCs w:val="22"/>
          <w:color w:val="auto"/>
        </w:rPr>
        <w:t>amortization and inter-company eliminations.</w:t>
      </w:r>
    </w:p>
    <w:p>
      <w:pPr>
        <w:spacing w:after="0" w:line="107" w:lineRule="exact"/>
        <w:rPr>
          <w:rFonts w:ascii="Arial" w:cs="Arial" w:eastAsia="Arial" w:hAnsi="Arial"/>
          <w:sz w:val="22"/>
          <w:szCs w:val="22"/>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“Operating Income” </w:t>
      </w:r>
      <w:r>
        <w:rPr>
          <w:rFonts w:ascii="Arial" w:cs="Arial" w:eastAsia="Arial" w:hAnsi="Arial"/>
          <w:sz w:val="22"/>
          <w:szCs w:val="22"/>
          <w:color w:val="auto"/>
        </w:rPr>
        <w:t>shall have the meaning provided by GAAP.</w:t>
      </w:r>
    </w:p>
    <w:p>
      <w:pPr>
        <w:spacing w:after="0" w:line="192" w:lineRule="exact"/>
        <w:rPr>
          <w:rFonts w:ascii="Arial" w:cs="Arial" w:eastAsia="Arial" w:hAnsi="Arial"/>
          <w:sz w:val="22"/>
          <w:szCs w:val="22"/>
          <w:color w:val="auto"/>
        </w:rPr>
      </w:pPr>
    </w:p>
    <w:p>
      <w:pPr>
        <w:ind w:left="1060" w:hanging="424"/>
        <w:spacing w:after="0"/>
        <w:tabs>
          <w:tab w:leader="none" w:pos="10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“Operating Revenue” </w:t>
      </w:r>
      <w:r>
        <w:rPr>
          <w:rFonts w:ascii="Arial" w:cs="Arial" w:eastAsia="Arial" w:hAnsi="Arial"/>
          <w:sz w:val="22"/>
          <w:szCs w:val="22"/>
          <w:color w:val="auto"/>
        </w:rPr>
        <w:t>shall have the meaning provided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1030" w:right="239" w:bottom="1440" w:gutter="0" w:footer="0" w:header="0"/>
        </w:sectPr>
      </w:pPr>
    </w:p>
    <w:bookmarkStart w:id="158" w:name="page159"/>
    <w:bookmarkEnd w:id="158"/>
    <w:p>
      <w:pPr>
        <w:ind w:left="640"/>
        <w:spacing w:after="0"/>
        <w:tabs>
          <w:tab w:leader="none" w:pos="1040" w:val="left"/>
        </w:tabs>
        <w:rPr>
          <w:sz w:val="20"/>
          <w:szCs w:val="20"/>
          <w:color w:val="auto"/>
        </w:rPr>
      </w:pPr>
      <w:r>
        <w:rPr>
          <w:rFonts w:ascii="Arial" w:cs="Arial" w:eastAsia="Arial" w:hAnsi="Arial"/>
          <w:sz w:val="22"/>
          <w:szCs w:val="22"/>
          <w:color w:val="auto"/>
        </w:rPr>
        <w:t>(z)</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Expiration Date</w:t>
      </w:r>
      <w:r>
        <w:rPr>
          <w:rFonts w:ascii="Arial" w:cs="Arial" w:eastAsia="Arial" w:hAnsi="Arial"/>
          <w:sz w:val="19"/>
          <w:szCs w:val="19"/>
          <w:color w:val="auto"/>
        </w:rPr>
        <w:t>” shall mean the date on which the term of a Stock Option ends.</w:t>
      </w:r>
    </w:p>
    <w:p>
      <w:pPr>
        <w:spacing w:after="0" w:line="193" w:lineRule="exact"/>
        <w:rPr>
          <w:sz w:val="20"/>
          <w:szCs w:val="20"/>
          <w:color w:val="auto"/>
        </w:rPr>
      </w:pPr>
    </w:p>
    <w:p>
      <w:pPr>
        <w:jc w:val="both"/>
        <w:ind w:left="-20" w:firstLine="656"/>
        <w:spacing w:after="0" w:line="364" w:lineRule="auto"/>
        <w:tabs>
          <w:tab w:leader="none" w:pos="1144"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“Other Awards” </w:t>
      </w:r>
      <w:r>
        <w:rPr>
          <w:rFonts w:ascii="Arial" w:cs="Arial" w:eastAsia="Arial" w:hAnsi="Arial"/>
          <w:sz w:val="19"/>
          <w:szCs w:val="19"/>
          <w:color w:val="auto"/>
        </w:rPr>
        <w:t>shall mean any form of award authorized under Section 7.2 hereof, other than a Stock Option,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Right, Restricted Share, Restricted Share Unit, unrestricted share of Class B Common Stock, or Dividend Equivalent.</w:t>
      </w:r>
    </w:p>
    <w:p>
      <w:pPr>
        <w:spacing w:after="0" w:line="39" w:lineRule="exact"/>
        <w:rPr>
          <w:rFonts w:ascii="Arial" w:cs="Arial" w:eastAsia="Arial" w:hAnsi="Arial"/>
          <w:sz w:val="19"/>
          <w:szCs w:val="19"/>
          <w:color w:val="auto"/>
        </w:rPr>
      </w:pPr>
    </w:p>
    <w:p>
      <w:pPr>
        <w:ind w:left="-20" w:right="280" w:firstLine="656"/>
        <w:spacing w:after="0" w:line="282" w:lineRule="auto"/>
        <w:tabs>
          <w:tab w:leader="none" w:pos="116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“Outstanding Stock Option” </w:t>
      </w:r>
      <w:r>
        <w:rPr>
          <w:rFonts w:ascii="Arial" w:cs="Arial" w:eastAsia="Arial" w:hAnsi="Arial"/>
          <w:sz w:val="22"/>
          <w:szCs w:val="22"/>
          <w:color w:val="auto"/>
        </w:rPr>
        <w:t>shall mean a Stock Option granted to a Participant which has not yet been exercised</w:t>
      </w:r>
      <w:r>
        <w:rPr>
          <w:rFonts w:ascii="Arial" w:cs="Arial" w:eastAsia="Arial" w:hAnsi="Arial"/>
          <w:sz w:val="22"/>
          <w:szCs w:val="22"/>
          <w:b w:val="1"/>
          <w:bCs w:val="1"/>
          <w:color w:val="auto"/>
        </w:rPr>
        <w:t xml:space="preserve"> </w:t>
      </w:r>
      <w:r>
        <w:rPr>
          <w:rFonts w:ascii="Arial" w:cs="Arial" w:eastAsia="Arial" w:hAnsi="Arial"/>
          <w:sz w:val="22"/>
          <w:szCs w:val="22"/>
          <w:color w:val="auto"/>
        </w:rPr>
        <w:t>and which has not yet expired or been terminated in accordance with its terms.</w:t>
      </w:r>
    </w:p>
    <w:p>
      <w:pPr>
        <w:spacing w:after="0" w:line="107" w:lineRule="exact"/>
        <w:rPr>
          <w:rFonts w:ascii="Arial" w:cs="Arial" w:eastAsia="Arial" w:hAnsi="Arial"/>
          <w:sz w:val="22"/>
          <w:szCs w:val="22"/>
          <w:color w:val="auto"/>
        </w:rPr>
      </w:pPr>
    </w:p>
    <w:p>
      <w:pPr>
        <w:ind w:left="1160" w:hanging="524"/>
        <w:spacing w:after="0"/>
        <w:tabs>
          <w:tab w:leader="none" w:pos="116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shall mean any Eligible Person to whom an Award has been made under the Plan.</w:t>
      </w:r>
    </w:p>
    <w:p>
      <w:pPr>
        <w:spacing w:after="0" w:line="192" w:lineRule="exact"/>
        <w:rPr>
          <w:rFonts w:ascii="Arial" w:cs="Arial" w:eastAsia="Arial" w:hAnsi="Arial"/>
          <w:sz w:val="22"/>
          <w:szCs w:val="22"/>
          <w:color w:val="auto"/>
        </w:rPr>
      </w:pPr>
    </w:p>
    <w:p>
      <w:pPr>
        <w:ind w:left="-20" w:right="20" w:firstLine="656"/>
        <w:spacing w:after="0" w:line="251" w:lineRule="auto"/>
        <w:tabs>
          <w:tab w:leader="none" w:pos="116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“Performance Award” </w:t>
      </w:r>
      <w:r>
        <w:rPr>
          <w:rFonts w:ascii="Arial" w:cs="Arial" w:eastAsia="Arial" w:hAnsi="Arial"/>
          <w:sz w:val="22"/>
          <w:szCs w:val="22"/>
          <w:color w:val="auto"/>
        </w:rPr>
        <w:t>shall mean an Award (which may consist of Stock Options, Stock Appreciation Rights,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Shares, Restricted Share Units, unrestricted shares of Class B Common Stock, Dividend Equivalents or Other Awards, or any combination thereof) the grant, vesting, exercisability, payment and/or settlement of which is conditioned in whole or in part on the attainment of one or more Performance Targets. In addition to other terms of the Plan applicable to such Award, including, without limitation, Article II, III, IV, V or VII, as applicable, a Performance Award shall be subject to the terms and conditions set forth in Article VI.</w:t>
      </w:r>
    </w:p>
    <w:p>
      <w:pPr>
        <w:spacing w:after="0" w:line="141" w:lineRule="exact"/>
        <w:rPr>
          <w:rFonts w:ascii="Arial" w:cs="Arial" w:eastAsia="Arial" w:hAnsi="Arial"/>
          <w:sz w:val="22"/>
          <w:szCs w:val="22"/>
          <w:color w:val="auto"/>
        </w:rPr>
      </w:pPr>
    </w:p>
    <w:p>
      <w:pPr>
        <w:ind w:left="1160" w:hanging="524"/>
        <w:spacing w:after="0"/>
        <w:tabs>
          <w:tab w:leader="none" w:pos="116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“Performance Metrics” </w:t>
      </w:r>
      <w:r>
        <w:rPr>
          <w:rFonts w:ascii="Arial" w:cs="Arial" w:eastAsia="Arial" w:hAnsi="Arial"/>
          <w:sz w:val="22"/>
          <w:szCs w:val="22"/>
          <w:color w:val="auto"/>
        </w:rPr>
        <w:t>shall have the meaning set forth in Section 6.2 hereof.</w:t>
      </w:r>
    </w:p>
    <w:p>
      <w:pPr>
        <w:spacing w:after="0" w:line="192" w:lineRule="exact"/>
        <w:rPr>
          <w:rFonts w:ascii="Arial" w:cs="Arial" w:eastAsia="Arial" w:hAnsi="Arial"/>
          <w:sz w:val="22"/>
          <w:szCs w:val="22"/>
          <w:color w:val="auto"/>
        </w:rPr>
      </w:pPr>
    </w:p>
    <w:p>
      <w:pPr>
        <w:ind w:left="-20" w:right="720" w:firstLine="656"/>
        <w:spacing w:after="0" w:line="282" w:lineRule="auto"/>
        <w:tabs>
          <w:tab w:leader="none" w:pos="1092"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shall mean a period of time over which performance is measured as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discretion.</w:t>
      </w:r>
    </w:p>
    <w:p>
      <w:pPr>
        <w:spacing w:after="0" w:line="107" w:lineRule="exact"/>
        <w:rPr>
          <w:rFonts w:ascii="Arial" w:cs="Arial" w:eastAsia="Arial" w:hAnsi="Arial"/>
          <w:sz w:val="22"/>
          <w:szCs w:val="22"/>
          <w:color w:val="auto"/>
        </w:rPr>
      </w:pPr>
    </w:p>
    <w:p>
      <w:pPr>
        <w:ind w:left="-20" w:right="460" w:firstLine="656"/>
        <w:spacing w:after="0" w:line="262" w:lineRule="auto"/>
        <w:tabs>
          <w:tab w:leader="none" w:pos="1168"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“Performance Target” </w:t>
      </w:r>
      <w:r>
        <w:rPr>
          <w:rFonts w:ascii="Arial" w:cs="Arial" w:eastAsia="Arial" w:hAnsi="Arial"/>
          <w:sz w:val="22"/>
          <w:szCs w:val="22"/>
          <w:color w:val="auto"/>
        </w:rPr>
        <w:t>shall mean an amount, target or objective that is related to a Performance Metric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attainment of which is designated as a condition to the award, vesting, exercisability, payment or settlement of a Performance Award.</w:t>
      </w:r>
    </w:p>
    <w:p>
      <w:pPr>
        <w:spacing w:after="0" w:line="130" w:lineRule="exact"/>
        <w:rPr>
          <w:rFonts w:ascii="Arial" w:cs="Arial" w:eastAsia="Arial" w:hAnsi="Arial"/>
          <w:sz w:val="22"/>
          <w:szCs w:val="22"/>
          <w:color w:val="auto"/>
        </w:rPr>
      </w:pPr>
    </w:p>
    <w:p>
      <w:pPr>
        <w:ind w:left="-20" w:right="140" w:firstLine="656"/>
        <w:spacing w:after="0" w:line="298" w:lineRule="auto"/>
        <w:tabs>
          <w:tab w:leader="none" w:pos="1168"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“Permanent Disability” </w:t>
      </w:r>
      <w:r>
        <w:rPr>
          <w:rFonts w:ascii="Arial" w:cs="Arial" w:eastAsia="Arial" w:hAnsi="Arial"/>
          <w:sz w:val="19"/>
          <w:szCs w:val="19"/>
          <w:color w:val="auto"/>
        </w:rPr>
        <w:t>shall, unless otherwise determined by the Committee, have the same meaning as such term</w:t>
      </w:r>
      <w:r>
        <w:rPr>
          <w:rFonts w:ascii="Arial" w:cs="Arial" w:eastAsia="Arial" w:hAnsi="Arial"/>
          <w:sz w:val="19"/>
          <w:szCs w:val="19"/>
          <w:b w:val="1"/>
          <w:bCs w:val="1"/>
          <w:color w:val="auto"/>
        </w:rPr>
        <w:t xml:space="preserve"> </w:t>
      </w:r>
      <w:r>
        <w:rPr>
          <w:rFonts w:ascii="Arial" w:cs="Arial" w:eastAsia="Arial" w:hAnsi="Arial"/>
          <w:sz w:val="19"/>
          <w:szCs w:val="19"/>
          <w:color w:val="auto"/>
        </w:rPr>
        <w:t>or a similar term has under the long-term disability plan or policy maintained by the Company or a Subsidiary under which the Participant has coverage and which is in effect on the date of the onset of the Participant’s disability; provided, that if the Participant is not covered by a long-term disability plan or policy, “Permanent Disability” shall have the meaning set forth in Section 22(e) of the Code. Notwithstanding the foregoing, in the case of “incentive stock options” within the meaning of Section 422 of the Code, “Permanent Disability” shall always have the meaning set forth in Section 22(e) of the Code.</w:t>
      </w:r>
    </w:p>
    <w:p>
      <w:pPr>
        <w:spacing w:after="0" w:line="100" w:lineRule="exact"/>
        <w:rPr>
          <w:rFonts w:ascii="Arial" w:cs="Arial" w:eastAsia="Arial" w:hAnsi="Arial"/>
          <w:sz w:val="19"/>
          <w:szCs w:val="19"/>
          <w:color w:val="auto"/>
        </w:rPr>
      </w:pPr>
    </w:p>
    <w:p>
      <w:pPr>
        <w:ind w:left="-20" w:right="440" w:firstLine="656"/>
        <w:spacing w:after="0" w:line="282" w:lineRule="auto"/>
        <w:tabs>
          <w:tab w:leader="none" w:pos="1072"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“Reprice” </w:t>
      </w:r>
      <w:r>
        <w:rPr>
          <w:rFonts w:ascii="Arial" w:cs="Arial" w:eastAsia="Arial" w:hAnsi="Arial"/>
          <w:sz w:val="22"/>
          <w:szCs w:val="22"/>
          <w:color w:val="auto"/>
        </w:rPr>
        <w:t>shall have the meaning set forth in Section 2.5 with respect to Stock Options and in Section 3.3(f)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Stand-Alone SARs.</w:t>
      </w:r>
    </w:p>
    <w:p>
      <w:pPr>
        <w:spacing w:after="0" w:line="107" w:lineRule="exact"/>
        <w:rPr>
          <w:rFonts w:ascii="Arial" w:cs="Arial" w:eastAsia="Arial" w:hAnsi="Arial"/>
          <w:sz w:val="22"/>
          <w:szCs w:val="22"/>
          <w:color w:val="auto"/>
        </w:rPr>
      </w:pPr>
    </w:p>
    <w:p>
      <w:pPr>
        <w:ind w:left="-20" w:right="180" w:firstLine="656"/>
        <w:spacing w:after="0" w:line="364" w:lineRule="auto"/>
        <w:tabs>
          <w:tab w:leader="none" w:pos="1072"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“Restricted Share” </w:t>
      </w:r>
      <w:r>
        <w:rPr>
          <w:rFonts w:ascii="Arial" w:cs="Arial" w:eastAsia="Arial" w:hAnsi="Arial"/>
          <w:sz w:val="19"/>
          <w:szCs w:val="19"/>
          <w:color w:val="auto"/>
        </w:rPr>
        <w:t>shall mean a share of Class B Common Stock granted to a Participant pursuant to Article IV and</w:t>
      </w:r>
      <w:r>
        <w:rPr>
          <w:rFonts w:ascii="Arial" w:cs="Arial" w:eastAsia="Arial" w:hAnsi="Arial"/>
          <w:sz w:val="19"/>
          <w:szCs w:val="19"/>
          <w:b w:val="1"/>
          <w:bCs w:val="1"/>
          <w:color w:val="auto"/>
        </w:rPr>
        <w:t xml:space="preserve"> </w:t>
      </w:r>
      <w:r>
        <w:rPr>
          <w:rFonts w:ascii="Arial" w:cs="Arial" w:eastAsia="Arial" w:hAnsi="Arial"/>
          <w:sz w:val="19"/>
          <w:szCs w:val="19"/>
          <w:color w:val="auto"/>
        </w:rPr>
        <w:t>which is subject to the terms, conditions and restrictions as are set forth in the Plan and the applicable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1031" w:right="239" w:bottom="1440" w:gutter="0" w:footer="0" w:header="0"/>
        </w:sectPr>
      </w:pPr>
    </w:p>
    <w:bookmarkStart w:id="159" w:name="page160"/>
    <w:bookmarkEnd w:id="159"/>
    <w:p>
      <w:pPr>
        <w:ind w:left="-20" w:right="280" w:firstLine="656"/>
        <w:spacing w:after="0" w:line="309" w:lineRule="auto"/>
        <w:tabs>
          <w:tab w:leader="none" w:pos="1168"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“Restricted Share Unit” </w:t>
      </w:r>
      <w:r>
        <w:rPr>
          <w:rFonts w:ascii="Arial" w:cs="Arial" w:eastAsia="Arial" w:hAnsi="Arial"/>
          <w:sz w:val="19"/>
          <w:szCs w:val="19"/>
          <w:color w:val="auto"/>
        </w:rPr>
        <w:t>shall mean a contractual right granted to a Participant pursuant to Article V to receive,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the applicable Agreement.</w:t>
      </w:r>
    </w:p>
    <w:p>
      <w:pPr>
        <w:spacing w:after="0" w:line="90" w:lineRule="exact"/>
        <w:rPr>
          <w:rFonts w:ascii="Arial" w:cs="Arial" w:eastAsia="Arial" w:hAnsi="Arial"/>
          <w:sz w:val="19"/>
          <w:szCs w:val="19"/>
          <w:color w:val="auto"/>
        </w:rPr>
      </w:pPr>
    </w:p>
    <w:p>
      <w:pPr>
        <w:ind w:left="-20" w:right="60" w:firstLine="656"/>
        <w:spacing w:after="0" w:line="323" w:lineRule="auto"/>
        <w:tabs>
          <w:tab w:leader="none" w:pos="1072"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shall, unless the Committee determines otherwise, mean the termination of a Participant’s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by reason of death or for a Termination for Cause) when the Participant is at least 55 years of age and has completed at least ten years of service (as determined pursuant to the Company’s applicable practices) with the Company and/or its Subsidiaries.</w:t>
      </w:r>
    </w:p>
    <w:p>
      <w:pPr>
        <w:spacing w:after="0" w:line="76" w:lineRule="exact"/>
        <w:rPr>
          <w:rFonts w:ascii="Arial" w:cs="Arial" w:eastAsia="Arial" w:hAnsi="Arial"/>
          <w:sz w:val="19"/>
          <w:szCs w:val="19"/>
          <w:color w:val="auto"/>
        </w:rPr>
      </w:pPr>
    </w:p>
    <w:p>
      <w:pPr>
        <w:ind w:left="1300" w:hanging="66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shall have the meaning provided by GAAP.</w:t>
      </w:r>
    </w:p>
    <w:p>
      <w:pPr>
        <w:spacing w:after="0" w:line="192" w:lineRule="exact"/>
        <w:rPr>
          <w:rFonts w:ascii="Arial" w:cs="Arial" w:eastAsia="Arial" w:hAnsi="Arial"/>
          <w:sz w:val="22"/>
          <w:szCs w:val="22"/>
          <w:color w:val="auto"/>
        </w:rPr>
      </w:pPr>
    </w:p>
    <w:p>
      <w:pPr>
        <w:ind w:left="1180" w:hanging="544"/>
        <w:spacing w:after="0"/>
        <w:tabs>
          <w:tab w:leader="none" w:pos="118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“Section 162(m)” </w:t>
      </w:r>
      <w:r>
        <w:rPr>
          <w:rFonts w:ascii="Arial" w:cs="Arial" w:eastAsia="Arial" w:hAnsi="Arial"/>
          <w:sz w:val="22"/>
          <w:szCs w:val="22"/>
          <w:color w:val="auto"/>
        </w:rPr>
        <w:t>shall mean Section 162(m) of the Code.</w:t>
      </w:r>
    </w:p>
    <w:p>
      <w:pPr>
        <w:spacing w:after="0" w:line="192" w:lineRule="exact"/>
        <w:rPr>
          <w:rFonts w:ascii="Arial" w:cs="Arial" w:eastAsia="Arial" w:hAnsi="Arial"/>
          <w:sz w:val="22"/>
          <w:szCs w:val="22"/>
          <w:color w:val="auto"/>
        </w:rPr>
      </w:pPr>
    </w:p>
    <w:p>
      <w:pPr>
        <w:ind w:left="-20" w:right="580" w:firstLine="656"/>
        <w:spacing w:after="0" w:line="282" w:lineRule="auto"/>
        <w:tabs>
          <w:tab w:leader="none" w:pos="1168"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“Section 162(m) Exception” </w:t>
      </w:r>
      <w:r>
        <w:rPr>
          <w:rFonts w:ascii="Arial" w:cs="Arial" w:eastAsia="Arial" w:hAnsi="Arial"/>
          <w:sz w:val="22"/>
          <w:szCs w:val="22"/>
          <w:color w:val="auto"/>
        </w:rPr>
        <w:t>shall mean the exception under Section 162(m) for “qualified performance-based</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as such exception existed prior to January 1, 2018.</w:t>
      </w:r>
    </w:p>
    <w:p>
      <w:pPr>
        <w:spacing w:after="0" w:line="107" w:lineRule="exact"/>
        <w:rPr>
          <w:rFonts w:ascii="Arial" w:cs="Arial" w:eastAsia="Arial" w:hAnsi="Arial"/>
          <w:sz w:val="22"/>
          <w:szCs w:val="22"/>
          <w:color w:val="auto"/>
        </w:rPr>
      </w:pPr>
    </w:p>
    <w:p>
      <w:pPr>
        <w:ind w:left="1180" w:hanging="544"/>
        <w:spacing w:after="0"/>
        <w:tabs>
          <w:tab w:leader="none" w:pos="118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“Section 162(m) Performance Metrics” </w:t>
      </w:r>
      <w:r>
        <w:rPr>
          <w:rFonts w:ascii="Arial" w:cs="Arial" w:eastAsia="Arial" w:hAnsi="Arial"/>
          <w:sz w:val="22"/>
          <w:szCs w:val="22"/>
          <w:color w:val="auto"/>
        </w:rPr>
        <w:t>shall have the meaning set forth in Section 6.2 hereof.</w:t>
      </w:r>
    </w:p>
    <w:p>
      <w:pPr>
        <w:spacing w:after="0" w:line="192" w:lineRule="exact"/>
        <w:rPr>
          <w:rFonts w:ascii="Arial" w:cs="Arial" w:eastAsia="Arial" w:hAnsi="Arial"/>
          <w:sz w:val="22"/>
          <w:szCs w:val="22"/>
          <w:color w:val="auto"/>
        </w:rPr>
      </w:pPr>
    </w:p>
    <w:p>
      <w:pPr>
        <w:ind w:left="1180" w:hanging="544"/>
        <w:spacing w:after="0"/>
        <w:tabs>
          <w:tab w:leader="none" w:pos="118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shall mean Section 409A of the Code.</w:t>
      </w:r>
    </w:p>
    <w:p>
      <w:pPr>
        <w:spacing w:after="0" w:line="192" w:lineRule="exact"/>
        <w:rPr>
          <w:rFonts w:ascii="Arial" w:cs="Arial" w:eastAsia="Arial" w:hAnsi="Arial"/>
          <w:sz w:val="22"/>
          <w:szCs w:val="22"/>
          <w:color w:val="auto"/>
        </w:rPr>
      </w:pPr>
    </w:p>
    <w:p>
      <w:pPr>
        <w:ind w:left="-20" w:firstLine="656"/>
        <w:spacing w:after="0" w:line="282" w:lineRule="auto"/>
        <w:tabs>
          <w:tab w:leader="none" w:pos="1096"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“Service” </w:t>
      </w:r>
      <w:r>
        <w:rPr>
          <w:rFonts w:ascii="Arial" w:cs="Arial" w:eastAsia="Arial" w:hAnsi="Arial"/>
          <w:sz w:val="22"/>
          <w:szCs w:val="22"/>
          <w:color w:val="auto"/>
        </w:rPr>
        <w:t>shall mean (i) an Employee’s employment with the Company or any of its Subsidiaries or (ii) a Consultant’s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services to the Company or any of its Subsidiaries.</w:t>
      </w:r>
    </w:p>
    <w:p>
      <w:pPr>
        <w:spacing w:after="0" w:line="107" w:lineRule="exact"/>
        <w:rPr>
          <w:rFonts w:ascii="Arial" w:cs="Arial" w:eastAsia="Arial" w:hAnsi="Arial"/>
          <w:sz w:val="22"/>
          <w:szCs w:val="22"/>
          <w:color w:val="auto"/>
        </w:rPr>
      </w:pPr>
    </w:p>
    <w:p>
      <w:pPr>
        <w:ind w:left="1120" w:hanging="484"/>
        <w:spacing w:after="0"/>
        <w:tabs>
          <w:tab w:leader="none" w:pos="112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“Stand-Alone SAR” </w:t>
      </w:r>
      <w:r>
        <w:rPr>
          <w:rFonts w:ascii="Arial" w:cs="Arial" w:eastAsia="Arial" w:hAnsi="Arial"/>
          <w:sz w:val="22"/>
          <w:szCs w:val="22"/>
          <w:color w:val="auto"/>
        </w:rPr>
        <w:t>shall have the meaning set forth in Section 3.3 hereof.</w:t>
      </w:r>
    </w:p>
    <w:p>
      <w:pPr>
        <w:spacing w:after="0" w:line="192" w:lineRule="exact"/>
        <w:rPr>
          <w:rFonts w:ascii="Arial" w:cs="Arial" w:eastAsia="Arial" w:hAnsi="Arial"/>
          <w:sz w:val="22"/>
          <w:szCs w:val="22"/>
          <w:color w:val="auto"/>
        </w:rPr>
      </w:pPr>
    </w:p>
    <w:p>
      <w:pPr>
        <w:ind w:left="-20" w:right="80" w:firstLine="656"/>
        <w:spacing w:after="0" w:line="262" w:lineRule="auto"/>
        <w:tabs>
          <w:tab w:leader="none" w:pos="1072"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“Stock Appreciation Right” </w:t>
      </w:r>
      <w:r>
        <w:rPr>
          <w:rFonts w:ascii="Arial" w:cs="Arial" w:eastAsia="Arial" w:hAnsi="Arial"/>
          <w:sz w:val="22"/>
          <w:szCs w:val="22"/>
          <w:color w:val="auto"/>
        </w:rPr>
        <w:t>shall mean a contractual right granted to a Participant pursuant to Article III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an amount determined in accordance with Section 3.2 or 3.3 hereof, as applicable, subject to such other terms and conditions as are set forth in the Plan and the applicable Agreement.</w:t>
      </w:r>
    </w:p>
    <w:p>
      <w:pPr>
        <w:spacing w:after="0" w:line="130" w:lineRule="exact"/>
        <w:rPr>
          <w:rFonts w:ascii="Arial" w:cs="Arial" w:eastAsia="Arial" w:hAnsi="Arial"/>
          <w:sz w:val="22"/>
          <w:szCs w:val="22"/>
          <w:color w:val="auto"/>
        </w:rPr>
      </w:pPr>
    </w:p>
    <w:p>
      <w:pPr>
        <w:ind w:left="-20" w:right="240" w:firstLine="656"/>
        <w:spacing w:after="0" w:line="272" w:lineRule="auto"/>
        <w:tabs>
          <w:tab w:leader="none" w:pos="1168"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 xml:space="preserve">“Stock Option” </w:t>
      </w:r>
      <w:r>
        <w:rPr>
          <w:rFonts w:ascii="Arial" w:cs="Arial" w:eastAsia="Arial" w:hAnsi="Arial"/>
          <w:sz w:val="21"/>
          <w:szCs w:val="21"/>
          <w:color w:val="auto"/>
        </w:rPr>
        <w:t>shall mean a contractual right granted to a Participant pursuant to Article II to purchase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Class B Common Stock at such time and price, and subject to such other terms and conditions, as are set forth in the Plan and the applicable Agreement. Stock Options may be “incentive stock options” within the meaning of Section 422 of the Code or nonqualified stock options, which are not intended to be treated as incentive stock options.</w:t>
      </w:r>
    </w:p>
    <w:p>
      <w:pPr>
        <w:spacing w:after="0" w:line="120" w:lineRule="exact"/>
        <w:rPr>
          <w:rFonts w:ascii="Arial" w:cs="Arial" w:eastAsia="Arial" w:hAnsi="Arial"/>
          <w:sz w:val="21"/>
          <w:szCs w:val="21"/>
          <w:color w:val="auto"/>
        </w:rPr>
      </w:pPr>
    </w:p>
    <w:p>
      <w:pPr>
        <w:ind w:left="-20" w:right="20" w:firstLine="656"/>
        <w:spacing w:after="0" w:line="253" w:lineRule="auto"/>
        <w:tabs>
          <w:tab w:leader="none" w:pos="1168"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shall mean a corporation or other entity with respect to which the Company owns or controls,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or indirectly, more than 50%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50% or less of such voting power as a Subsidiary for purposes of the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1031" w:right="239" w:bottom="1440" w:gutter="0" w:footer="0" w:header="0"/>
        </w:sectPr>
      </w:pPr>
    </w:p>
    <w:bookmarkStart w:id="160" w:name="page161"/>
    <w:bookmarkEnd w:id="160"/>
    <w:p>
      <w:pPr>
        <w:ind w:right="20" w:firstLine="656"/>
        <w:spacing w:after="0" w:line="262"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“Substitute Awards” </w:t>
      </w:r>
      <w:r>
        <w:rPr>
          <w:rFonts w:ascii="Arial" w:cs="Arial" w:eastAsia="Arial" w:hAnsi="Arial"/>
          <w:sz w:val="22"/>
          <w:szCs w:val="22"/>
          <w:color w:val="auto"/>
        </w:rPr>
        <w:t>means Awards granted upon assumption of, or in substitution for, outstanding awards</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granted by a company or other entity all or a portion of the assets or equity of which is acquired by the Company or with which the Company merges or otherwise combines.</w:t>
      </w:r>
    </w:p>
    <w:p>
      <w:pPr>
        <w:spacing w:after="0" w:line="130" w:lineRule="exact"/>
        <w:rPr>
          <w:rFonts w:ascii="Arial" w:cs="Arial" w:eastAsia="Arial" w:hAnsi="Arial"/>
          <w:sz w:val="22"/>
          <w:szCs w:val="22"/>
          <w:color w:val="auto"/>
        </w:rPr>
      </w:pPr>
    </w:p>
    <w:p>
      <w:pPr>
        <w:ind w:right="60" w:firstLine="656"/>
        <w:spacing w:after="0" w:line="323" w:lineRule="auto"/>
        <w:tabs>
          <w:tab w:leader="none" w:pos="1188"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“Tax-Related Items” </w:t>
      </w:r>
      <w:r>
        <w:rPr>
          <w:rFonts w:ascii="Arial" w:cs="Arial" w:eastAsia="Arial" w:hAnsi="Arial"/>
          <w:sz w:val="19"/>
          <w:szCs w:val="19"/>
          <w:color w:val="auto"/>
        </w:rPr>
        <w:t>means any federal, national, provincial, state, and/or local tax liability (including,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to, income tax, social insurance contributions, payment on account, employment tax obligations, stamp taxes, and any other taxes) that may be due or required by law to be withheld, and/or any employer tax liability shifted to a Participant.</w:t>
      </w:r>
    </w:p>
    <w:p>
      <w:pPr>
        <w:spacing w:after="0" w:line="76" w:lineRule="exact"/>
        <w:rPr>
          <w:rFonts w:ascii="Arial" w:cs="Arial" w:eastAsia="Arial" w:hAnsi="Arial"/>
          <w:sz w:val="19"/>
          <w:szCs w:val="19"/>
          <w:color w:val="auto"/>
        </w:rPr>
      </w:pPr>
    </w:p>
    <w:p>
      <w:pPr>
        <w:ind w:left="1200" w:hanging="544"/>
        <w:spacing w:after="0"/>
        <w:tabs>
          <w:tab w:leader="none" w:pos="120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shall mean a termination of a Participant’s Service by reason of:</w:t>
      </w:r>
    </w:p>
    <w:p>
      <w:pPr>
        <w:spacing w:after="0" w:line="198" w:lineRule="exact"/>
        <w:rPr>
          <w:rFonts w:ascii="Arial" w:cs="Arial" w:eastAsia="Arial" w:hAnsi="Arial"/>
          <w:sz w:val="22"/>
          <w:szCs w:val="22"/>
          <w:color w:val="auto"/>
        </w:rPr>
      </w:pPr>
    </w:p>
    <w:p>
      <w:pPr>
        <w:ind w:left="660" w:right="340" w:firstLine="645"/>
        <w:spacing w:after="0" w:line="276" w:lineRule="auto"/>
        <w:tabs>
          <w:tab w:leader="none" w:pos="1692" w:val="left"/>
        </w:tabs>
        <w:numPr>
          <w:ilvl w:val="1"/>
          <w:numId w:val="63"/>
        </w:numPr>
        <w:rPr>
          <w:rFonts w:ascii="Arial" w:cs="Arial" w:eastAsia="Arial" w:hAnsi="Arial"/>
          <w:sz w:val="22"/>
          <w:szCs w:val="22"/>
          <w:color w:val="auto"/>
        </w:rPr>
      </w:pPr>
      <w:r>
        <w:rPr>
          <w:rFonts w:ascii="Arial" w:cs="Arial" w:eastAsia="Arial" w:hAnsi="Arial"/>
          <w:sz w:val="22"/>
          <w:szCs w:val="22"/>
          <w:color w:val="auto"/>
        </w:rPr>
        <w:t>“cause” as such term or a similar term is defined in any employment or consulting agreement that is in effect and applicable to the Participant at the time of the Participant’s termination of Service, or</w:t>
      </w:r>
    </w:p>
    <w:p>
      <w:pPr>
        <w:spacing w:after="0" w:line="120" w:lineRule="exact"/>
        <w:rPr>
          <w:rFonts w:ascii="Arial" w:cs="Arial" w:eastAsia="Arial" w:hAnsi="Arial"/>
          <w:sz w:val="22"/>
          <w:szCs w:val="22"/>
          <w:color w:val="auto"/>
        </w:rPr>
      </w:pPr>
    </w:p>
    <w:p>
      <w:pPr>
        <w:ind w:left="660" w:firstLine="645"/>
        <w:spacing w:after="0" w:line="287" w:lineRule="auto"/>
        <w:tabs>
          <w:tab w:leader="none" w:pos="1752" w:val="left"/>
        </w:tabs>
        <w:numPr>
          <w:ilvl w:val="1"/>
          <w:numId w:val="63"/>
        </w:numPr>
        <w:rPr>
          <w:rFonts w:ascii="Arial" w:cs="Arial" w:eastAsia="Arial" w:hAnsi="Arial"/>
          <w:sz w:val="19"/>
          <w:szCs w:val="19"/>
          <w:color w:val="auto"/>
        </w:rPr>
      </w:pPr>
      <w:r>
        <w:rPr>
          <w:rFonts w:ascii="Arial" w:cs="Arial" w:eastAsia="Arial" w:hAnsi="Arial"/>
          <w:sz w:val="19"/>
          <w:szCs w:val="19"/>
          <w:color w:val="auto"/>
        </w:rPr>
        <w:t>if there is no such employment or consulting agreement, or if such employment or consulting agreement contains no such term, unless the Committee determines otherwise, the Participant’s: (A) commission of any dishonest or fraudulent act that has caused or may reasonably be expected to cause injury to the interest or business reputation of the Company or any of its Subsidiaries; (B) conduct constituting a felony, a financial crime, embezzlement or fraud, whether or not related to the Participant’s Service; (C) willful unauthorized disclosure of confidential information; (D) failure, neglect of or refusal to substantially perform the duties of the Participant’s Service; (E) commission or omission of any other act which is a material breach of the Company’s policies regarding employment practices or the applicable federal, state and local laws prohibiting discrimination or which is materially injurious to the financial condition or business reputation of the Company or any Subsidiary; (F) failure to comply with the written policies of the Company, including the Company’s Business Conduct Statement or successor conduct statement as they apply from time to time; (G) willful failure to cooperate with a bona fide internal investigation or an investigation by regulatory or law enforcement authorities, whether or not related to Service, after being instructed by the Company or the Participant’s employer to participate; (H) willful destruction or failure to preserve documents or other material known to be relevant to an investigation referred to in the preceding clause (G); or (I) willful inducement of others to engage in any of the conduct described in the preceding clauses (A) through (H).</w:t>
      </w:r>
    </w:p>
    <w:p>
      <w:pPr>
        <w:spacing w:after="0" w:line="374" w:lineRule="exact"/>
        <w:rPr>
          <w:rFonts w:ascii="Arial" w:cs="Arial" w:eastAsia="Arial" w:hAnsi="Arial"/>
          <w:sz w:val="19"/>
          <w:szCs w:val="19"/>
          <w:color w:val="auto"/>
        </w:rPr>
      </w:pPr>
    </w:p>
    <w:p>
      <w:pPr>
        <w:ind w:right="440" w:firstLine="656"/>
        <w:spacing w:after="0" w:line="282" w:lineRule="auto"/>
        <w:tabs>
          <w:tab w:leader="none" w:pos="1164"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“Trading Day” </w:t>
      </w:r>
      <w:r>
        <w:rPr>
          <w:rFonts w:ascii="Arial" w:cs="Arial" w:eastAsia="Arial" w:hAnsi="Arial"/>
          <w:sz w:val="22"/>
          <w:szCs w:val="22"/>
          <w:color w:val="auto"/>
        </w:rPr>
        <w:t>means a day on which the Class B Common Stock is traded on the New York Stock Exchange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principal stock exchange on which the Class B Common Stock is then listed.</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 Administration of the Plan.</w:t>
      </w:r>
    </w:p>
    <w:p>
      <w:pPr>
        <w:spacing w:after="0" w:line="185" w:lineRule="exact"/>
        <w:rPr>
          <w:sz w:val="20"/>
          <w:szCs w:val="20"/>
          <w:color w:val="auto"/>
        </w:rPr>
      </w:pPr>
    </w:p>
    <w:p>
      <w:pPr>
        <w:ind w:right="140" w:firstLine="656"/>
        <w:spacing w:after="0" w:line="260" w:lineRule="auto"/>
        <w:tabs>
          <w:tab w:leader="none" w:pos="106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Board or Committee to Administer</w:t>
      </w:r>
      <w:r>
        <w:rPr>
          <w:rFonts w:ascii="Arial" w:cs="Arial" w:eastAsia="Arial" w:hAnsi="Arial"/>
          <w:sz w:val="22"/>
          <w:szCs w:val="22"/>
          <w:color w:val="auto"/>
        </w:rPr>
        <w:t>. The Plan shall be administered by the Board or by a Committee appointed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consisting of at least two members of the Board. Notwithstanding the preceding sentence, with respect to any Award that is intended to satisfy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31" w:right="239" w:bottom="1440" w:gutter="0" w:footer="0" w:header="0"/>
        </w:sectPr>
      </w:pPr>
    </w:p>
    <w:bookmarkStart w:id="161" w:name="page162"/>
    <w:bookmarkEnd w:id="161"/>
    <w:p>
      <w:pPr>
        <w:ind w:right="200"/>
        <w:spacing w:after="0" w:line="248" w:lineRule="auto"/>
        <w:rPr>
          <w:sz w:val="20"/>
          <w:szCs w:val="20"/>
          <w:color w:val="auto"/>
        </w:rPr>
      </w:pPr>
      <w:r>
        <w:rPr>
          <w:rFonts w:ascii="Arial" w:cs="Arial" w:eastAsia="Arial" w:hAnsi="Arial"/>
          <w:sz w:val="22"/>
          <w:szCs w:val="22"/>
          <w:color w:val="auto"/>
        </w:rPr>
        <w:t>requirements of the Section 162(m) Exception, such Committee shall consist of at least such number of directors as is required from time to time to satisfy the Section 162(m) Exception, and each such Committee member shall satisfy the qualification requirements of such exception; provided, that, if any such Committee member is found not to have met the qualification requirements of the Section 162(m) Exception, any actions taken or Awards granted by the Committee shall not be invalidated by such failure to so qualify.</w:t>
      </w:r>
    </w:p>
    <w:p>
      <w:pPr>
        <w:spacing w:after="0" w:line="152"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Powers of the Committee</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right="40" w:firstLine="645"/>
        <w:spacing w:after="0" w:line="251" w:lineRule="auto"/>
        <w:tabs>
          <w:tab w:leader="none" w:pos="16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Committee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w:t>
      </w:r>
    </w:p>
    <w:p>
      <w:pPr>
        <w:spacing w:after="0" w:line="149" w:lineRule="exact"/>
        <w:rPr>
          <w:rFonts w:ascii="Arial" w:cs="Arial" w:eastAsia="Arial" w:hAnsi="Arial"/>
          <w:sz w:val="22"/>
          <w:szCs w:val="22"/>
          <w:color w:val="auto"/>
        </w:rPr>
      </w:pPr>
    </w:p>
    <w:p>
      <w:pPr>
        <w:ind w:left="660" w:right="20" w:firstLine="645"/>
        <w:spacing w:after="0" w:line="288" w:lineRule="auto"/>
        <w:tabs>
          <w:tab w:leader="none" w:pos="1752"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Committee shall have authority to select Participants from among the Eligible Persons specified in Section 1.4 below, to determine the type of Award to be granted, to determine the number of shares of Class B Common Stock subject to an Award or the cash amount payable in connection with an Award, to determine the terms and conditions of each Award in accordance with the terms of the Plan and to adopt such rules as it may deem appropriate in order to carry out the purpose of the Plan. Except as provided herein, the Committee shall also have the authority to amend the terms of any outstanding Award or waive any conditions or restrictions applicable to any Award; provided, however, that, subject to Sections 10.3 and 10.11 and Article XI hereof, no amendment shall materially impair the rights of the holder thereof without the holder’s consent. With respect to any restrictions in the Plan or in any Agreement that are based on the requirements of Section 422 of the Code, the Section 162(m) Exception, the rules of any exchange upon which the Company’s securities are listed, or any other applicable law, rule or restriction to the extent that any such restrictions are no longer required, the Committee shall have the discretion and authority to grant Awards that are not subject to such restrictions and/or to waive any such restrictions with respect to outstanding Awards.</w:t>
      </w:r>
    </w:p>
    <w:p>
      <w:pPr>
        <w:spacing w:after="0" w:line="122" w:lineRule="exact"/>
        <w:rPr>
          <w:rFonts w:ascii="Arial" w:cs="Arial" w:eastAsia="Arial" w:hAnsi="Arial"/>
          <w:sz w:val="19"/>
          <w:szCs w:val="19"/>
          <w:color w:val="auto"/>
        </w:rPr>
      </w:pPr>
    </w:p>
    <w:p>
      <w:pPr>
        <w:ind w:firstLine="656"/>
        <w:spacing w:after="0" w:line="291" w:lineRule="auto"/>
        <w:tabs>
          <w:tab w:leader="none" w:pos="1068"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 xml:space="preserve">Delegation by the Committee. </w:t>
      </w:r>
      <w:r>
        <w:rPr>
          <w:rFonts w:ascii="Arial" w:cs="Arial" w:eastAsia="Arial" w:hAnsi="Arial"/>
          <w:sz w:val="19"/>
          <w:szCs w:val="19"/>
          <w:color w:val="auto"/>
        </w:rPr>
        <w:t>The Committee may, but need not, from time to time delegate some or all of its authority</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Plan to an Administrator consisting of one or more members of the Committee and/or one or more officers of the Company; provided, however, that the Committee may not delegate its authority (i) to make Awards to Eligible Persons (A) who are subject on the date of the Award to the reporting rules under Section 16(a) of the Exchange Act, (B) whose compensation for such fiscal year may be subject to the limit on deductible compensation pursuant to Section 162(m) or (C) who are officers of the Company who are delegated authority by the Committee hereunder, or (ii) to interpret the Plan or any Award, or (iii) under Article XI hereof.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1036" w:right="259" w:bottom="1440" w:gutter="0" w:footer="0" w:header="0"/>
        </w:sectPr>
      </w:pPr>
    </w:p>
    <w:bookmarkStart w:id="162" w:name="page163"/>
    <w:bookmarkEnd w:id="162"/>
    <w:p>
      <w:pPr>
        <w:ind w:right="200"/>
        <w:spacing w:after="0" w:line="248" w:lineRule="auto"/>
        <w:rPr>
          <w:sz w:val="20"/>
          <w:szCs w:val="20"/>
          <w:color w:val="auto"/>
        </w:rPr>
      </w:pPr>
      <w:r>
        <w:rPr>
          <w:rFonts w:ascii="Arial" w:cs="Arial" w:eastAsia="Arial" w:hAnsi="Arial"/>
          <w:sz w:val="22"/>
          <w:szCs w:val="22"/>
          <w:color w:val="auto"/>
        </w:rPr>
        <w:t>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152" w:lineRule="exact"/>
        <w:rPr>
          <w:sz w:val="20"/>
          <w:szCs w:val="20"/>
          <w:color w:val="auto"/>
        </w:rPr>
      </w:pPr>
    </w:p>
    <w:p>
      <w:pPr>
        <w:ind w:right="140" w:firstLine="656"/>
        <w:spacing w:after="0" w:line="266" w:lineRule="auto"/>
        <w:tabs>
          <w:tab w:leader="none" w:pos="1080"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 xml:space="preserve">Non-Uniform Determinations. </w:t>
      </w:r>
      <w:r>
        <w:rPr>
          <w:rFonts w:ascii="Arial" w:cs="Arial" w:eastAsia="Arial" w:hAnsi="Arial"/>
          <w:sz w:val="21"/>
          <w:szCs w:val="21"/>
          <w:color w:val="auto"/>
        </w:rPr>
        <w:t>The Committee’s determinations under the Plan need not be uniform and may be made</w:t>
      </w:r>
      <w:r>
        <w:rPr>
          <w:rFonts w:ascii="Arial" w:cs="Arial" w:eastAsia="Arial" w:hAnsi="Arial"/>
          <w:sz w:val="21"/>
          <w:szCs w:val="21"/>
          <w:i w:val="1"/>
          <w:iCs w:val="1"/>
          <w:color w:val="auto"/>
        </w:rPr>
        <w:t xml:space="preserve"> </w:t>
      </w:r>
      <w:r>
        <w:rPr>
          <w:rFonts w:ascii="Arial" w:cs="Arial" w:eastAsia="Arial" w:hAnsi="Arial"/>
          <w:sz w:val="21"/>
          <w:szCs w:val="21"/>
          <w:color w:val="auto"/>
        </w:rPr>
        <w:t>by it selectively among persons who receive, or are eligible to receive, Awards under the Plan (whether or not such persons are similarly situated). Without limiting the generality of the foregoing, the Committee shall be entitled, among other things, to make non-uniform and selective determinations, and to enter into non-uniform and selective Agreements, as to the persons receiving Awards under the Plan and the terms and provisions of Awards under the Plan.</w:t>
      </w:r>
    </w:p>
    <w:p>
      <w:pPr>
        <w:spacing w:after="0" w:line="133" w:lineRule="exact"/>
        <w:rPr>
          <w:rFonts w:ascii="Arial" w:cs="Arial" w:eastAsia="Arial" w:hAnsi="Arial"/>
          <w:sz w:val="21"/>
          <w:szCs w:val="21"/>
          <w:color w:val="auto"/>
        </w:rPr>
      </w:pPr>
    </w:p>
    <w:p>
      <w:pPr>
        <w:ind w:firstLine="656"/>
        <w:spacing w:after="0" w:line="292" w:lineRule="auto"/>
        <w:tabs>
          <w:tab w:leader="none" w:pos="1068"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 xml:space="preserve">No Liability. </w:t>
      </w:r>
      <w:r>
        <w:rPr>
          <w:rFonts w:ascii="Arial" w:cs="Arial" w:eastAsia="Arial" w:hAnsi="Arial"/>
          <w:sz w:val="19"/>
          <w:szCs w:val="19"/>
          <w:color w:val="auto"/>
        </w:rPr>
        <w:t>Subject to applicable law: (i) no member of the Committee nor any Administrator shall be liable to any</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or any other person for anything whatsoever in connection with the administration of the Plan except such person’s own willful misconduct; (ii) under no circumstances shall any member of the Committee or any Administrator be liable for any act or omission of any member of the Committee or any Administrator other than himself; and (iii) in the performance of its functions with respect to the Plan, the Committee and any Administrator shall be entitled to rely upon information and advice furnished by the Company’s officers, the Company’s accountants, the Company’s or the Committee’s counsel and any other party the Committee or such Administrator deems necessary, and no member of the Committee or such Administrator shall be liable for any action taken or not taken in good faith reliance upon any such advice.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 Eligible Persons.</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Individuals eligible to receive Awards under the Plan (each, an “Eligible Person”) include (a) any Employee (including any prospective employee) of the Company or any of its Subsidiaries; provided, however, that “incentive stock options” within the meaning of Code Section 422 may not be granted to Employees of any corporation or other entity in which the Company owns or controls, directly or indirectly, 50% or less of the outstanding shares of stock normally entitled to vote for the election of directors (or comparable voting power); and (b) to the extent designated by the Committee, any Consultant to the Company or any of its Subsidiaries. Any Award made to a prospective employee shall be conditioned upon, and effective not earlier than, such person’s becoming an Employee. Members of the Board who are not Employees will not be eligible to receive Awards under the Plan. An individual’s status as an Administrator will not affect his or her eligibility to receive Awards under the Plan, subject to the restrictions set forth in Section 1.3(c) hereof.</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 Class B Common Stock Subject to the Plan.</w:t>
      </w:r>
    </w:p>
    <w:p>
      <w:pPr>
        <w:spacing w:after="0" w:line="185" w:lineRule="exact"/>
        <w:rPr>
          <w:sz w:val="20"/>
          <w:szCs w:val="20"/>
          <w:color w:val="auto"/>
        </w:rPr>
      </w:pPr>
    </w:p>
    <w:p>
      <w:pPr>
        <w:ind w:right="480" w:firstLine="656"/>
        <w:spacing w:after="0" w:line="276" w:lineRule="auto"/>
        <w:tabs>
          <w:tab w:leader="none" w:pos="106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 xml:space="preserve">Plan Limit. </w:t>
      </w:r>
      <w:r>
        <w:rPr>
          <w:rFonts w:ascii="Arial" w:cs="Arial" w:eastAsia="Arial" w:hAnsi="Arial"/>
          <w:sz w:val="22"/>
          <w:szCs w:val="22"/>
          <w:color w:val="auto"/>
        </w:rPr>
        <w:t>Subject to adjustment under Article VIII hereof, the total number of shares of Class B Common Stock</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for delivery pursuant to Awards, including pursuant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1037" w:right="259" w:bottom="1440" w:gutter="0" w:footer="0" w:header="0"/>
        </w:sectPr>
      </w:pPr>
    </w:p>
    <w:bookmarkStart w:id="163" w:name="page164"/>
    <w:bookmarkEnd w:id="163"/>
    <w:p>
      <w:pPr>
        <w:ind w:right="180"/>
        <w:spacing w:after="0" w:line="302" w:lineRule="auto"/>
        <w:rPr>
          <w:sz w:val="20"/>
          <w:szCs w:val="20"/>
          <w:color w:val="auto"/>
        </w:rPr>
      </w:pPr>
      <w:r>
        <w:rPr>
          <w:rFonts w:ascii="Arial" w:cs="Arial" w:eastAsia="Arial" w:hAnsi="Arial"/>
          <w:sz w:val="19"/>
          <w:szCs w:val="19"/>
          <w:color w:val="auto"/>
        </w:rPr>
        <w:t>to the exercise of incentive stock options, under the Plan (the “Section 1.5 Limit”) is 107,258,647 shares. The shares of Class B Common Stock subject to Awards under the Plan shall be made available from authorized but unissued Class B Common Stock, from Class B Common Stock issued and held in the treasury of the Company or, subject to such conditions as the Committee may determine, from shares beneficially owned by one or more stockholders of the Company.</w:t>
      </w:r>
    </w:p>
    <w:p>
      <w:pPr>
        <w:spacing w:after="0" w:line="102" w:lineRule="exact"/>
        <w:rPr>
          <w:sz w:val="20"/>
          <w:szCs w:val="20"/>
          <w:color w:val="auto"/>
        </w:rPr>
      </w:pPr>
    </w:p>
    <w:p>
      <w:pPr>
        <w:jc w:val="both"/>
        <w:ind w:right="20" w:firstLine="656"/>
        <w:spacing w:after="0" w:line="278" w:lineRule="auto"/>
        <w:tabs>
          <w:tab w:leader="none" w:pos="1080" w:val="left"/>
        </w:tabs>
        <w:numPr>
          <w:ilvl w:val="0"/>
          <w:numId w:val="68"/>
        </w:numPr>
        <w:rPr>
          <w:rFonts w:ascii="Arial" w:cs="Arial" w:eastAsia="Arial" w:hAnsi="Arial"/>
          <w:sz w:val="21"/>
          <w:szCs w:val="21"/>
          <w:color w:val="auto"/>
        </w:rPr>
      </w:pPr>
      <w:r>
        <w:rPr>
          <w:rFonts w:ascii="Arial" w:cs="Arial" w:eastAsia="Arial" w:hAnsi="Arial"/>
          <w:sz w:val="21"/>
          <w:szCs w:val="21"/>
          <w:i w:val="1"/>
          <w:iCs w:val="1"/>
          <w:color w:val="auto"/>
        </w:rPr>
        <w:t xml:space="preserve">Plan Sub-Limits. </w:t>
      </w:r>
      <w:r>
        <w:rPr>
          <w:rFonts w:ascii="Arial" w:cs="Arial" w:eastAsia="Arial" w:hAnsi="Arial"/>
          <w:sz w:val="21"/>
          <w:szCs w:val="21"/>
          <w:color w:val="auto"/>
        </w:rPr>
        <w:t>Subject to adjustment under Article VIII hereof, the maximum aggregate number of shares of Class B</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that may be delivered in respect of Awards other than Stock Options and Stock Appreciation Rights (but only to the extent such Awards are paid or settled in shares of Class B Common Stock) is 56,436,251.</w:t>
      </w:r>
    </w:p>
    <w:p>
      <w:pPr>
        <w:spacing w:after="0" w:line="119" w:lineRule="exact"/>
        <w:rPr>
          <w:rFonts w:ascii="Arial" w:cs="Arial" w:eastAsia="Arial" w:hAnsi="Arial"/>
          <w:sz w:val="21"/>
          <w:szCs w:val="21"/>
          <w:color w:val="auto"/>
        </w:rPr>
      </w:pPr>
    </w:p>
    <w:p>
      <w:pPr>
        <w:ind w:right="220" w:firstLine="656"/>
        <w:spacing w:after="0" w:line="358" w:lineRule="auto"/>
        <w:tabs>
          <w:tab w:leader="none" w:pos="1068"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 xml:space="preserve">Rules Applicable to Determining Shares Available for Issuance. </w:t>
      </w:r>
      <w:r>
        <w:rPr>
          <w:rFonts w:ascii="Arial" w:cs="Arial" w:eastAsia="Arial" w:hAnsi="Arial"/>
          <w:sz w:val="19"/>
          <w:szCs w:val="19"/>
          <w:color w:val="auto"/>
        </w:rPr>
        <w:t>For purposes of determining the number of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Class B Common Stock that remain available for delivery pursuant to Awards at any time, the following rules apply:</w:t>
      </w:r>
    </w:p>
    <w:p>
      <w:pPr>
        <w:spacing w:after="0" w:line="50" w:lineRule="exact"/>
        <w:rPr>
          <w:rFonts w:ascii="Arial" w:cs="Arial" w:eastAsia="Arial" w:hAnsi="Arial"/>
          <w:sz w:val="19"/>
          <w:szCs w:val="19"/>
          <w:color w:val="auto"/>
        </w:rPr>
      </w:pPr>
    </w:p>
    <w:p>
      <w:pPr>
        <w:ind w:left="660" w:right="40" w:firstLine="645"/>
        <w:spacing w:after="0" w:line="320" w:lineRule="auto"/>
        <w:tabs>
          <w:tab w:leader="none" w:pos="169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Section 1.5 Limit (and, if applicable, the limit set forth in Section 1.5(b)) shall be reduced by the number of shares of Class B Common Stock subject to an Award and, in the case of an Award that is not denominated in shares of Class B Common Stock, the number of shares actually delivered upon payment or settlement of the Award.</w:t>
      </w:r>
    </w:p>
    <w:p>
      <w:pPr>
        <w:spacing w:after="0" w:line="84" w:lineRule="exact"/>
        <w:rPr>
          <w:rFonts w:ascii="Arial" w:cs="Arial" w:eastAsia="Arial" w:hAnsi="Arial"/>
          <w:sz w:val="19"/>
          <w:szCs w:val="19"/>
          <w:color w:val="auto"/>
        </w:rPr>
      </w:pPr>
    </w:p>
    <w:p>
      <w:pPr>
        <w:ind w:left="1740" w:hanging="435"/>
        <w:spacing w:after="0"/>
        <w:tabs>
          <w:tab w:leader="none" w:pos="1740"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following shall be added back to the Section 1.5 Limit (and, if applicable, the limit set forth in Section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1.5(b)) and shall again be available for Awards:</w:t>
      </w:r>
    </w:p>
    <w:p>
      <w:pPr>
        <w:spacing w:after="0" w:line="175" w:lineRule="exact"/>
        <w:rPr>
          <w:sz w:val="20"/>
          <w:szCs w:val="20"/>
          <w:color w:val="auto"/>
        </w:rPr>
      </w:pPr>
    </w:p>
    <w:p>
      <w:pPr>
        <w:ind w:left="1300" w:right="640" w:firstLine="653"/>
        <w:spacing w:after="0" w:line="276" w:lineRule="auto"/>
        <w:tabs>
          <w:tab w:leader="none" w:pos="2428" w:val="left"/>
        </w:tabs>
        <w:numPr>
          <w:ilvl w:val="1"/>
          <w:numId w:val="69"/>
        </w:numPr>
        <w:rPr>
          <w:rFonts w:ascii="Arial" w:cs="Arial" w:eastAsia="Arial" w:hAnsi="Arial"/>
          <w:sz w:val="22"/>
          <w:szCs w:val="22"/>
          <w:color w:val="auto"/>
        </w:rPr>
      </w:pPr>
      <w:r>
        <w:rPr>
          <w:rFonts w:ascii="Arial" w:cs="Arial" w:eastAsia="Arial" w:hAnsi="Arial"/>
          <w:sz w:val="22"/>
          <w:szCs w:val="22"/>
          <w:color w:val="auto"/>
        </w:rPr>
        <w:t>shares underlying Awards or portions thereof that are settled in cash and not in shares of Class B Common Stock; and</w:t>
      </w:r>
    </w:p>
    <w:p>
      <w:pPr>
        <w:spacing w:after="0" w:line="120" w:lineRule="exact"/>
        <w:rPr>
          <w:rFonts w:ascii="Arial" w:cs="Arial" w:eastAsia="Arial" w:hAnsi="Arial"/>
          <w:sz w:val="22"/>
          <w:szCs w:val="22"/>
          <w:color w:val="auto"/>
        </w:rPr>
      </w:pPr>
    </w:p>
    <w:p>
      <w:pPr>
        <w:ind w:left="1300" w:right="180" w:firstLine="653"/>
        <w:spacing w:after="0" w:line="358" w:lineRule="auto"/>
        <w:tabs>
          <w:tab w:leader="none" w:pos="2416"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shares of Class B Common Stock that are subject to an Award, or any portion of an Award, which for any reason expires or is cancelled, forfeited, or terminated without having been exercised or paid.</w:t>
      </w:r>
    </w:p>
    <w:p>
      <w:pPr>
        <w:spacing w:after="0" w:line="50" w:lineRule="exact"/>
        <w:rPr>
          <w:rFonts w:ascii="Arial" w:cs="Arial" w:eastAsia="Arial" w:hAnsi="Arial"/>
          <w:sz w:val="19"/>
          <w:szCs w:val="19"/>
          <w:color w:val="auto"/>
        </w:rPr>
      </w:pPr>
    </w:p>
    <w:p>
      <w:pPr>
        <w:ind w:left="1800" w:hanging="495"/>
        <w:spacing w:after="0"/>
        <w:tabs>
          <w:tab w:leader="none" w:pos="1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Anything to the contrary in this Section 1.5(c) notwithstanding,</w:t>
      </w:r>
    </w:p>
    <w:p>
      <w:pPr>
        <w:spacing w:after="0" w:line="192" w:lineRule="exact"/>
        <w:rPr>
          <w:rFonts w:ascii="Arial" w:cs="Arial" w:eastAsia="Arial" w:hAnsi="Arial"/>
          <w:sz w:val="22"/>
          <w:szCs w:val="22"/>
          <w:color w:val="auto"/>
        </w:rPr>
      </w:pPr>
    </w:p>
    <w:p>
      <w:pPr>
        <w:ind w:left="1300" w:firstLine="653"/>
        <w:spacing w:after="0" w:line="300" w:lineRule="auto"/>
        <w:tabs>
          <w:tab w:leader="none" w:pos="2428" w:val="left"/>
        </w:tabs>
        <w:numPr>
          <w:ilvl w:val="1"/>
          <w:numId w:val="70"/>
        </w:numPr>
        <w:rPr>
          <w:rFonts w:ascii="Arial" w:cs="Arial" w:eastAsia="Arial" w:hAnsi="Arial"/>
          <w:sz w:val="19"/>
          <w:szCs w:val="19"/>
          <w:color w:val="auto"/>
        </w:rPr>
      </w:pPr>
      <w:r>
        <w:rPr>
          <w:rFonts w:ascii="Arial" w:cs="Arial" w:eastAsia="Arial" w:hAnsi="Arial"/>
          <w:sz w:val="19"/>
          <w:szCs w:val="19"/>
          <w:color w:val="auto"/>
        </w:rPr>
        <w:t>(1) shares of Class B Common Stock delivered to the Company by a Participant to purchase shares of Class B Common Stock upon the exercise of an Award or to satisfy tax withholding obligations (including shares retained from the Award creating the withholding obligation), and (2) shares of Class B Common Stock repurchased by the Company on the open market using the proceeds from the exercise of an Award, in either instance shall not be added back to the Section 1.5 Limit (and, if applicable, the limit set forth in Section 1.5(b)); and</w:t>
      </w:r>
    </w:p>
    <w:p>
      <w:pPr>
        <w:spacing w:after="0" w:line="106" w:lineRule="exact"/>
        <w:rPr>
          <w:rFonts w:ascii="Arial" w:cs="Arial" w:eastAsia="Arial" w:hAnsi="Arial"/>
          <w:sz w:val="19"/>
          <w:szCs w:val="19"/>
          <w:color w:val="auto"/>
        </w:rPr>
      </w:pPr>
    </w:p>
    <w:p>
      <w:pPr>
        <w:ind w:left="1300" w:right="80" w:firstLine="653"/>
        <w:spacing w:after="0" w:line="320" w:lineRule="auto"/>
        <w:tabs>
          <w:tab w:leader="none" w:pos="2416" w:val="left"/>
        </w:tabs>
        <w:numPr>
          <w:ilvl w:val="1"/>
          <w:numId w:val="70"/>
        </w:numPr>
        <w:rPr>
          <w:rFonts w:ascii="Arial" w:cs="Arial" w:eastAsia="Arial" w:hAnsi="Arial"/>
          <w:sz w:val="19"/>
          <w:szCs w:val="19"/>
          <w:color w:val="auto"/>
        </w:rPr>
      </w:pPr>
      <w:r>
        <w:rPr>
          <w:rFonts w:ascii="Arial" w:cs="Arial" w:eastAsia="Arial" w:hAnsi="Arial"/>
          <w:sz w:val="19"/>
          <w:szCs w:val="19"/>
          <w:color w:val="auto"/>
        </w:rPr>
        <w:t>upon the exercise of a Stock Option or Stock Appreciation Right settled in shares of Class B Common Stock, the number of shares subject to the Stock Option or Stock Appreciation Right (or portion thereof) that is then being exercised shall be counted against the Section 1.5 Limit, regardless of the number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037" w:right="239" w:bottom="1440" w:gutter="0" w:footer="0" w:header="0"/>
        </w:sectPr>
      </w:pPr>
    </w:p>
    <w:bookmarkStart w:id="164" w:name="page165"/>
    <w:bookmarkEnd w:id="164"/>
    <w:p>
      <w:pPr>
        <w:ind w:left="1300" w:right="500"/>
        <w:spacing w:after="0" w:line="263" w:lineRule="auto"/>
        <w:rPr>
          <w:sz w:val="20"/>
          <w:szCs w:val="20"/>
          <w:color w:val="auto"/>
        </w:rPr>
      </w:pPr>
      <w:r>
        <w:rPr>
          <w:rFonts w:ascii="Arial" w:cs="Arial" w:eastAsia="Arial" w:hAnsi="Arial"/>
          <w:sz w:val="22"/>
          <w:szCs w:val="22"/>
          <w:color w:val="auto"/>
        </w:rPr>
        <w:t>of shares of Class B Common Stock actually delivered in settlement of the Stock Option or Stock Appreciation Right (or portion thereof) upon exercise.</w:t>
      </w:r>
    </w:p>
    <w:p>
      <w:pPr>
        <w:spacing w:after="0" w:line="134" w:lineRule="exact"/>
        <w:rPr>
          <w:sz w:val="20"/>
          <w:szCs w:val="20"/>
          <w:color w:val="auto"/>
        </w:rPr>
      </w:pPr>
    </w:p>
    <w:p>
      <w:pPr>
        <w:ind w:left="660" w:right="200" w:firstLine="645"/>
        <w:spacing w:after="0" w:line="276" w:lineRule="auto"/>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shares of Class B Common Stock underlying Substitute Awards shall not be counted against the Section 1.5 Limit (and, if applicable, the limit set forth in Section 1.5(b)).</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 Section 162(m) Limits on Awards to Participants.</w:t>
      </w:r>
    </w:p>
    <w:p>
      <w:pPr>
        <w:spacing w:after="0" w:line="185" w:lineRule="exact"/>
        <w:rPr>
          <w:sz w:val="20"/>
          <w:szCs w:val="20"/>
          <w:color w:val="auto"/>
        </w:rPr>
      </w:pPr>
    </w:p>
    <w:p>
      <w:pPr>
        <w:ind w:firstLine="656"/>
        <w:spacing w:after="0" w:line="290" w:lineRule="auto"/>
        <w:tabs>
          <w:tab w:leader="none" w:pos="1068"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Limits on Certain Stock Options, Stock Appreciation Rights. </w:t>
      </w:r>
      <w:r>
        <w:rPr>
          <w:rFonts w:ascii="Arial" w:cs="Arial" w:eastAsia="Arial" w:hAnsi="Arial"/>
          <w:sz w:val="19"/>
          <w:szCs w:val="19"/>
          <w:color w:val="auto"/>
        </w:rPr>
        <w:t>The maximum aggregate number of shares of Class B</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that could have been granted under the Plan to any Participant during the period beginning on the original effective date of the Plan and ending on the day immediately prior to the date of the Company’s 2018 Annual Meeting of Stockholders in the form of Stock Options or Stock Appreciation Rights was 25,500,000 (regardless of whether Stock Appreciation Rights are settled in cash, Class B Common Stock, other Company securities or a combination thereof), subject to adjustment pursuant to Article VIII hereof. To the extent required to comply with the Section 162(m) Exception, for the period beginning on the date of the Company’s 2018 Annual Meeting of Stockholders and ending on the Expiration Date, the maximum aggregate number of shares of Class B Common Stock that may be granted under the Plan to any Participant in the form of Stock Options or Stock Appreciation Rights is 25,500,000 (regardless of whether Stock Appreciation Rights are settled in cash, Class B Common Stock, other Company securities or a combination thereof), subject to adjustment pursuant to Article VIII hereof.</w:t>
      </w:r>
    </w:p>
    <w:p>
      <w:pPr>
        <w:spacing w:after="0" w:line="115" w:lineRule="exact"/>
        <w:rPr>
          <w:rFonts w:ascii="Arial" w:cs="Arial" w:eastAsia="Arial" w:hAnsi="Arial"/>
          <w:sz w:val="19"/>
          <w:szCs w:val="19"/>
          <w:color w:val="auto"/>
        </w:rPr>
      </w:pPr>
    </w:p>
    <w:p>
      <w:pPr>
        <w:ind w:right="120" w:firstLine="656"/>
        <w:spacing w:after="0" w:line="289" w:lineRule="auto"/>
        <w:tabs>
          <w:tab w:leader="none" w:pos="1080"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Limits on Other Awards. </w:t>
      </w:r>
      <w:r>
        <w:rPr>
          <w:rFonts w:ascii="Arial" w:cs="Arial" w:eastAsia="Arial" w:hAnsi="Arial"/>
          <w:sz w:val="19"/>
          <w:szCs w:val="19"/>
          <w:color w:val="auto"/>
        </w:rPr>
        <w:t>No Participant shall be granted Awards (other than those Awards set forth in Section 1.6(a))</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intended to qualify for the Section 162(m) Exception in any calendar year having a value in excess of $50 million (with respect to Awards denominated in cash) and covering, in the aggregate, in excess of 10,000,000 shares of Class B Common Stock (with respect to Awards denominated in shares of Class B Common Stock), subject to adjustment pursuant to Article VIII hereof. Notwithstanding the preceding sentence, if in any calendar year the Committee grants to a Participant Awards having an aggregate dollar value and/or number of shares less than the maximum dollar value and/or number of shares that could be paid or awarded to such Participant based on the degree to which the relevant Performance Targets were attained, the excess of such maximum dollar value and/or number of shares over the aggregate dollar value and/or number of shares actually subject to Awards granted to such Participant shall be carried forward and shall increase the maximum dollar value and/or number of shares that may be awarded to such Participant in the next calendar year in which the Committee grants to such Participant an Award intended to qualify for the Section 162(m) Exception, subject to adjustment pursuant to Article VIII hereof.</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1.7 Agreements.</w:t>
      </w:r>
    </w:p>
    <w:p>
      <w:pPr>
        <w:spacing w:after="0" w:line="185"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The Committee shall determine and set forth in an Agreement the terms and conditions of each Award (other than an Award of unrestricted Class B Common Stock). The Agreement shall include any vesting, exercisability, payment and other restrictions applicable to an Award (which may include, without limitation, the effects of termination of Service, cancellation of the Award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036" w:right="239" w:bottom="1440" w:gutter="0" w:footer="0" w:header="0"/>
        </w:sectPr>
      </w:pPr>
    </w:p>
    <w:bookmarkStart w:id="165" w:name="page166"/>
    <w:bookmarkEnd w:id="165"/>
    <w:p>
      <w:pPr>
        <w:jc w:val="center"/>
        <w:ind w:right="580"/>
        <w:spacing w:after="0" w:line="468" w:lineRule="auto"/>
        <w:rPr>
          <w:sz w:val="20"/>
          <w:szCs w:val="20"/>
          <w:color w:val="auto"/>
        </w:rPr>
      </w:pPr>
      <w:r>
        <w:rPr>
          <w:rFonts w:ascii="Arial" w:cs="Arial" w:eastAsia="Arial" w:hAnsi="Arial"/>
          <w:sz w:val="22"/>
          <w:szCs w:val="22"/>
          <w:color w:val="auto"/>
        </w:rPr>
        <w:t xml:space="preserve">under specified circumstances, restrictions on transfer), and shall be delivered or otherwise made available to the Participant. </w:t>
      </w:r>
      <w:r>
        <w:rPr>
          <w:rFonts w:ascii="Arial" w:cs="Arial" w:eastAsia="Arial" w:hAnsi="Arial"/>
          <w:sz w:val="22"/>
          <w:szCs w:val="22"/>
          <w:b w:val="1"/>
          <w:bCs w:val="1"/>
          <w:color w:val="auto"/>
        </w:rPr>
        <w:t>ARTICLE II</w:t>
      </w:r>
    </w:p>
    <w:p>
      <w:pPr>
        <w:spacing w:after="0" w:line="7" w:lineRule="exact"/>
        <w:rPr>
          <w:sz w:val="20"/>
          <w:szCs w:val="20"/>
          <w:color w:val="auto"/>
        </w:rPr>
      </w:pPr>
    </w:p>
    <w:p>
      <w:pPr>
        <w:ind w:right="3180" w:firstLine="3212"/>
        <w:spacing w:after="0" w:line="432" w:lineRule="auto"/>
        <w:rPr>
          <w:sz w:val="20"/>
          <w:szCs w:val="20"/>
          <w:color w:val="auto"/>
        </w:rPr>
      </w:pPr>
      <w:r>
        <w:rPr>
          <w:rFonts w:ascii="Arial" w:cs="Arial" w:eastAsia="Arial" w:hAnsi="Arial"/>
          <w:sz w:val="22"/>
          <w:szCs w:val="22"/>
          <w:b w:val="1"/>
          <w:bCs w:val="1"/>
          <w:color w:val="auto"/>
        </w:rPr>
        <w:t>PROVISIONS APPLICABLE TO STOCK OPTIONS Section 2.1 Grants of Stock Options.</w:t>
      </w:r>
    </w:p>
    <w:p>
      <w:pPr>
        <w:ind w:right="20" w:firstLine="648"/>
        <w:spacing w:after="0" w:line="253" w:lineRule="auto"/>
        <w:rPr>
          <w:sz w:val="20"/>
          <w:szCs w:val="20"/>
          <w:color w:val="auto"/>
        </w:rPr>
      </w:pPr>
      <w:r>
        <w:rPr>
          <w:rFonts w:ascii="Arial" w:cs="Arial" w:eastAsia="Arial" w:hAnsi="Arial"/>
          <w:sz w:val="22"/>
          <w:szCs w:val="22"/>
          <w:color w:val="auto"/>
        </w:rPr>
        <w:t>The Committee may from time to time grant Stock Options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2.2 Exercise Price.</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The Committee shall establish the per share exercise price of each Stock Option; provided that such exercise price shall not be less than 100% of the Fair Market Value of a share of Class B Common Stock on the Date of Grant. Notwithstanding the foregoing, the per share exercise price of a Stock Option that is a Substitute Award may be less than 100% of the Fair Market Value of a share of Class B Common Stock on the Date of Grant, provided that such substitution complies with applicable laws and regulations, including the listing requirements of the New York Stock Exchange and Section 409A or Section 424 of the Code, as applicable. The exercise price of any Stock Option will be subject to adjustment in accordance with the provisions of Article VIII hereof.</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2.3 Exercise of Stock Options.</w:t>
      </w:r>
    </w:p>
    <w:p>
      <w:pPr>
        <w:spacing w:after="0" w:line="185" w:lineRule="exact"/>
        <w:rPr>
          <w:sz w:val="20"/>
          <w:szCs w:val="20"/>
          <w:color w:val="auto"/>
        </w:rPr>
      </w:pPr>
    </w:p>
    <w:p>
      <w:pPr>
        <w:ind w:right="60" w:firstLine="656"/>
        <w:spacing w:after="0" w:line="248" w:lineRule="auto"/>
        <w:tabs>
          <w:tab w:leader="none" w:pos="106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Exercisability</w:t>
      </w:r>
      <w:r>
        <w:rPr>
          <w:rFonts w:ascii="Arial" w:cs="Arial" w:eastAsia="Arial" w:hAnsi="Arial"/>
          <w:sz w:val="22"/>
          <w:szCs w:val="22"/>
          <w:color w:val="auto"/>
        </w:rPr>
        <w:t>. Unless the Committee has determined or determines otherwise, Stock Options shall be exercisable only</w:t>
      </w:r>
      <w:r>
        <w:rPr>
          <w:rFonts w:ascii="Arial" w:cs="Arial" w:eastAsia="Arial" w:hAnsi="Arial"/>
          <w:sz w:val="22"/>
          <w:szCs w:val="22"/>
          <w:i w:val="1"/>
          <w:iCs w:val="1"/>
          <w:color w:val="auto"/>
        </w:rPr>
        <w:t xml:space="preserve"> </w:t>
      </w:r>
      <w:r>
        <w:rPr>
          <w:rFonts w:ascii="Arial" w:cs="Arial" w:eastAsia="Arial" w:hAnsi="Arial"/>
          <w:sz w:val="22"/>
          <w:szCs w:val="22"/>
          <w:color w:val="auto"/>
        </w:rPr>
        <w:t>to the extent the Participant is vested therein, subject to any restrictions that the Committee shall determine and specify in the applicable Agreement (or any employment agreement applicable to the Participant). The Committee shall establish the vesting schedule applicable to Stock Options, which vesting schedule shall specify the period of time and the increments in which a Participant shall vest in the Stock Options and/or any applicable Performance Targets, subject to any restrictions that the Committee shall determine. The Committee may, in its discretion, accelerate the time at which a Participant vests in his Stock Options.</w:t>
      </w:r>
    </w:p>
    <w:p>
      <w:pPr>
        <w:spacing w:after="0" w:line="155" w:lineRule="exact"/>
        <w:rPr>
          <w:rFonts w:ascii="Arial" w:cs="Arial" w:eastAsia="Arial" w:hAnsi="Arial"/>
          <w:sz w:val="22"/>
          <w:szCs w:val="22"/>
          <w:color w:val="auto"/>
        </w:rPr>
      </w:pPr>
    </w:p>
    <w:p>
      <w:pPr>
        <w:jc w:val="both"/>
        <w:ind w:right="120" w:firstLine="656"/>
        <w:spacing w:after="0" w:line="307" w:lineRule="auto"/>
        <w:tabs>
          <w:tab w:leader="none" w:pos="108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Option Period</w:t>
      </w:r>
      <w:r>
        <w:rPr>
          <w:rFonts w:ascii="Arial" w:cs="Arial" w:eastAsia="Arial" w:hAnsi="Arial"/>
          <w:sz w:val="19"/>
          <w:szCs w:val="19"/>
          <w:color w:val="auto"/>
        </w:rPr>
        <w:t>. For each Stock Option granted, the Committee shall specify the period during which the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may be exercised; provided, however, that no Stock Option shall be exercisable after the tenth anniversary of the Date of Grant. If the period of a Stock Option’s exercisability determined in accordance with the preceding sentence ends on a day that is not a Trading Day, the Stock Option may be exercised up to and including the last Trading Day before such date.</w:t>
      </w:r>
    </w:p>
    <w:p>
      <w:pPr>
        <w:spacing w:after="0" w:line="97" w:lineRule="exact"/>
        <w:rPr>
          <w:rFonts w:ascii="Arial" w:cs="Arial" w:eastAsia="Arial" w:hAnsi="Arial"/>
          <w:sz w:val="19"/>
          <w:szCs w:val="19"/>
          <w:color w:val="auto"/>
        </w:rPr>
      </w:pPr>
    </w:p>
    <w:p>
      <w:pPr>
        <w:ind w:right="380" w:firstLine="656"/>
        <w:spacing w:after="0" w:line="276" w:lineRule="auto"/>
        <w:tabs>
          <w:tab w:leader="none" w:pos="106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Registration Restrictions</w:t>
      </w:r>
      <w:r>
        <w:rPr>
          <w:rFonts w:ascii="Arial" w:cs="Arial" w:eastAsia="Arial" w:hAnsi="Arial"/>
          <w:sz w:val="22"/>
          <w:szCs w:val="22"/>
          <w:color w:val="auto"/>
        </w:rPr>
        <w:t>. A Stock Option shall not be exercisable, no transfer of shares of Class B Common Stock</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to any Participant, and any attempt to exercise a</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1037" w:right="279" w:bottom="1440" w:gutter="0" w:footer="0" w:header="0"/>
        </w:sectPr>
      </w:pPr>
    </w:p>
    <w:bookmarkStart w:id="166" w:name="page167"/>
    <w:bookmarkEnd w:id="166"/>
    <w:p>
      <w:pPr>
        <w:ind w:right="80"/>
        <w:spacing w:after="0" w:line="288" w:lineRule="auto"/>
        <w:rPr>
          <w:sz w:val="20"/>
          <w:szCs w:val="20"/>
          <w:color w:val="auto"/>
        </w:rPr>
      </w:pPr>
      <w:r>
        <w:rPr>
          <w:rFonts w:ascii="Arial" w:cs="Arial" w:eastAsia="Arial" w:hAnsi="Arial"/>
          <w:sz w:val="19"/>
          <w:szCs w:val="19"/>
          <w:color w:val="auto"/>
        </w:rPr>
        <w:t>Stock Option or to transfer any such shares shall be void and of no effect, unless and until (i)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(ii) the Committee, in its discretion, determines, or the Participant, upon the request of the Committee, provides an opinion of counsel satisfactory to the Committee that such registration or qualification is not required. Without limiting the foregoing, if at any time the Committee shall determine, in its discretion, that the listing, registration or qualification of the shares of Class B Common Stock subject to such Stock Option is required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14" w:lineRule="exact"/>
        <w:rPr>
          <w:sz w:val="20"/>
          <w:szCs w:val="20"/>
          <w:color w:val="auto"/>
        </w:rPr>
      </w:pPr>
    </w:p>
    <w:p>
      <w:pPr>
        <w:ind w:left="1120" w:hanging="464"/>
        <w:spacing w:after="0"/>
        <w:tabs>
          <w:tab w:leader="none" w:pos="1120" w:val="left"/>
        </w:tabs>
        <w:numPr>
          <w:ilvl w:val="0"/>
          <w:numId w:val="74"/>
        </w:numPr>
        <w:rPr>
          <w:rFonts w:ascii="Arial" w:cs="Arial" w:eastAsia="Arial" w:hAnsi="Arial"/>
          <w:sz w:val="22"/>
          <w:szCs w:val="22"/>
          <w:i w:val="1"/>
          <w:iCs w:val="1"/>
          <w:color w:val="auto"/>
        </w:rPr>
      </w:pPr>
      <w:r>
        <w:rPr>
          <w:rFonts w:ascii="Arial" w:cs="Arial" w:eastAsia="Arial" w:hAnsi="Arial"/>
          <w:sz w:val="22"/>
          <w:szCs w:val="22"/>
          <w:i w:val="1"/>
          <w:iCs w:val="1"/>
          <w:color w:val="auto"/>
        </w:rPr>
        <w:t>Exercise in the Event of Termination of Service</w:t>
      </w:r>
      <w:r>
        <w:rPr>
          <w:rFonts w:ascii="Arial" w:cs="Arial" w:eastAsia="Arial" w:hAnsi="Arial"/>
          <w:sz w:val="22"/>
          <w:szCs w:val="22"/>
          <w:color w:val="auto"/>
        </w:rPr>
        <w:t>.</w:t>
      </w:r>
    </w:p>
    <w:p>
      <w:pPr>
        <w:spacing w:after="0" w:line="179" w:lineRule="exact"/>
        <w:rPr>
          <w:rFonts w:ascii="Arial" w:cs="Arial" w:eastAsia="Arial" w:hAnsi="Arial"/>
          <w:sz w:val="22"/>
          <w:szCs w:val="22"/>
          <w:i w:val="1"/>
          <w:iCs w:val="1"/>
          <w:color w:val="auto"/>
        </w:rPr>
      </w:pPr>
    </w:p>
    <w:p>
      <w:pPr>
        <w:ind w:left="660" w:right="180" w:firstLine="645"/>
        <w:spacing w:after="0" w:line="260" w:lineRule="auto"/>
        <w:tabs>
          <w:tab w:leader="none" w:pos="1692" w:val="left"/>
        </w:tabs>
        <w:numPr>
          <w:ilvl w:val="1"/>
          <w:numId w:val="74"/>
        </w:numPr>
        <w:rPr>
          <w:rFonts w:ascii="Arial" w:cs="Arial" w:eastAsia="Arial" w:hAnsi="Arial"/>
          <w:sz w:val="22"/>
          <w:szCs w:val="22"/>
          <w:color w:val="auto"/>
        </w:rPr>
      </w:pPr>
      <w:r>
        <w:rPr>
          <w:rFonts w:ascii="Arial" w:cs="Arial" w:eastAsia="Arial" w:hAnsi="Arial"/>
          <w:sz w:val="22"/>
          <w:szCs w:val="22"/>
          <w:i w:val="1"/>
          <w:iCs w:val="1"/>
          <w:color w:val="auto"/>
        </w:rPr>
        <w:t>Termination Other than for Cause; Termination due to Retirement, Death or Permanent Disability</w:t>
      </w:r>
      <w:r>
        <w:rPr>
          <w:rFonts w:ascii="Arial" w:cs="Arial" w:eastAsia="Arial" w:hAnsi="Arial"/>
          <w:sz w:val="22"/>
          <w:szCs w:val="22"/>
          <w:color w:val="auto"/>
        </w:rPr>
        <w:t>. Except as</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provided in this Section 2.3(d) or as the Committee has determined or determines otherwise, the following shall apply:</w:t>
      </w:r>
    </w:p>
    <w:p>
      <w:pPr>
        <w:spacing w:after="0" w:line="136" w:lineRule="exact"/>
        <w:rPr>
          <w:rFonts w:ascii="Arial" w:cs="Arial" w:eastAsia="Arial" w:hAnsi="Arial"/>
          <w:sz w:val="22"/>
          <w:szCs w:val="22"/>
          <w:color w:val="auto"/>
        </w:rPr>
      </w:pPr>
    </w:p>
    <w:p>
      <w:pPr>
        <w:ind w:left="1300" w:right="360" w:firstLine="653"/>
        <w:spacing w:after="0" w:line="307" w:lineRule="auto"/>
        <w:tabs>
          <w:tab w:leader="none" w:pos="2428" w:val="left"/>
        </w:tabs>
        <w:numPr>
          <w:ilvl w:val="2"/>
          <w:numId w:val="74"/>
        </w:numPr>
        <w:rPr>
          <w:rFonts w:ascii="Arial" w:cs="Arial" w:eastAsia="Arial" w:hAnsi="Arial"/>
          <w:sz w:val="19"/>
          <w:szCs w:val="19"/>
          <w:color w:val="auto"/>
        </w:rPr>
      </w:pPr>
      <w:r>
        <w:rPr>
          <w:rFonts w:ascii="Arial" w:cs="Arial" w:eastAsia="Arial" w:hAnsi="Arial"/>
          <w:sz w:val="19"/>
          <w:szCs w:val="19"/>
          <w:color w:val="auto"/>
        </w:rPr>
        <w:t>subject to clauses (B), (C), and (D) below, if a Participant’s Service ceases by reason of voluntary termination by the Participant or termination by the Company or any of its Subsidiaries other than for Cause, the Participant’s Outstanding Stock Options may be exercised to the extent then exercisable until the earlier of six months after the date of such termination or the Option Expiration Date;</w:t>
      </w:r>
    </w:p>
    <w:p>
      <w:pPr>
        <w:spacing w:after="0" w:line="97" w:lineRule="exact"/>
        <w:rPr>
          <w:rFonts w:ascii="Arial" w:cs="Arial" w:eastAsia="Arial" w:hAnsi="Arial"/>
          <w:sz w:val="19"/>
          <w:szCs w:val="19"/>
          <w:color w:val="auto"/>
        </w:rPr>
      </w:pPr>
    </w:p>
    <w:p>
      <w:pPr>
        <w:jc w:val="both"/>
        <w:ind w:left="1300" w:right="120" w:firstLine="653"/>
        <w:spacing w:after="0" w:line="358" w:lineRule="auto"/>
        <w:tabs>
          <w:tab w:leader="none" w:pos="2416" w:val="left"/>
        </w:tabs>
        <w:numPr>
          <w:ilvl w:val="2"/>
          <w:numId w:val="74"/>
        </w:numPr>
        <w:rPr>
          <w:rFonts w:ascii="Arial" w:cs="Arial" w:eastAsia="Arial" w:hAnsi="Arial"/>
          <w:sz w:val="19"/>
          <w:szCs w:val="19"/>
          <w:color w:val="auto"/>
        </w:rPr>
      </w:pPr>
      <w:r>
        <w:rPr>
          <w:rFonts w:ascii="Arial" w:cs="Arial" w:eastAsia="Arial" w:hAnsi="Arial"/>
          <w:sz w:val="19"/>
          <w:szCs w:val="19"/>
          <w:color w:val="auto"/>
        </w:rPr>
        <w:t>if a Participant’s Service ceases by reason of the Participant’s Retirement, the Participant may exercise his outstanding Stock Options to the extent exercisable on the date of Retirement until the Option Expiration Date;</w:t>
      </w:r>
    </w:p>
    <w:p>
      <w:pPr>
        <w:spacing w:after="0" w:line="50" w:lineRule="exact"/>
        <w:rPr>
          <w:rFonts w:ascii="Arial" w:cs="Arial" w:eastAsia="Arial" w:hAnsi="Arial"/>
          <w:sz w:val="19"/>
          <w:szCs w:val="19"/>
          <w:color w:val="auto"/>
        </w:rPr>
      </w:pPr>
    </w:p>
    <w:p>
      <w:pPr>
        <w:ind w:left="1300" w:right="120" w:firstLine="653"/>
        <w:spacing w:after="0" w:line="260" w:lineRule="auto"/>
        <w:tabs>
          <w:tab w:leader="none" w:pos="2416" w:val="left"/>
        </w:tabs>
        <w:numPr>
          <w:ilvl w:val="2"/>
          <w:numId w:val="74"/>
        </w:numPr>
        <w:rPr>
          <w:rFonts w:ascii="Arial" w:cs="Arial" w:eastAsia="Arial" w:hAnsi="Arial"/>
          <w:sz w:val="22"/>
          <w:szCs w:val="22"/>
          <w:color w:val="auto"/>
        </w:rPr>
      </w:pPr>
      <w:r>
        <w:rPr>
          <w:rFonts w:ascii="Arial" w:cs="Arial" w:eastAsia="Arial" w:hAnsi="Arial"/>
          <w:sz w:val="22"/>
          <w:szCs w:val="22"/>
          <w:color w:val="auto"/>
        </w:rPr>
        <w:t>if a Participant’s Service ceases by reason of the Participant’s Permanent Disability, the Participant’s Outstanding Stock Options may be exercised to the extent then exercisable until the earlier of three years after such date or the Option Expiration Date; or</w:t>
      </w:r>
    </w:p>
    <w:p>
      <w:pPr>
        <w:spacing w:after="0" w:line="136" w:lineRule="exact"/>
        <w:rPr>
          <w:rFonts w:ascii="Arial" w:cs="Arial" w:eastAsia="Arial" w:hAnsi="Arial"/>
          <w:sz w:val="22"/>
          <w:szCs w:val="22"/>
          <w:color w:val="auto"/>
        </w:rPr>
      </w:pPr>
    </w:p>
    <w:p>
      <w:pPr>
        <w:ind w:left="1300" w:firstLine="653"/>
        <w:spacing w:after="0" w:line="264" w:lineRule="auto"/>
        <w:tabs>
          <w:tab w:leader="none" w:pos="2428" w:val="left"/>
        </w:tabs>
        <w:numPr>
          <w:ilvl w:val="2"/>
          <w:numId w:val="74"/>
        </w:numPr>
        <w:rPr>
          <w:rFonts w:ascii="Arial" w:cs="Arial" w:eastAsia="Arial" w:hAnsi="Arial"/>
          <w:sz w:val="21"/>
          <w:szCs w:val="21"/>
          <w:color w:val="auto"/>
        </w:rPr>
      </w:pPr>
      <w:r>
        <w:rPr>
          <w:rFonts w:ascii="Arial" w:cs="Arial" w:eastAsia="Arial" w:hAnsi="Arial"/>
          <w:sz w:val="21"/>
          <w:szCs w:val="21"/>
          <w:color w:val="auto"/>
        </w:rPr>
        <w:t>if a Participant dies, the Participant’s Outstanding Stock Options may be exercised to the extent exercisable at the date of death by (i) the Participant’s beneficiary, if the Company has adopted procedures whereby Participants may designate a beneficiary and the Participant has done so, or (ii) if the Company has not adopted such procedures or the Participant has not designated a beneficiary, by the person or persons who acquired the right to exercise such Stock Options by will or the laws of descent and distribution, in either such case until the earlier of two years after the date of death or the Option Expiration Date.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036" w:right="259" w:bottom="1440" w:gutter="0" w:footer="0" w:header="0"/>
        </w:sectPr>
      </w:pPr>
    </w:p>
    <w:bookmarkStart w:id="167" w:name="page168"/>
    <w:bookmarkEnd w:id="167"/>
    <w:p>
      <w:pPr>
        <w:jc w:val="both"/>
        <w:ind w:left="660"/>
        <w:spacing w:after="0" w:line="253" w:lineRule="auto"/>
        <w:rPr>
          <w:sz w:val="20"/>
          <w:szCs w:val="20"/>
          <w:color w:val="auto"/>
        </w:rPr>
      </w:pPr>
      <w:r>
        <w:rPr>
          <w:rFonts w:ascii="Arial" w:cs="Arial" w:eastAsia="Arial" w:hAnsi="Arial"/>
          <w:sz w:val="22"/>
          <w:szCs w:val="22"/>
          <w:color w:val="auto"/>
        </w:rPr>
        <w:t>Except as otherwise provided in this Section 2.3(d) or as the Committee has determined or determines otherwise, upon the occurrence of an event described in clause (A), (B), (C) or (D) of this Section 2.3 (d), all rights with respect to Stock Options that are not vested as of such event will be relinquished.</w:t>
      </w:r>
    </w:p>
    <w:p>
      <w:pPr>
        <w:spacing w:after="0" w:line="186" w:lineRule="exact"/>
        <w:rPr>
          <w:sz w:val="20"/>
          <w:szCs w:val="20"/>
          <w:color w:val="auto"/>
        </w:rPr>
      </w:pPr>
    </w:p>
    <w:p>
      <w:pPr>
        <w:ind w:left="660" w:right="20" w:firstLine="645"/>
        <w:spacing w:after="0" w:line="260" w:lineRule="auto"/>
        <w:tabs>
          <w:tab w:leader="none" w:pos="1752"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Termination for Cause</w:t>
      </w:r>
      <w:r>
        <w:rPr>
          <w:rFonts w:ascii="Arial" w:cs="Arial" w:eastAsia="Arial" w:hAnsi="Arial"/>
          <w:sz w:val="22"/>
          <w:szCs w:val="22"/>
          <w:color w:val="auto"/>
        </w:rPr>
        <w:t>. If a Participant’s Service ends due to a Termination for Cause then, unless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in its discretion determines otherwise, all Outstanding Stock Options, whether or not then vested, shall terminate effective as of the date of such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2.4 Payment of Purchase Price Upon Exercise.</w:t>
      </w:r>
    </w:p>
    <w:p>
      <w:pPr>
        <w:spacing w:after="0" w:line="185" w:lineRule="exact"/>
        <w:rPr>
          <w:sz w:val="20"/>
          <w:szCs w:val="20"/>
          <w:color w:val="auto"/>
        </w:rPr>
      </w:pPr>
    </w:p>
    <w:p>
      <w:pPr>
        <w:ind w:right="180" w:firstLine="648"/>
        <w:spacing w:after="0" w:line="288" w:lineRule="auto"/>
        <w:rPr>
          <w:sz w:val="20"/>
          <w:szCs w:val="20"/>
          <w:color w:val="auto"/>
        </w:rPr>
      </w:pPr>
      <w:r>
        <w:rPr>
          <w:rFonts w:ascii="Arial" w:cs="Arial" w:eastAsia="Arial" w:hAnsi="Arial"/>
          <w:sz w:val="19"/>
          <w:szCs w:val="19"/>
          <w:color w:val="auto"/>
        </w:rPr>
        <w:t>Shares purchased through the exercise of a Stock Option shall be paid for in full on or before the settlement date for the shares of Class B Common Stock delivered pursuant to the exercise of the Stock Option. Payment shall be made in cash or, to the extent permitted in the discretion of the Committee, through delivery or attestation of shares of Class B Common Stock or other securities of the Company designated by the Committee, in a combination of cash, shares or such other securities or in any other form of valid consideration that is acceptable to the Committee in its discretion. If the Agreement so provides, such exercise price may also be paid in whole or in part using a net share settlement procedure (</w:t>
      </w:r>
      <w:r>
        <w:rPr>
          <w:rFonts w:ascii="Arial" w:cs="Arial" w:eastAsia="Arial" w:hAnsi="Arial"/>
          <w:sz w:val="19"/>
          <w:szCs w:val="19"/>
          <w:i w:val="1"/>
          <w:iCs w:val="1"/>
          <w:color w:val="auto"/>
        </w:rPr>
        <w:t>i.e.</w:t>
      </w:r>
      <w:r>
        <w:rPr>
          <w:rFonts w:ascii="Arial" w:cs="Arial" w:eastAsia="Arial" w:hAnsi="Arial"/>
          <w:sz w:val="19"/>
          <w:szCs w:val="19"/>
          <w:color w:val="auto"/>
        </w:rPr>
        <w:t>, through the withholding of shares subject to the Stock Option with a value equal to the exercise price). In accordance with the rules and procedures established by the Committee for this purpose, a Stock Option may also be exercised through a “cashless exercise” procedure,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2.5 No Repricing of Stock Options.</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The Committee may not Reprice any Stock Option without stockholder approval. “Reprice” means any of the following or any other action that has the same effect at a time when its exercise price exceeds the Fair Market Value of a share of Class B Common Stock: (i) amending a Stock Option to reduce its exercise price, (ii) canceling a Stock Option in exchange for a Stock Option, Restricted Share or other equity award, or (iii) taking any other action that is treated as a repricing under GAAP, provided that nothing in this Section 2.5 shall prevent the Committee from making adjustments pursuant to Article VIII hereof.</w:t>
      </w:r>
    </w:p>
    <w:p>
      <w:pPr>
        <w:spacing w:after="0" w:line="14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ind w:right="2420" w:firstLine="2425"/>
        <w:spacing w:after="0" w:line="432" w:lineRule="auto"/>
        <w:rPr>
          <w:sz w:val="20"/>
          <w:szCs w:val="20"/>
          <w:color w:val="auto"/>
        </w:rPr>
      </w:pPr>
      <w:r>
        <w:rPr>
          <w:rFonts w:ascii="Arial" w:cs="Arial" w:eastAsia="Arial" w:hAnsi="Arial"/>
          <w:sz w:val="22"/>
          <w:szCs w:val="22"/>
          <w:b w:val="1"/>
          <w:bCs w:val="1"/>
          <w:color w:val="auto"/>
        </w:rPr>
        <w:t>PROVISIONS APPLICABLE TO STOCK APPRECIATION RIGHTS Section 3.1 Stock Appreciation Rights.</w:t>
      </w:r>
    </w:p>
    <w:p>
      <w:pPr>
        <w:jc w:val="both"/>
        <w:ind w:right="120" w:firstLine="648"/>
        <w:spacing w:after="0" w:line="253" w:lineRule="auto"/>
        <w:rPr>
          <w:sz w:val="20"/>
          <w:szCs w:val="20"/>
          <w:color w:val="auto"/>
        </w:rPr>
      </w:pPr>
      <w:r>
        <w:rPr>
          <w:rFonts w:ascii="Arial" w:cs="Arial" w:eastAsia="Arial" w:hAnsi="Arial"/>
          <w:sz w:val="22"/>
          <w:szCs w:val="22"/>
          <w:color w:val="auto"/>
        </w:rPr>
        <w:t>The Committee may from time to time grant Stock Appreciation Rights to Eligible Persons on the terms and conditions set forth in the Plan and on such other terms and conditions as are not inconsistent with the purposes and provisions of the Plan, as the Committee, in its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037" w:right="239" w:bottom="1440" w:gutter="0" w:footer="0" w:header="0"/>
        </w:sectPr>
      </w:pPr>
    </w:p>
    <w:bookmarkStart w:id="168" w:name="page169"/>
    <w:bookmarkEnd w:id="168"/>
    <w:p>
      <w:pPr>
        <w:ind w:right="200"/>
        <w:spacing w:after="0" w:line="263" w:lineRule="auto"/>
        <w:rPr>
          <w:sz w:val="20"/>
          <w:szCs w:val="20"/>
          <w:color w:val="auto"/>
        </w:rPr>
      </w:pPr>
      <w:r>
        <w:rPr>
          <w:rFonts w:ascii="Arial" w:cs="Arial" w:eastAsia="Arial" w:hAnsi="Arial"/>
          <w:sz w:val="22"/>
          <w:szCs w:val="22"/>
          <w:color w:val="auto"/>
        </w:rPr>
        <w:t>discretion, may from time to time determine. The Committee may grant Stock Appreciation Rights alone or in tandem with 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3.2 Stock Appreciation Rights Granted In Tandem with Stock Options.</w:t>
      </w:r>
    </w:p>
    <w:p>
      <w:pPr>
        <w:spacing w:after="0" w:line="185"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A Stock Appreciation Right granted in tandem with a Stock Option may be granted either at the time of the grant of the Stock Option or by amendment at any time prior to the exercise, expiration or termination of such Stock Option. The Stock Appreciation Right shall be subject to the same terms and conditions as the related Stock Option and shall be exercisable only at such times and to such extent as the related Stock Option. A tandem Stock Appreciation Right shall entitle the holder to surrender to the Company all or a portion of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aggregate exercise price of the Stock Option (or of the portion of the Stock Option so surrendered).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3.3 Stand-Alone Stock Appreciation Rights.</w:t>
      </w:r>
    </w:p>
    <w:p>
      <w:pPr>
        <w:spacing w:after="0" w:line="18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Stock Appreciation Rights granted alone (that is, not in tandem with Stock Options) (“Stand-Alone SARs”) shall be subject to the provisions of this Section 3.3 and such other terms and conditions as the Committee shall establish at or after the time of grant and set forth in the applicable Agreement.</w:t>
      </w:r>
    </w:p>
    <w:p>
      <w:pPr>
        <w:spacing w:after="0" w:line="186" w:lineRule="exact"/>
        <w:rPr>
          <w:sz w:val="20"/>
          <w:szCs w:val="20"/>
          <w:color w:val="auto"/>
        </w:rPr>
      </w:pPr>
    </w:p>
    <w:p>
      <w:pPr>
        <w:ind w:right="40" w:firstLine="656"/>
        <w:spacing w:after="0" w:line="293" w:lineRule="auto"/>
        <w:tabs>
          <w:tab w:leader="none" w:pos="1068"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Exercise Price</w:t>
      </w:r>
      <w:r>
        <w:rPr>
          <w:rFonts w:ascii="Arial" w:cs="Arial" w:eastAsia="Arial" w:hAnsi="Arial"/>
          <w:sz w:val="19"/>
          <w:szCs w:val="19"/>
          <w:color w:val="auto"/>
        </w:rPr>
        <w:t>. The Committee shall establish the per share exercise price of each Stand-Alone SAR; provided that</w:t>
      </w:r>
      <w:r>
        <w:rPr>
          <w:rFonts w:ascii="Arial" w:cs="Arial" w:eastAsia="Arial" w:hAnsi="Arial"/>
          <w:sz w:val="19"/>
          <w:szCs w:val="19"/>
          <w:i w:val="1"/>
          <w:iCs w:val="1"/>
          <w:color w:val="auto"/>
        </w:rPr>
        <w:t xml:space="preserve"> </w:t>
      </w:r>
      <w:r>
        <w:rPr>
          <w:rFonts w:ascii="Arial" w:cs="Arial" w:eastAsia="Arial" w:hAnsi="Arial"/>
          <w:sz w:val="19"/>
          <w:szCs w:val="19"/>
          <w:color w:val="auto"/>
        </w:rPr>
        <w:t>such exercise price shall not be less than 100% of the Fair Market Value of a share of Class B Common Stock on the Date of Grant. Notwithstanding the foregoing, the per share exercise price of a Stand-Alone SAR that is a Substitute Award may be less than</w:t>
      </w:r>
    </w:p>
    <w:p>
      <w:pPr>
        <w:spacing w:after="0" w:line="1" w:lineRule="exact"/>
        <w:rPr>
          <w:rFonts w:ascii="Arial" w:cs="Arial" w:eastAsia="Arial" w:hAnsi="Arial"/>
          <w:sz w:val="19"/>
          <w:szCs w:val="19"/>
          <w:color w:val="auto"/>
        </w:rPr>
      </w:pPr>
    </w:p>
    <w:p>
      <w:pPr>
        <w:ind w:right="100"/>
        <w:spacing w:after="0" w:line="244" w:lineRule="auto"/>
        <w:rPr>
          <w:rFonts w:ascii="Arial" w:cs="Arial" w:eastAsia="Arial" w:hAnsi="Arial"/>
          <w:sz w:val="19"/>
          <w:szCs w:val="19"/>
          <w:color w:val="auto"/>
        </w:rPr>
      </w:pPr>
      <w:r>
        <w:rPr>
          <w:rFonts w:ascii="Arial" w:cs="Arial" w:eastAsia="Arial" w:hAnsi="Arial"/>
          <w:sz w:val="22"/>
          <w:szCs w:val="22"/>
          <w:color w:val="auto"/>
        </w:rPr>
        <w:t>100% of the Fair Market Value of a share of Class B Common Stock on the Date of Grant provided that such substitution complies with applicable laws and regulations, including the listing requirements of the New York Stock Exchange and Section 409A, as applicable. The exercise price of any Stand-Alone SAR will be subject to adjustment in accordance with the provisions of Article VIII hereof.</w:t>
      </w:r>
    </w:p>
    <w:p>
      <w:pPr>
        <w:spacing w:after="0" w:line="155" w:lineRule="exact"/>
        <w:rPr>
          <w:rFonts w:ascii="Arial" w:cs="Arial" w:eastAsia="Arial" w:hAnsi="Arial"/>
          <w:sz w:val="19"/>
          <w:szCs w:val="19"/>
          <w:color w:val="auto"/>
        </w:rPr>
      </w:pPr>
    </w:p>
    <w:p>
      <w:pPr>
        <w:ind w:firstLine="656"/>
        <w:spacing w:after="0" w:line="262" w:lineRule="auto"/>
        <w:tabs>
          <w:tab w:leader="none" w:pos="1080"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Exercisability of Stand-Alone SARs</w:t>
      </w:r>
      <w:r>
        <w:rPr>
          <w:rFonts w:ascii="Arial" w:cs="Arial" w:eastAsia="Arial" w:hAnsi="Arial"/>
          <w:sz w:val="21"/>
          <w:szCs w:val="21"/>
          <w:color w:val="auto"/>
        </w:rPr>
        <w:t>. Unless the Committee has determined or determines otherwise, Stand-Alone SARs</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exercisable only to the extent the Participant is vested therein, subject to any restrictions that the Committee shall determine and specify in the applicable Agreement (or any employment agreement applicable to the Participant). The Committee shall establish the vesting schedule applicable to Stand-Alone SARs, which vesting schedule shall specify the period of time and the increments in which a Participant shall vest in the Stand-Alone SARs and/or any applicable Performance Targets, subject to any restrictions that the Committee shall determine. The Committee may, in its discretion, accelerate the time at which a Participant vests in his Stand-Alone SARs.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37" w:right="239" w:bottom="1440" w:gutter="0" w:footer="0" w:header="0"/>
        </w:sectPr>
      </w:pPr>
    </w:p>
    <w:bookmarkStart w:id="169" w:name="page170"/>
    <w:bookmarkEnd w:id="169"/>
    <w:p>
      <w:pPr>
        <w:ind w:left="-8" w:right="140" w:firstLine="656"/>
        <w:spacing w:after="0" w:line="251" w:lineRule="auto"/>
        <w:tabs>
          <w:tab w:leader="none" w:pos="1060" w:val="left"/>
        </w:tabs>
        <w:numPr>
          <w:ilvl w:val="1"/>
          <w:numId w:val="77"/>
        </w:numPr>
        <w:rPr>
          <w:rFonts w:ascii="Arial" w:cs="Arial" w:eastAsia="Arial" w:hAnsi="Arial"/>
          <w:sz w:val="22"/>
          <w:szCs w:val="22"/>
          <w:color w:val="auto"/>
        </w:rPr>
      </w:pPr>
      <w:r>
        <w:rPr>
          <w:rFonts w:ascii="Arial" w:cs="Arial" w:eastAsia="Arial" w:hAnsi="Arial"/>
          <w:sz w:val="22"/>
          <w:szCs w:val="22"/>
          <w:i w:val="1"/>
          <w:iCs w:val="1"/>
          <w:color w:val="auto"/>
        </w:rPr>
        <w:t>Period of Exercise</w:t>
      </w:r>
      <w:r>
        <w:rPr>
          <w:rFonts w:ascii="Arial" w:cs="Arial" w:eastAsia="Arial" w:hAnsi="Arial"/>
          <w:sz w:val="22"/>
          <w:szCs w:val="22"/>
          <w:color w:val="auto"/>
        </w:rPr>
        <w:t>. For each Stand-Alone SAR granted, the Committee shall specify the period during which the</w:t>
      </w:r>
      <w:r>
        <w:rPr>
          <w:rFonts w:ascii="Arial" w:cs="Arial" w:eastAsia="Arial" w:hAnsi="Arial"/>
          <w:sz w:val="22"/>
          <w:szCs w:val="22"/>
          <w:i w:val="1"/>
          <w:iCs w:val="1"/>
          <w:color w:val="auto"/>
        </w:rPr>
        <w:t xml:space="preserve"> </w:t>
      </w:r>
      <w:r>
        <w:rPr>
          <w:rFonts w:ascii="Arial" w:cs="Arial" w:eastAsia="Arial" w:hAnsi="Arial"/>
          <w:sz w:val="22"/>
          <w:szCs w:val="22"/>
          <w:color w:val="auto"/>
        </w:rPr>
        <w:t>Stand-Alone SAR may be exercised; provided, however, that no Stand-Alone SAR shall be exercisable after the tenth anniversary of the Date of Grant. If the period of a Stand-Alone SAR’s exercisability determined in accordance with the preceding sentence ends on a day that is not a Trading Day, the Stand-Alone SAR may be exercised up to and including the last Trading Day before such date.</w:t>
      </w:r>
    </w:p>
    <w:p>
      <w:pPr>
        <w:spacing w:after="0" w:line="149" w:lineRule="exact"/>
        <w:rPr>
          <w:rFonts w:ascii="Arial" w:cs="Arial" w:eastAsia="Arial" w:hAnsi="Arial"/>
          <w:sz w:val="22"/>
          <w:szCs w:val="22"/>
          <w:color w:val="auto"/>
        </w:rPr>
      </w:pPr>
    </w:p>
    <w:p>
      <w:pPr>
        <w:ind w:left="-8" w:firstLine="656"/>
        <w:spacing w:after="0" w:line="287" w:lineRule="auto"/>
        <w:tabs>
          <w:tab w:leader="none" w:pos="1072"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Registration Restrictions</w:t>
      </w:r>
      <w:r>
        <w:rPr>
          <w:rFonts w:ascii="Arial" w:cs="Arial" w:eastAsia="Arial" w:hAnsi="Arial"/>
          <w:sz w:val="19"/>
          <w:szCs w:val="19"/>
          <w:color w:val="auto"/>
        </w:rPr>
        <w:t>. A Stand-Alone SAR shall not be exercisable for shares of Class B Common Stock, no</w:t>
      </w:r>
      <w:r>
        <w:rPr>
          <w:rFonts w:ascii="Arial" w:cs="Arial" w:eastAsia="Arial" w:hAnsi="Arial"/>
          <w:sz w:val="19"/>
          <w:szCs w:val="19"/>
          <w:i w:val="1"/>
          <w:iCs w:val="1"/>
          <w:color w:val="auto"/>
        </w:rPr>
        <w:t xml:space="preserve"> </w:t>
      </w:r>
      <w:r>
        <w:rPr>
          <w:rFonts w:ascii="Arial" w:cs="Arial" w:eastAsia="Arial" w:hAnsi="Arial"/>
          <w:sz w:val="19"/>
          <w:szCs w:val="19"/>
          <w:color w:val="auto"/>
        </w:rPr>
        <w:t>transfer of shares of Class B Common Stock shall be made to any Participant, and any attempt to exercise a Stand-Alone SAR for shares of Class B Common Stock or to transfer any such shares shall be void and of no effect, unless and until (i) a registration statement under the Securities Act of 1933, as amended, has been duly filed and declared effective pertaining to the shares of Class B Common Stock subject to such Stand-Alone SAR, and the shares of Class B Common Stock subject to such Stand-Alone SAR have been duly qualified under applicable federal or state securities or blue sky laws or (ii) the Committee, in its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discretion, that the listing, registration or qualification of the shares of Class B Common Stock subject to such Stand-Alone SAR is required under any federal or state law or on any securities exchange or the consent or approval of any governmental regulatory body is necessary or desirable as a condition of, or in connection with, delivery or purchase of such shares pursuant to the exercise of a Stand-Alone SAR, such Stand-Alone SAR shall not be exercised in whole or in part unless and until such listing, registration, qualification, consent or approval shall have been effected or obtained free of any conditions not acceptable to the Committee.</w:t>
      </w:r>
    </w:p>
    <w:p>
      <w:pPr>
        <w:spacing w:after="0" w:line="123" w:lineRule="exact"/>
        <w:rPr>
          <w:rFonts w:ascii="Arial" w:cs="Arial" w:eastAsia="Arial" w:hAnsi="Arial"/>
          <w:sz w:val="19"/>
          <w:szCs w:val="19"/>
          <w:color w:val="auto"/>
        </w:rPr>
      </w:pPr>
    </w:p>
    <w:p>
      <w:pPr>
        <w:ind w:left="-8" w:right="20" w:firstLine="656"/>
        <w:spacing w:after="0" w:line="292" w:lineRule="auto"/>
        <w:tabs>
          <w:tab w:leader="none" w:pos="1060"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Exercise in the Event of Termination of Service</w:t>
      </w:r>
      <w:r>
        <w:rPr>
          <w:rFonts w:ascii="Arial" w:cs="Arial" w:eastAsia="Arial" w:hAnsi="Arial"/>
          <w:sz w:val="19"/>
          <w:szCs w:val="19"/>
          <w:color w:val="auto"/>
        </w:rPr>
        <w:t>. Unless the Committee has determined or determines otherwise, in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 that (i) the Participant ceases to be an employee of the Company or any of its Subsidiaries by reason of the voluntary termination by the Participant or the termination by the Company or any of its Subsidiaries other than for Cause, (ii) the Participant ceases to be an employee of the Company or any of its Subsidiaries by reason of the Participant’s Retirement, (iii) the Permanent Disability of the Participant occurs, (iv) a Participant dies during a period during which his Stand-Alone SARs could have been exercised by him, or (v) the Participant’s Service with the Company or any of its Subsidiaries ends due to a Termination for Cause, then, in each of the foregoing cases (i) through (v), the Participant’s Stand-Alone SARs may be exercised to the extent that, and for the period during which, Stock Options awarded to the Participant would be exercisable pursuant to Section 2.3(d).</w:t>
      </w:r>
    </w:p>
    <w:p>
      <w:pPr>
        <w:spacing w:after="0" w:line="115" w:lineRule="exact"/>
        <w:rPr>
          <w:rFonts w:ascii="Arial" w:cs="Arial" w:eastAsia="Arial" w:hAnsi="Arial"/>
          <w:sz w:val="19"/>
          <w:szCs w:val="19"/>
          <w:color w:val="auto"/>
        </w:rPr>
      </w:pPr>
    </w:p>
    <w:p>
      <w:pPr>
        <w:jc w:val="both"/>
        <w:ind w:left="-8" w:right="80" w:firstLine="656"/>
        <w:spacing w:after="0" w:line="293" w:lineRule="auto"/>
        <w:tabs>
          <w:tab w:leader="none" w:pos="1036"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 xml:space="preserve">No Repricing of Stand-Alone SARs. </w:t>
      </w:r>
      <w:r>
        <w:rPr>
          <w:rFonts w:ascii="Arial" w:cs="Arial" w:eastAsia="Arial" w:hAnsi="Arial"/>
          <w:sz w:val="19"/>
          <w:szCs w:val="19"/>
          <w:color w:val="auto"/>
        </w:rPr>
        <w:t>The Committee may not Reprice any Stand-Alone SAR without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approval. “Reprice” means any of the following or any other action that has the same effect at a time when its exercise price exceeds the Fair Market Value of a share of Class B Common Stock: (i) amending a Stand-Alone SAR to reduce its exercise price,</w:t>
      </w:r>
    </w:p>
    <w:p>
      <w:pPr>
        <w:spacing w:after="0" w:line="1" w:lineRule="exact"/>
        <w:rPr>
          <w:rFonts w:ascii="Arial" w:cs="Arial" w:eastAsia="Arial" w:hAnsi="Arial"/>
          <w:sz w:val="19"/>
          <w:szCs w:val="19"/>
          <w:color w:val="auto"/>
        </w:rPr>
      </w:pPr>
    </w:p>
    <w:p>
      <w:pPr>
        <w:ind w:left="-8" w:right="220" w:firstLine="8"/>
        <w:spacing w:after="0" w:line="246" w:lineRule="auto"/>
        <w:tabs>
          <w:tab w:leader="none" w:pos="310" w:val="left"/>
        </w:tabs>
        <w:numPr>
          <w:ilvl w:val="0"/>
          <w:numId w:val="78"/>
        </w:numPr>
        <w:rPr>
          <w:rFonts w:ascii="Arial" w:cs="Arial" w:eastAsia="Arial" w:hAnsi="Arial"/>
          <w:sz w:val="22"/>
          <w:szCs w:val="22"/>
          <w:color w:val="auto"/>
        </w:rPr>
      </w:pPr>
      <w:r>
        <w:rPr>
          <w:rFonts w:ascii="Arial" w:cs="Arial" w:eastAsia="Arial" w:hAnsi="Arial"/>
          <w:sz w:val="22"/>
          <w:szCs w:val="22"/>
          <w:color w:val="auto"/>
        </w:rPr>
        <w:t>canceling a Stand-Alone SAR in exchange for a Stand-Alone SAR, Restricted Share or other equity award, or (iii) taking any other action that is treated as a repricing under GAAP,</w:t>
      </w: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72"/>
          </w:cols>
          <w:pgMar w:left="248" w:top="1036" w:right="279" w:bottom="1440" w:gutter="0" w:footer="0" w:header="0"/>
        </w:sectPr>
      </w:pPr>
    </w:p>
    <w:bookmarkStart w:id="170" w:name="page171"/>
    <w:bookmarkEnd w:id="170"/>
    <w:p>
      <w:pPr>
        <w:jc w:val="center"/>
        <w:ind w:right="200"/>
        <w:spacing w:after="0" w:line="430" w:lineRule="auto"/>
        <w:rPr>
          <w:sz w:val="20"/>
          <w:szCs w:val="20"/>
          <w:color w:val="auto"/>
        </w:rPr>
      </w:pPr>
      <w:r>
        <w:rPr>
          <w:rFonts w:ascii="Arial" w:cs="Arial" w:eastAsia="Arial" w:hAnsi="Arial"/>
          <w:sz w:val="22"/>
          <w:szCs w:val="22"/>
          <w:color w:val="auto"/>
        </w:rPr>
        <w:t xml:space="preserve">provided that nothing in this Section 3.3(f) shall prevent the Committee from making adjustments pursuant to Article VIII hereof. </w:t>
      </w:r>
      <w:r>
        <w:rPr>
          <w:rFonts w:ascii="Arial" w:cs="Arial" w:eastAsia="Arial" w:hAnsi="Arial"/>
          <w:sz w:val="22"/>
          <w:szCs w:val="22"/>
          <w:b w:val="1"/>
          <w:bCs w:val="1"/>
          <w:color w:val="auto"/>
        </w:rPr>
        <w:t>ARTICLE IV</w:t>
      </w:r>
    </w:p>
    <w:p>
      <w:pPr>
        <w:spacing w:after="0" w:line="46" w:lineRule="exact"/>
        <w:rPr>
          <w:sz w:val="20"/>
          <w:szCs w:val="20"/>
          <w:color w:val="auto"/>
        </w:rPr>
      </w:pPr>
    </w:p>
    <w:p>
      <w:pPr>
        <w:ind w:right="2940" w:firstLine="2940"/>
        <w:spacing w:after="0" w:line="432" w:lineRule="auto"/>
        <w:rPr>
          <w:sz w:val="20"/>
          <w:szCs w:val="20"/>
          <w:color w:val="auto"/>
        </w:rPr>
      </w:pPr>
      <w:r>
        <w:rPr>
          <w:rFonts w:ascii="Arial" w:cs="Arial" w:eastAsia="Arial" w:hAnsi="Arial"/>
          <w:sz w:val="22"/>
          <w:szCs w:val="22"/>
          <w:b w:val="1"/>
          <w:bCs w:val="1"/>
          <w:color w:val="auto"/>
        </w:rPr>
        <w:t>PROVISIONS APPLICABLE TO RESTRICTED SHARES Section 4.1 Grants of Restricted Shares.</w:t>
      </w:r>
    </w:p>
    <w:p>
      <w:pPr>
        <w:ind w:right="240" w:firstLine="648"/>
        <w:spacing w:after="0" w:line="253" w:lineRule="auto"/>
        <w:rPr>
          <w:sz w:val="20"/>
          <w:szCs w:val="20"/>
          <w:color w:val="auto"/>
        </w:rPr>
      </w:pPr>
      <w:r>
        <w:rPr>
          <w:rFonts w:ascii="Arial" w:cs="Arial" w:eastAsia="Arial" w:hAnsi="Arial"/>
          <w:sz w:val="22"/>
          <w:szCs w:val="22"/>
          <w:color w:val="auto"/>
        </w:rPr>
        <w:t>The Committee may from time to time grant Restricted Shares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4.2 Vesting.</w:t>
      </w:r>
    </w:p>
    <w:p>
      <w:pPr>
        <w:spacing w:after="0" w:line="185" w:lineRule="exact"/>
        <w:rPr>
          <w:sz w:val="20"/>
          <w:szCs w:val="20"/>
          <w:color w:val="auto"/>
        </w:rPr>
      </w:pPr>
    </w:p>
    <w:p>
      <w:pPr>
        <w:jc w:val="both"/>
        <w:ind w:right="660" w:firstLine="648"/>
        <w:spacing w:after="0" w:line="250" w:lineRule="auto"/>
        <w:rPr>
          <w:sz w:val="20"/>
          <w:szCs w:val="20"/>
          <w:color w:val="auto"/>
        </w:rPr>
      </w:pPr>
      <w:r>
        <w:rPr>
          <w:rFonts w:ascii="Arial" w:cs="Arial" w:eastAsia="Arial" w:hAnsi="Arial"/>
          <w:sz w:val="22"/>
          <w:szCs w:val="22"/>
          <w:color w:val="auto"/>
        </w:rPr>
        <w:t>The Committee shall establish the vesting schedule applicable to Restricted Shares granted hereunder, which vesting schedule shall specify the period of time, the increments in which a Participant shall vest in the Restricted Shares and/or any applicable Performance Targets, subject to any restrictions that the Committee shall determine and specify in the applicable Agreement.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4.3 Rights and Restrictions Governing Restricted Shares.</w:t>
      </w:r>
    </w:p>
    <w:p>
      <w:pPr>
        <w:spacing w:after="0" w:line="18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Participant shall have all rights of a holder as to Restricted Shares granted hereunder, including, to the extent applicable, the right to receive dividends and to vote; provided, however, that unless the Committee has determined or determines otherwise: (a) the Participant shall not be registered on the books and records of the Company as a stockholder until such shares have vested; and (b) none of the Restricted Shares may be sold, transferred, assigned, pledged or otherwise encumbered or disposed of until such shares have vested. Notwithstanding anything herein to the contrary, any dividends payable in connection with Restricted Shares shall be credited or accumulated as determined by the Committee while the Restricted Shares are unvested, but payment shall not be made unless and until the Restricted Shares vest, and any such dividends shall therefore be subject to the same risk of forfeiture as the underlying Restricted Shares. Subject to the foregoing, the Committee may make any dividend payments subject to further vesting, deferral, restrictions on transfer or other conditions; any such terms and conditions applicable to dividend payments will be set forth in the applicable Agreement.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4.4 Acceleration of Vesting and Removal of Restrictions.</w:t>
      </w:r>
    </w:p>
    <w:p>
      <w:pPr>
        <w:spacing w:after="0" w:line="185"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Any other provision of the Plan to the contrary notwithstanding, the Committee, in its discretion, may at any time accelerate the date or dates on which Restricted Shares vest. Also, the Committee may, in its discretion, remove any other restrictions on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037"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b w:val="1"/>
          <w:bCs w:val="1"/>
          <w:color w:val="auto"/>
        </w:rPr>
        <w:t>Section 4.5 Delivery of Restricted Shares.</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On the date on which Restricted Shares vest, all restrictions contained in the Agreement covering such Restricted Shares and in the Plan shall lapse. Restricted Shares awarded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4.6 Termination of Service.</w:t>
      </w:r>
    </w:p>
    <w:p>
      <w:pPr>
        <w:spacing w:after="0" w:line="185"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Shares vest, the Participant shall forfeit all unvested Restricted Shares as of the date of such event.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4.7 Grants of Unrestricted Shares.</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Committee may from time to time, in its discretion, make Awards of unrestricted shares of Class B Common Stock to Eligible Persons.</w:t>
      </w:r>
    </w:p>
    <w:p>
      <w:pPr>
        <w:spacing w:after="0" w:line="169"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ind w:right="2620" w:firstLine="2643"/>
        <w:spacing w:after="0" w:line="432" w:lineRule="auto"/>
        <w:rPr>
          <w:sz w:val="20"/>
          <w:szCs w:val="20"/>
          <w:color w:val="auto"/>
        </w:rPr>
      </w:pPr>
      <w:r>
        <w:rPr>
          <w:rFonts w:ascii="Arial" w:cs="Arial" w:eastAsia="Arial" w:hAnsi="Arial"/>
          <w:sz w:val="22"/>
          <w:szCs w:val="22"/>
          <w:b w:val="1"/>
          <w:bCs w:val="1"/>
          <w:color w:val="auto"/>
        </w:rPr>
        <w:t>PROVISIONS APPLICABLE TO RESTRICTED SHARE UNITS Section 5.1 Grants of Restricted Share Units.</w:t>
      </w:r>
    </w:p>
    <w:p>
      <w:pPr>
        <w:ind w:firstLine="648"/>
        <w:spacing w:after="0" w:line="250" w:lineRule="auto"/>
        <w:rPr>
          <w:sz w:val="20"/>
          <w:szCs w:val="20"/>
          <w:color w:val="auto"/>
        </w:rPr>
      </w:pPr>
      <w:r>
        <w:rPr>
          <w:rFonts w:ascii="Arial" w:cs="Arial" w:eastAsia="Arial" w:hAnsi="Arial"/>
          <w:sz w:val="22"/>
          <w:szCs w:val="22"/>
          <w:color w:val="auto"/>
        </w:rPr>
        <w:t>The Committee may from time to time grant Restricted Share Units to Eligible Persons on the terms and conditions set forth in the Plan and on such other terms and conditions as are not inconsistent with the purposes and provisions of the Plan as the Committee, in its discretion, may from time to time determine. Each Restricted Share Unit shall correspond to one share of Class B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5.2 Vesting.</w:t>
      </w:r>
    </w:p>
    <w:p>
      <w:pPr>
        <w:spacing w:after="0" w:line="18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The Committee shall establish the vesting schedule applicable to Restricted Share Units granted hereunder, which vesting schedule shall specify the period of time and the increments in which a Participant shall vest in the Restricted Share Units and/or any applicable Performance Targets, subject to any restrictions that the Committee shall determine and specify in the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1030" w:right="25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b w:val="1"/>
          <w:bCs w:val="1"/>
          <w:color w:val="auto"/>
        </w:rPr>
        <w:t>Section 5.3 Acceleration of Vesting.</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Any other provision of the Plan to the contrary notwithstanding, the Committee, in its discretion, may at any time accelerate the date or dates on which Restricted Share Units vest.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5.4 Settlement of Restricted Share Units.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Upon vesting or such later date as the Committee may determine (in accordance with the requirements of, or an exemption from, Section 409A), Restricted Share Units will be settled, at the discretion of the Committee, in shares of Class B Common Stock, in cash equal to the Fair Market Value of the shares subject to such Restricted Share Units, in other securities of the Company designated by the Committee or in a combination of cash, shares of Class B Common Stock or such other securities. Shares of Class B Common Stock delivered in settlement of Restricted Share Units may be evidenced in such manner as the Committee in its discretion shall deem appropriate, including, without limitation, book- 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5.5 Termination of Service.</w:t>
      </w:r>
    </w:p>
    <w:p>
      <w:pPr>
        <w:spacing w:after="0" w:line="185"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 Units vest, the Participant shall forfeit all unvested Restricted Share Units as of the date of such event.</w:t>
      </w:r>
    </w:p>
    <w:p>
      <w:pPr>
        <w:spacing w:after="0" w:line="18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AWARDS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6.1 Grants of Performance Awards.</w:t>
      </w:r>
    </w:p>
    <w:p>
      <w:pPr>
        <w:spacing w:after="0" w:line="185"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The Committee may from time to time grant Awards which constitute Performance Awards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6.2 Performance Metrics.</w:t>
      </w:r>
    </w:p>
    <w:p>
      <w:pPr>
        <w:spacing w:after="0" w:line="185"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Unless the Committee has determined or determines otherwise, the grant, vesting, payment, settlement and/or exercisability of Performance Awards shall be conditioned, in whole or in part, on the attainment of one or more Performance Targets over a Performance Period. For any Performance Awards that are intended to qualify for the Section 162(m) Exception, the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1031" w:right="259" w:bottom="1440" w:gutter="0" w:footer="0" w:header="0"/>
        </w:sectPr>
      </w:pPr>
    </w:p>
    <w:bookmarkStart w:id="173" w:name="page174"/>
    <w:bookmarkEnd w:id="173"/>
    <w:p>
      <w:pPr>
        <w:spacing w:after="0" w:line="286" w:lineRule="auto"/>
        <w:rPr>
          <w:sz w:val="20"/>
          <w:szCs w:val="20"/>
          <w:color w:val="auto"/>
        </w:rPr>
      </w:pPr>
      <w:r>
        <w:rPr>
          <w:rFonts w:ascii="Arial" w:cs="Arial" w:eastAsia="Arial" w:hAnsi="Arial"/>
          <w:sz w:val="19"/>
          <w:szCs w:val="19"/>
          <w:color w:val="auto"/>
        </w:rPr>
        <w:t>relevant Performance Targets shall be established by the Committee and shall relate to specified amounts, targets or objectives related to one or more of the following metrics (the “Section 162(m) Performance Metrics”):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and profit margin. For any Awards not intended to qualify for the Section 162(m) Exception, the Committee may establish Performance Targets related to one or more of the Section 162(m) Performance Metrics and/or other performance metrics, which may include subjective metrics, as it deems appropriate (together with the Section 162 (m) Performance Metrics, the “Performance Metrics”). The Performance Targets may be established in terms of objectives that are related to the individual Participant or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reference companies or a market index.</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6.3 Termination of Service.</w:t>
      </w:r>
    </w:p>
    <w:p>
      <w:pPr>
        <w:spacing w:after="0" w:line="172"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Except as otherwise provided in Section 2.3(d), 4.6 or 5.5, as applicable, the treatment of Performance Awards in the event of a Participant’s termination of Service shall be set forth in the Agreement setting forth the terms and conditions of the relevant Performance Awards.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6.4 Discretion to Reduce Compensation.</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The Committee retains the right to reduce (including to zero) any Award such that the amount of the Award is less than the maximum amount that could be paid based on the degree to which the Performance Targets related to such Award were attained. The Committee may not increase the amount of any Award for which compliance with the Section 162(m) Exception is required in order to ensure the deductibility of all or a portion of such Award above the maximum amount that could be paid based on the degree to which the Performance Targets related to such Award were attained.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6.5 Adjustment of Calculation of Performance Targets.</w:t>
      </w:r>
    </w:p>
    <w:p>
      <w:pPr>
        <w:spacing w:after="0" w:line="185" w:lineRule="exact"/>
        <w:rPr>
          <w:sz w:val="20"/>
          <w:szCs w:val="20"/>
          <w:color w:val="auto"/>
        </w:rPr>
      </w:pPr>
    </w:p>
    <w:p>
      <w:pPr>
        <w:ind w:firstLine="656"/>
        <w:spacing w:after="0" w:line="294" w:lineRule="auto"/>
        <w:tabs>
          <w:tab w:leader="none" w:pos="1068"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Section 162(m) Performance Awards</w:t>
      </w:r>
      <w:r>
        <w:rPr>
          <w:rFonts w:ascii="Arial" w:cs="Arial" w:eastAsia="Arial" w:hAnsi="Arial"/>
          <w:sz w:val="19"/>
          <w:szCs w:val="19"/>
          <w:color w:val="auto"/>
        </w:rPr>
        <w:t>. To the extent that compliance with the Section 162(m) Exception is required in</w:t>
      </w:r>
      <w:r>
        <w:rPr>
          <w:rFonts w:ascii="Arial" w:cs="Arial" w:eastAsia="Arial" w:hAnsi="Arial"/>
          <w:sz w:val="19"/>
          <w:szCs w:val="19"/>
          <w:i w:val="1"/>
          <w:iCs w:val="1"/>
          <w:color w:val="auto"/>
        </w:rPr>
        <w:t xml:space="preserve"> </w:t>
      </w:r>
      <w:r>
        <w:rPr>
          <w:rFonts w:ascii="Arial" w:cs="Arial" w:eastAsia="Arial" w:hAnsi="Arial"/>
          <w:sz w:val="19"/>
          <w:szCs w:val="19"/>
          <w:color w:val="auto"/>
        </w:rPr>
        <w:t>order to ensure the deductibility of any Performance Award, the Committee shall specify, in a manner that satisfies the requirements of the Section 162(m) Exception whether the calculation of the Performance Targets applicable to such Performance Award shall be adjusted or modified in order to reflect any recapitalization, reorganization, stock split or dividend, merger, acquisition, divestiture, consolidation, split-up, spin-off, split-off, combination, liquidation, dissolution, sale of assets or other similar corporate transaction or event, or to exclude the effect of any “extraordinary items” under GAAP, including, without limitation, any changes in accounting standards, and/or to reflect any other item or event determined by the Committee in its discretion.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037" w:right="239" w:bottom="1440" w:gutter="0" w:footer="0" w:header="0"/>
        </w:sectPr>
      </w:pPr>
    </w:p>
    <w:bookmarkStart w:id="174" w:name="page175"/>
    <w:bookmarkEnd w:id="174"/>
    <w:p>
      <w:pPr>
        <w:ind w:right="20" w:firstLine="656"/>
        <w:spacing w:after="0" w:line="251" w:lineRule="auto"/>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Other Performance Awards</w:t>
      </w:r>
      <w:r>
        <w:rPr>
          <w:rFonts w:ascii="Arial" w:cs="Arial" w:eastAsia="Arial" w:hAnsi="Arial"/>
          <w:sz w:val="22"/>
          <w:szCs w:val="22"/>
          <w:color w:val="auto"/>
        </w:rPr>
        <w:t>. To the extent that compliance with the Section 162(m) Exception is not required in order</w:t>
      </w:r>
      <w:r>
        <w:rPr>
          <w:rFonts w:ascii="Arial" w:cs="Arial" w:eastAsia="Arial" w:hAnsi="Arial"/>
          <w:sz w:val="22"/>
          <w:szCs w:val="22"/>
          <w:i w:val="1"/>
          <w:iCs w:val="1"/>
          <w:color w:val="auto"/>
        </w:rPr>
        <w:t xml:space="preserve"> </w:t>
      </w:r>
      <w:r>
        <w:rPr>
          <w:rFonts w:ascii="Arial" w:cs="Arial" w:eastAsia="Arial" w:hAnsi="Arial"/>
          <w:sz w:val="22"/>
          <w:szCs w:val="22"/>
          <w:color w:val="auto"/>
        </w:rPr>
        <w:t>to ensure the deductibility of any Performance Award, the Committee, in its discretion, may make any of the foregoing adjustments or modifications and may make such other adjustments or modifications as it determines in its discretion to be appropriate to reflect other extraordinary events or circumstances that occur and that have the effect, as determined by the Committee, of distorting the applicable Performance Targets.</w:t>
      </w:r>
    </w:p>
    <w:p>
      <w:pPr>
        <w:spacing w:after="0" w:line="149" w:lineRule="exact"/>
        <w:rPr>
          <w:rFonts w:ascii="Arial" w:cs="Arial" w:eastAsia="Arial" w:hAnsi="Arial"/>
          <w:sz w:val="22"/>
          <w:szCs w:val="22"/>
          <w:color w:val="auto"/>
        </w:rPr>
      </w:pPr>
    </w:p>
    <w:p>
      <w:pPr>
        <w:ind w:firstLine="656"/>
        <w:spacing w:after="0" w:line="254" w:lineRule="auto"/>
        <w:tabs>
          <w:tab w:leader="none" w:pos="1068"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Adjustments or modifications authorized by this Section 6.5 shall be made as determined by the Committee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extent necessary to prevent reduction or enlargement of the Participant’s rights with respect to the Participant’s Performance Awards. All determinations that the Committee makes pursuant to this Section 6.5 shall be conclusive and binding on all persons for all purposes.</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DIVIDEND EQUIVALENTS AND OTHER AWARDS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7.1 Dividend Equivalents.</w:t>
      </w:r>
    </w:p>
    <w:p>
      <w:pPr>
        <w:spacing w:after="0" w:line="185"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The recipient of an Award other than a Stock Option or Stock Appreciation Right (including, without limitation, any Award deferred pursuant to Article IX) may, subject to the provisions of this Plan and any Agreement or if so determined by the Committee in its discretion, be entitled to receive, currently or on a deferred basis, interest or dividends or Dividend Equivalents, with respect to the number of shares of Class B Common Stock covered by such Award, and the Committee may provide that such amounts (if any) shall be deemed to have been reinvested in additional shares of Class B Common Stock or otherwise reinvested. Notwithstanding anything herein to the contrary, any Dividend Equivalents shall be subject to the same terms and conditions (including vesting and forfeiture provisions) as the related Award.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7.2 Other Awards.</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 based on one or more criteria determined by the Committee that are unrelated to the value of Class B Common Stock and that may be granted in tandem with, or independent of, Awards granted under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7.3 Substitute Awards.</w:t>
      </w:r>
    </w:p>
    <w:p>
      <w:pPr>
        <w:spacing w:after="0" w:line="185" w:lineRule="exact"/>
        <w:rPr>
          <w:sz w:val="20"/>
          <w:szCs w:val="20"/>
          <w:color w:val="auto"/>
        </w:rPr>
      </w:pPr>
    </w:p>
    <w:p>
      <w:pPr>
        <w:ind w:right="180" w:firstLine="648"/>
        <w:spacing w:after="0" w:line="271" w:lineRule="auto"/>
        <w:rPr>
          <w:sz w:val="20"/>
          <w:szCs w:val="20"/>
          <w:color w:val="auto"/>
        </w:rPr>
      </w:pPr>
      <w:r>
        <w:rPr>
          <w:rFonts w:ascii="Arial" w:cs="Arial" w:eastAsia="Arial" w:hAnsi="Arial"/>
          <w:sz w:val="21"/>
          <w:szCs w:val="21"/>
          <w:color w:val="auto"/>
        </w:rPr>
        <w:t>Notwithstanding any terms or conditions of the Plan to the contrary, Substitute Awards may have substantially the same terms and conditions, including without limitation provisions relating to vesting, exercise periods, expiration, payment, forfeiture, and the consequences of termination of Service, as the awards that they replace.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037" w:right="239" w:bottom="1440" w:gutter="0" w:footer="0" w:header="0"/>
        </w:sectPr>
      </w:pPr>
    </w:p>
    <w:bookmarkStart w:id="175" w:name="page176"/>
    <w:bookmarkEnd w:id="175"/>
    <w:p>
      <w:pPr>
        <w:jc w:val="center"/>
        <w:ind w:right="180"/>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EFFECT OF CERTAIN CORPORATE CHANGES</w:t>
      </w:r>
    </w:p>
    <w:p>
      <w:pPr>
        <w:spacing w:after="0" w:line="22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In the event of a merger, consolidation, stock-split, reverse stock-split, dividend, distribution, combination, reclassification, reorganization, split-up, spin-off, split-off or recapitalization that changes the character, value or amount of the Class B Common Stock or any other changes in the corporate structure, equity securities or capital structure of the Company, the Committee shall make such adjustments, if any, to (i) the number and kind of securities subject to any outstanding Award, (ii) the exercise price or purchase price, if any, of any outstanding Award and (iii) the maximum number and kind of securities referred to in Sections 1.5(a) and (b) and Sections 1.6(a) and (b) of the Plan, in each case, as it deems appropriate. Upon the occurrence of any such event, the Committee may, in its discretion, also make such other adjustments as it deems appropriate in order to preserve the benefits or potential benefits intended to be made available hereunder. All determinations that the Committee makes pursuant to this Article VIII shall be conclusive and binding on all persons for all purposes. A Participant’s participation in the Plan or receipt of an Award does not create any entitlement to have his or her Awards or any other related benefits transferred to, or assumed by, another company nor to be exchanged, cashed out or substituted for, in connection with any corporate transaction affecting the shares of Class B Common Stock.</w:t>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DEFERRAL PROVISIONS</w:t>
      </w:r>
    </w:p>
    <w:p>
      <w:pPr>
        <w:spacing w:after="0" w:line="22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The Committee may establish procedures pursuant to which the payment of any Award may be deferred. To the extent an Award or any deferral of the payment of any Award constitutes a deferral of compensation subject to Section 409A, the Committee shall set forth in writing (which may be in electronic form), on or before the date the applicable deferral election is required to be irrevocable in order to meet the requirements of Section 409A, the conditions under which such election may be made. The Company’s obligation to pay deferred Awards pursuant to this Article IX shall be reflected on its books as a general, unsecured and unfunded obligation, and the rights of a Participant or his or her designated beneficiary to receive payments from the Company as a result of a deferral made pursuant to this Article IX are solely those of a general, unsecured creditor. The Company shall not be required to create a trust or otherwise set aside assets in respect of its obligations hereunder, and a Participant or designated beneficiary shall have no interest whatsoever, vested or contingent, in any particular assets of the Company.</w:t>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X</w:t>
      </w:r>
    </w:p>
    <w:p>
      <w:pPr>
        <w:spacing w:after="0" w:line="27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 No Rights to Awards or Continued Service.</w:t>
      </w:r>
    </w:p>
    <w:p>
      <w:pPr>
        <w:spacing w:after="0" w:line="118"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Nothing in the Plan or in any Agreement, nor the grant of any Award under the Plan, shall confer upon any individual any right to be employed or engaged by or to continue in the Service of the Company or any Subsidiary, or to be entitled to any remuneration or benefits not</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1030" w:right="279" w:bottom="1440" w:gutter="0" w:footer="0" w:header="0"/>
        </w:sectPr>
      </w:pPr>
    </w:p>
    <w:bookmarkStart w:id="176" w:name="page177"/>
    <w:bookmarkEnd w:id="176"/>
    <w:p>
      <w:pPr>
        <w:ind w:right="360"/>
        <w:spacing w:after="0" w:line="253" w:lineRule="auto"/>
        <w:rPr>
          <w:sz w:val="20"/>
          <w:szCs w:val="20"/>
          <w:color w:val="auto"/>
        </w:rPr>
      </w:pPr>
      <w:r>
        <w:rPr>
          <w:rFonts w:ascii="Arial" w:cs="Arial" w:eastAsia="Arial" w:hAnsi="Arial"/>
          <w:sz w:val="22"/>
          <w:szCs w:val="22"/>
          <w:color w:val="auto"/>
        </w:rPr>
        <w:t>set forth in the Plan or such Agreement, including the right to receive any future Awards under the Plan or any other plan of the Company or any Subsidiary or interfere with or limit the right of the Company or any Subsidiary to modify the terms of or terminate such individual’s Service at any time for any reason.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10.2 Restriction on Transfer.</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rights of a Participant with respect to any Award shall be exercisable during the Participant’s lifetime only by the Participant and shall not be transferable by the Participant to whom such Award is granted, except by will or the laws of descent and distribution, provided that the Committee may permit other transferability, subject to any conditions and limitations that it may, in its discretion, impose.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10.3 Foreign Awards and Rights.</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Notwithstanding any provision of the Plan to the contrary, to comply with securities, exchange control, labor, tax or other applicable laws, rules or regulations in countries outside of the United States in which the Company and its Subsidiaries operate or have Employees, Consultants or directors, and/or for the purpose of taking advantage of tax favorable treatment for Awards granted to Participants in such countries, the Committee, in its sole discretion, shall have the power and authority to (i) amend or modify the terms and conditions of any Award granted to a Participant; (ii) establish, adopt, interpret, or revise any rules and procedures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limitations contained in Section 1.5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tax withholding procedures, restrictions on the sale of shares of Class B Common Stock of the Company, and on the handling of any stock certificates or other indicia of ownership. The Committee may also adopt sub-plans to the Plan intended to allow the Company to grant tax-qualified Awards in a particular jurisdiction and, as part of such sub-plan, may modify Article VIII of the Plan to the extent necessary to comply with the tax requirements of the jurisdiction. Notwithstanding the foregoing, the Committee may not take any actions hereunder, and no Awards shall be granted, that would violate the U.S. Securities Act of 1933, as amended, the Exchange Act, the Code, any securities law or governing statute.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10.4 Taxes.</w:t>
      </w:r>
    </w:p>
    <w:p>
      <w:pPr>
        <w:spacing w:after="0" w:line="11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The Company or any Subsidiary shall have the authority and right to deduct or withhold or require a Participant to remit to the Company or any Subsidiary, an amount sufficient to satisfy Tax-Related Items with respect to any taxable event concerning a Participant arising as a result of the Plan or to take such other action as may be necessary in the opinion of the Company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1036" w:right="27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or a Subsidiary, as appropriate, to satisfy withholding obligations for the payment of Tax-Related Items, including but not limited to</w:t>
      </w:r>
    </w:p>
    <w:p>
      <w:pPr>
        <w:spacing w:after="0" w:line="56" w:lineRule="exact"/>
        <w:rPr>
          <w:sz w:val="20"/>
          <w:szCs w:val="20"/>
          <w:color w:val="auto"/>
        </w:rPr>
      </w:pPr>
    </w:p>
    <w:p>
      <w:pPr>
        <w:ind w:right="40" w:firstLine="8"/>
        <w:spacing w:after="0" w:line="285" w:lineRule="auto"/>
        <w:tabs>
          <w:tab w:leader="none" w:pos="258" w:val="left"/>
        </w:tabs>
        <w:numPr>
          <w:ilvl w:val="0"/>
          <w:numId w:val="81"/>
        </w:numPr>
        <w:rPr>
          <w:rFonts w:ascii="Arial" w:cs="Arial" w:eastAsia="Arial" w:hAnsi="Arial"/>
          <w:sz w:val="19"/>
          <w:szCs w:val="19"/>
          <w:color w:val="auto"/>
        </w:rPr>
      </w:pPr>
      <w:r>
        <w:rPr>
          <w:rFonts w:ascii="Arial" w:cs="Arial" w:eastAsia="Arial" w:hAnsi="Arial"/>
          <w:sz w:val="19"/>
          <w:szCs w:val="19"/>
          <w:color w:val="auto"/>
        </w:rPr>
        <w:t>withholding from the Participant’s wages or other cash compensation; (ii) withholding from the proceeds for the sale of shares of Class B Common Stock of the Company underlying the Award either through a voluntary sale or a mandatory sale arranged by the Company on the Participant’s behalf; (iii) withholding taxes through a net share settlement procedure or through a “cashless exercise” procedure as described in Section 2.4; or (iv) in the Committee’s sole discretion and in satisfaction of the foregoing requirement, withhold shares of Class B Common Stock of the Company otherwise issuable under an Award (or allow the return of Shares) having a Fair Market Value sufficient to cover the amount required to be withheld, as determined by the Company using rates of up to the maximum applicable rate in a participant’s jurisdiction. No shares of Class B Common Stock of the Company shall be delivered hereunder to any Participant or other person until the Participant or such other person has made arrangements acceptable to the Company for the satisfaction of the Tax-Related Items withholding obligations with respect to any taxable event concerning the Participant or such other person arising as a result of the Plan. To the extent permitted by the Committee, any Participant who makes an election under Section 83(b) of the Code to have his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10.5 Stockholder Rights.</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No Award under the Plan shall entitle a Participant or a Participant’s beneficiary, estate or permitted transferee to any rights of a holder of the shares of Class B Common Stock of the Company subject to any Award until the Participant, the Participant’s beneficiary or estate or the permitted transferee is registered on the books and records of the Company as a stockholder with respect to such shares (or, where shares are permitted to be held in “street” name by a broker designated by a Participant or a Participant’s beneficiary, estate or permitted transferee, until such broker has been so registered).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10.6 No Restriction on Right of Company to Effect Corporate Changes.</w:t>
      </w:r>
    </w:p>
    <w:p>
      <w:pPr>
        <w:spacing w:after="0" w:line="185"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delivery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10.7 Source of Payments.</w:t>
      </w:r>
    </w:p>
    <w:p>
      <w:pPr>
        <w:spacing w:after="0" w:line="118"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The general funds of the Company shall be the sole source of cash settlements of Awards under the Plan and the Company shall not have any obligation to establish any separate fund or trust or other segregation of assets to provide for payments under the Plan. Nothing contained in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037" w:right="239" w:bottom="1440" w:gutter="0" w:footer="0" w:header="0"/>
        </w:sectPr>
      </w:pPr>
    </w:p>
    <w:bookmarkStart w:id="178" w:name="page179"/>
    <w:bookmarkEnd w:id="178"/>
    <w:p>
      <w:pPr>
        <w:jc w:val="both"/>
        <w:ind w:right="480"/>
        <w:spacing w:after="0" w:line="312" w:lineRule="auto"/>
        <w:rPr>
          <w:sz w:val="20"/>
          <w:szCs w:val="20"/>
          <w:color w:val="auto"/>
        </w:rPr>
      </w:pPr>
      <w:r>
        <w:rPr>
          <w:rFonts w:ascii="Arial" w:cs="Arial" w:eastAsia="Arial" w:hAnsi="Arial"/>
          <w:sz w:val="19"/>
          <w:szCs w:val="19"/>
          <w:color w:val="auto"/>
        </w:rPr>
        <w:t>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10.8 Exercise Periods Following Termination of Service.</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For the purposes of determining the dates on which Awards may be exercised following a termination of Service or following death or Permanent Disability of a Participant, the day following the date of such event shall be the first day of the exercise period and the Award may be exercised up to and including the last Trading Day falling within the exercise period. Thus, if the last day of the exercise period is not a Trading Day, the last date an Award may be exercised is the last Trading Day before the end of the exercise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10.9 Breach of Agreements.</w:t>
      </w:r>
    </w:p>
    <w:p>
      <w:pPr>
        <w:spacing w:after="0" w:line="185"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The Committee may include in any Agreement a provision authorizing the Company to recover from a Participant Awards and/or amounts realized upon exercise, payment or settlement, as the case may be, of Awards made under the Plan in such circumstances as the Committee may prescribe in its discretion.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10.10 Service with Subsidiary.</w:t>
      </w:r>
    </w:p>
    <w:p>
      <w:pPr>
        <w:spacing w:after="0" w:line="145" w:lineRule="exact"/>
        <w:rPr>
          <w:sz w:val="20"/>
          <w:szCs w:val="20"/>
          <w:color w:val="auto"/>
        </w:rPr>
      </w:pPr>
    </w:p>
    <w:p>
      <w:pPr>
        <w:ind w:right="460" w:firstLine="648"/>
        <w:spacing w:after="0" w:line="343" w:lineRule="auto"/>
        <w:rPr>
          <w:sz w:val="20"/>
          <w:szCs w:val="20"/>
          <w:color w:val="auto"/>
        </w:rPr>
      </w:pPr>
      <w:r>
        <w:rPr>
          <w:rFonts w:ascii="Arial" w:cs="Arial" w:eastAsia="Arial" w:hAnsi="Arial"/>
          <w:sz w:val="19"/>
          <w:szCs w:val="19"/>
          <w:color w:val="auto"/>
        </w:rPr>
        <w:t>Unless the Committee has determined or determines otherwise, the Service of a Participant who works for a Subsidiary shall terminate, for Plan purposes, on the date on which the Participant’s employing company ceases to be a Subsidiary.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10.11 Section 409A.</w:t>
      </w:r>
    </w:p>
    <w:p>
      <w:pPr>
        <w:spacing w:after="0" w:line="118"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The intent of the parties is that payments and the settlement of Awards under the Plan comply with Section 409A and, accordingly, to the maximum extent permitted, the Plan shall be interpreted to be in compliance therewith. Notwithstanding anything herein to the contrary, if a Participant is deemed on the date of his or her “separation from service” (as determined by the Company pursuant to Section 409A) to be one of the Company’s “specified employees” (as determined by the Company pursuant to Section 409A), and any portion of the Participant’s Awards that constitutes deferred compensation within the meaning of Section 409A is scheduled to be paid or settled, as the case may be, upon the Participant’s separation from service or during the six-month period thereafter, then such payment or settlement, as the case may be, shall not occur prior to the earlier of (i) the six-month anniversary of the date of the Participant’s separation from service or (ii) the date of the Participant’s death (the “Delay Period”). All payments and settlements delayed pursuant to this Section 10.11 shall be paid or settled, as the case may be, within 30 days following the end of the Delay Period, less any applicable withholdings, and any remaining payments and settlements regularly scheduled to occur after the end of the Delay Period shall be paid or distributed in accordance with the payment or settlement schedule specified for them. In no event shall the Company or any of its Subsidiaries be liable for any tax, interest or penalties that may be imposed on a Participant by Section 409A or any damages for failing to comply with Section 409A.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037"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b w:val="1"/>
          <w:bCs w:val="1"/>
          <w:color w:val="auto"/>
        </w:rPr>
        <w:t>Section 10.12 Non-Exempt Employees.</w:t>
      </w:r>
    </w:p>
    <w:p>
      <w:pPr>
        <w:spacing w:after="0" w:line="18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Unless otherwise determined by the Committee, no Option or SAR shall be granted to any Employee who is a “non-exempt employee” for purposes of the Fair Labor Standards Act of 1938, as amended, which is first exercisable for any shares of Stock within six (6) months following the date of grant of the Option or SAR (although the Award may vest prior to such date). The foregoing provision is intended to operate so that any income derived by a non-exempt employee in connection with the exercise or vesting of an Option or SAR will be exempt from his or her regular rate of pay, and the provisions of this Section 10.12 will apply to all such applicable Awards and are hereby incorporated by reference into such Agreements.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10.13 Electronic Delivery.</w:t>
      </w:r>
    </w:p>
    <w:p>
      <w:pPr>
        <w:spacing w:after="0" w:line="18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Any reference herein to a written agreement or document will include any agreement or document delivered electronically, filed publicly at </w:t>
      </w:r>
      <w:r>
        <w:rPr>
          <w:rFonts w:ascii="Arial" w:cs="Arial" w:eastAsia="Arial" w:hAnsi="Arial"/>
          <w:sz w:val="22"/>
          <w:szCs w:val="22"/>
          <w:u w:val="single" w:color="auto"/>
          <w:color w:val="0000EE"/>
        </w:rPr>
        <w:t>www.sec.gov</w:t>
      </w:r>
      <w:r>
        <w:rPr>
          <w:rFonts w:ascii="Arial" w:cs="Arial" w:eastAsia="Arial" w:hAnsi="Arial"/>
          <w:sz w:val="22"/>
          <w:szCs w:val="22"/>
          <w:color w:val="auto"/>
        </w:rPr>
        <w:t xml:space="preserve"> (or any successor website thereto) and/or posted on a website specified by the Company that the Participant is permitted to access.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10.14 Exchange Rates.</w:t>
      </w:r>
    </w:p>
    <w:p>
      <w:pPr>
        <w:spacing w:after="0" w:line="18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Neither the Company nor any Subsidiary shall be liable to a Participant for any foreign exchange rate fluctuation between the Participant’s local currency and the United States Dollar that may affect the value of the Participant’s Award or of any amounts due to the Participant pursuant to the settlement of the Award or, if applicable, the subsequent sale of any shares of Class B Common Stock acquired upon settlement.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10.15 Third-Party Administration.</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 connection with a Participant’s participation in the Plan, the Company may use the services of a third-party administrator, including a brokerage firm administrator, and the Company may provide this third-party administrator with personal information about a Participant, including his or her name, social security or other tax identification number and address, as well as the details of each Award, and this third-party administrator may provide information to the Company and its Subsidiaries concerning the exercise of a Participant’s rights and account data as it relates to the administration of Awards granted under the Plan.</w:t>
      </w:r>
    </w:p>
    <w:p>
      <w:pPr>
        <w:spacing w:after="0" w:line="141"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XI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AND TERMINATION</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The Board may alter, amend, suspend or terminate the Plan at any time, in whole or in part; provided, however,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to whom an Award has been made, materially adversely affect the rights of such Participant in such Award.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00"/>
          </w:cols>
          <w:pgMar w:left="240" w:top="1031" w:right="259" w:bottom="1440" w:gutter="0" w:footer="0" w:header="0"/>
        </w:sectPr>
      </w:pPr>
    </w:p>
    <w:bookmarkStart w:id="180" w:name="page181"/>
    <w:bookmarkEnd w:id="180"/>
    <w:p>
      <w:pPr>
        <w:ind w:right="100" w:firstLine="648"/>
        <w:spacing w:after="0" w:line="297" w:lineRule="auto"/>
        <w:rPr>
          <w:sz w:val="20"/>
          <w:szCs w:val="20"/>
          <w:color w:val="auto"/>
        </w:rPr>
      </w:pPr>
      <w:r>
        <w:rPr>
          <w:rFonts w:ascii="Arial" w:cs="Arial" w:eastAsia="Arial" w:hAnsi="Arial"/>
          <w:sz w:val="19"/>
          <w:szCs w:val="19"/>
          <w:color w:val="auto"/>
        </w:rPr>
        <w:t>Notwithstanding the foregoing or any provision herein to the contrary, the Committee shall have broad authority to amend the Plan or any outstanding Award under the Plan without the approval of the Participant to the extent the Committee deems necessary or appropriate (i) to comply with, or take into account changes in, applicable tax laws, securities laws, accounting rules and other applicable laws, rules and regulations; or (ii) to avoid adverse tax consequences to any person under Section 409A with respect to any Award, even if such amendment would otherwise be detrimental to such person.</w:t>
      </w:r>
    </w:p>
    <w:p>
      <w:pPr>
        <w:spacing w:after="0" w:line="14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ARTICLE XII</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INTERPRETATION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12.1 Governmental Regulations.</w:t>
      </w:r>
    </w:p>
    <w:p>
      <w:pPr>
        <w:spacing w:after="0" w:line="185"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Plan, and all Awards hereunder, shall be subject to all applicable rules and regulations of governmental or other authorities, including, without limitation, any rules or regulations promulgated under or issued pursuant to the Dodd- Frank Wall Street Reform and Consumer Protection Act.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12.2 Headings.</w:t>
      </w:r>
    </w:p>
    <w:p>
      <w:pPr>
        <w:spacing w:after="0" w:line="18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The headings of articles and sections herein are included solely for convenience of reference and shall not affect the meaning of any of the provisions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12.3 Governing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Plan and all rights hereunder shall be construed in accordance with and governed by the laws of the State of Delaware.</w:t>
      </w: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ARTICLE XIII</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EFFECTIVE DATE AND EXPIRATION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13.1 Effective Date.</w:t>
      </w:r>
    </w:p>
    <w:p>
      <w:pPr>
        <w:spacing w:after="0" w:line="18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Plan was originally effective as of February 21, 2008 and was amended and restated as of May 23, 2013. This second amendment and restatement of the Plan shall be effective upon approval by the Company’s stockholders at the Company’s 2018 Annual Meeting of Stockholders of the Company. For the avoidance of doubt, this second amendment and restatement shall not affect the terms or conditions of any Award subject to the Section 162(m) Exception to the extent that compliance with the Section 162(m) Exception is required in order to ensure the deductibility of such Award, and such Awards that were in effect on November 2, 2017 shall not be deemed to be modified in any way as a result of this second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20"/>
          </w:cols>
          <w:pgMar w:left="240" w:top="1036"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b w:val="1"/>
          <w:bCs w:val="1"/>
          <w:color w:val="auto"/>
        </w:rPr>
        <w:t>Section 13.2 Final Date for Awards.</w:t>
      </w:r>
    </w:p>
    <w:p>
      <w:pPr>
        <w:spacing w:after="0" w:line="185"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Unless previously terminated pursuant to Article XI, the Plan shall expire at midnight on the day prior to the date of the 2023 Annual Meeting of Stockholders of the Company (the “Expiration Date”), and no further Awards may be granted under the Plan on or after the date of such meeting. The Expiration Date will not affect the operation of the terms of the Plan or the Company’s and Participants’ rights and obligations with respect to Awards granted on or prior to the Expiration Date.</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140"/>
          </w:cols>
          <w:pgMar w:left="240" w:top="1031" w:right="51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10(aa)</w:t>
      </w:r>
    </w:p>
    <w:p>
      <w:pPr>
        <w:spacing w:after="0" w:line="243" w:lineRule="exact"/>
        <w:rPr>
          <w:sz w:val="20"/>
          <w:szCs w:val="20"/>
          <w:color w:val="auto"/>
        </w:rPr>
      </w:pPr>
    </w:p>
    <w:p>
      <w:pPr>
        <w:jc w:val="center"/>
        <w:ind w:right="15"/>
        <w:spacing w:after="0"/>
        <w:rPr>
          <w:sz w:val="20"/>
          <w:szCs w:val="20"/>
          <w:color w:val="auto"/>
        </w:rPr>
      </w:pPr>
      <w:r>
        <w:rPr>
          <w:rFonts w:ascii="Arial" w:cs="Arial" w:eastAsia="Arial" w:hAnsi="Arial"/>
          <w:sz w:val="20"/>
          <w:szCs w:val="20"/>
          <w:b w:val="1"/>
          <w:bCs w:val="1"/>
          <w:color w:val="auto"/>
        </w:rPr>
        <w:t>CBS CORPORATION</w:t>
      </w:r>
    </w:p>
    <w:p>
      <w:pPr>
        <w:spacing w:after="0" w:line="229" w:lineRule="exact"/>
        <w:rPr>
          <w:sz w:val="20"/>
          <w:szCs w:val="20"/>
          <w:color w:val="auto"/>
        </w:rPr>
      </w:pPr>
    </w:p>
    <w:p>
      <w:pPr>
        <w:jc w:val="center"/>
        <w:ind w:right="15"/>
        <w:spacing w:after="0"/>
        <w:rPr>
          <w:sz w:val="20"/>
          <w:szCs w:val="20"/>
          <w:color w:val="auto"/>
        </w:rPr>
      </w:pPr>
      <w:r>
        <w:rPr>
          <w:rFonts w:ascii="Arial" w:cs="Arial" w:eastAsia="Arial" w:hAnsi="Arial"/>
          <w:sz w:val="20"/>
          <w:szCs w:val="20"/>
          <w:b w:val="1"/>
          <w:bCs w:val="1"/>
          <w:color w:val="auto"/>
        </w:rPr>
        <w:t>MATCHING GIFTS PROGRAM FOR DIRECTORS</w:t>
      </w:r>
    </w:p>
    <w:p>
      <w:pPr>
        <w:spacing w:after="0" w:line="26"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Dated December 16, 2008, as amended on January 31, 2019)</w:t>
      </w:r>
    </w:p>
    <w:p>
      <w:pPr>
        <w:spacing w:after="0" w:line="200" w:lineRule="exact"/>
        <w:rPr>
          <w:sz w:val="20"/>
          <w:szCs w:val="20"/>
          <w:color w:val="auto"/>
        </w:rPr>
      </w:pPr>
    </w:p>
    <w:p>
      <w:pPr>
        <w:spacing w:after="0" w:line="256" w:lineRule="exact"/>
        <w:rPr>
          <w:sz w:val="20"/>
          <w:szCs w:val="20"/>
          <w:color w:val="auto"/>
        </w:rPr>
      </w:pPr>
    </w:p>
    <w:p>
      <w:pPr>
        <w:ind w:left="505" w:hanging="505"/>
        <w:spacing w:after="0"/>
        <w:tabs>
          <w:tab w:leader="none" w:pos="5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PURPOSE OF THE PROGRAM</w:t>
      </w:r>
    </w:p>
    <w:p>
      <w:pPr>
        <w:spacing w:after="0" w:line="229" w:lineRule="exact"/>
        <w:rPr>
          <w:rFonts w:ascii="Arial" w:cs="Arial" w:eastAsia="Arial" w:hAnsi="Arial"/>
          <w:sz w:val="20"/>
          <w:szCs w:val="20"/>
          <w:color w:val="auto"/>
        </w:rPr>
      </w:pPr>
    </w:p>
    <w:p>
      <w:pPr>
        <w:ind w:left="525" w:right="100"/>
        <w:spacing w:after="0" w:line="321" w:lineRule="auto"/>
        <w:rPr>
          <w:rFonts w:ascii="Arial" w:cs="Arial" w:eastAsia="Arial" w:hAnsi="Arial"/>
          <w:sz w:val="20"/>
          <w:szCs w:val="20"/>
          <w:color w:val="auto"/>
        </w:rPr>
      </w:pPr>
      <w:r>
        <w:rPr>
          <w:rFonts w:ascii="Arial" w:cs="Arial" w:eastAsia="Arial" w:hAnsi="Arial"/>
          <w:sz w:val="16"/>
          <w:szCs w:val="16"/>
          <w:color w:val="auto"/>
        </w:rPr>
        <w:t>The CBS Corporation Matching Gifts Program for Directors (the “Program”) allows each Director (as defined in Paragraph 2) of CBS Corporation (the “Company”) to request that the Company match his or her donations to eligible tax-exempt organization(s) (the “Donee(s)”). Director donations will be matched by the Company at the rate of one dollar for each dollar contributed up to $25,000 for each fiscal year. The purpose of the Program is to recognize the interest of the Company and its Directors in supporting worthy charitable organizations. The Program is the exclusive means by which a Director may request donations from the Company to Donees.</w:t>
      </w:r>
    </w:p>
    <w:p>
      <w:pPr>
        <w:spacing w:after="0" w:line="147" w:lineRule="exact"/>
        <w:rPr>
          <w:rFonts w:ascii="Arial" w:cs="Arial" w:eastAsia="Arial" w:hAnsi="Arial"/>
          <w:sz w:val="20"/>
          <w:szCs w:val="20"/>
          <w:color w:val="auto"/>
        </w:rPr>
      </w:pPr>
    </w:p>
    <w:p>
      <w:pPr>
        <w:ind w:left="525" w:hanging="484"/>
        <w:spacing w:after="0"/>
        <w:tabs>
          <w:tab w:leader="none" w:pos="525" w:val="left"/>
        </w:tabs>
        <w:numPr>
          <w:ilvl w:val="1"/>
          <w:numId w:val="82"/>
        </w:numPr>
        <w:rPr>
          <w:rFonts w:ascii="Arial" w:cs="Arial" w:eastAsia="Arial" w:hAnsi="Arial"/>
          <w:sz w:val="20"/>
          <w:szCs w:val="20"/>
          <w:color w:val="auto"/>
        </w:rPr>
      </w:pPr>
      <w:r>
        <w:rPr>
          <w:rFonts w:ascii="Arial" w:cs="Arial" w:eastAsia="Arial" w:hAnsi="Arial"/>
          <w:sz w:val="20"/>
          <w:szCs w:val="20"/>
          <w:color w:val="auto"/>
        </w:rPr>
        <w:t>ELIGIBILITY</w:t>
      </w:r>
    </w:p>
    <w:p>
      <w:pPr>
        <w:spacing w:after="0" w:line="229" w:lineRule="exact"/>
        <w:rPr>
          <w:rFonts w:ascii="Arial" w:cs="Arial" w:eastAsia="Arial" w:hAnsi="Arial"/>
          <w:sz w:val="20"/>
          <w:szCs w:val="20"/>
          <w:color w:val="auto"/>
        </w:rPr>
      </w:pPr>
    </w:p>
    <w:p>
      <w:pPr>
        <w:ind w:left="525" w:right="160"/>
        <w:spacing w:after="0" w:line="260" w:lineRule="auto"/>
        <w:rPr>
          <w:rFonts w:ascii="Arial" w:cs="Arial" w:eastAsia="Arial" w:hAnsi="Arial"/>
          <w:sz w:val="20"/>
          <w:szCs w:val="20"/>
          <w:color w:val="auto"/>
        </w:rPr>
      </w:pPr>
      <w:r>
        <w:rPr>
          <w:rFonts w:ascii="Arial" w:cs="Arial" w:eastAsia="Arial" w:hAnsi="Arial"/>
          <w:sz w:val="20"/>
          <w:szCs w:val="20"/>
          <w:color w:val="auto"/>
        </w:rPr>
        <w:t>Each current member (each, a “Director”) of the Board of Directors of the Company (the “Board”) shall be eligible to participate in the Program, unless and until the Program is terminated in accordance with Paragraph 6.</w:t>
      </w:r>
    </w:p>
    <w:p>
      <w:pPr>
        <w:spacing w:after="0" w:line="190" w:lineRule="exact"/>
        <w:rPr>
          <w:rFonts w:ascii="Arial" w:cs="Arial" w:eastAsia="Arial" w:hAnsi="Arial"/>
          <w:sz w:val="20"/>
          <w:szCs w:val="20"/>
          <w:color w:val="auto"/>
        </w:rPr>
      </w:pPr>
    </w:p>
    <w:p>
      <w:pPr>
        <w:ind w:left="545" w:hanging="504"/>
        <w:spacing w:after="0"/>
        <w:tabs>
          <w:tab w:leader="none" w:pos="545" w:val="left"/>
        </w:tabs>
        <w:numPr>
          <w:ilvl w:val="1"/>
          <w:numId w:val="82"/>
        </w:numPr>
        <w:rPr>
          <w:rFonts w:ascii="Arial" w:cs="Arial" w:eastAsia="Arial" w:hAnsi="Arial"/>
          <w:sz w:val="20"/>
          <w:szCs w:val="20"/>
          <w:color w:val="auto"/>
        </w:rPr>
      </w:pPr>
      <w:r>
        <w:rPr>
          <w:rFonts w:ascii="Arial" w:cs="Arial" w:eastAsia="Arial" w:hAnsi="Arial"/>
          <w:sz w:val="20"/>
          <w:szCs w:val="20"/>
          <w:color w:val="auto"/>
        </w:rPr>
        <w:t>MATCHING DONATION REQUEST</w:t>
      </w:r>
    </w:p>
    <w:p>
      <w:pPr>
        <w:spacing w:after="0" w:line="229" w:lineRule="exact"/>
        <w:rPr>
          <w:rFonts w:ascii="Arial" w:cs="Arial" w:eastAsia="Arial" w:hAnsi="Arial"/>
          <w:sz w:val="20"/>
          <w:szCs w:val="20"/>
          <w:color w:val="auto"/>
        </w:rPr>
      </w:pPr>
    </w:p>
    <w:p>
      <w:pPr>
        <w:ind w:left="525" w:right="460"/>
        <w:spacing w:after="0" w:line="291" w:lineRule="auto"/>
        <w:rPr>
          <w:rFonts w:ascii="Arial" w:cs="Arial" w:eastAsia="Arial" w:hAnsi="Arial"/>
          <w:sz w:val="20"/>
          <w:szCs w:val="20"/>
          <w:color w:val="auto"/>
        </w:rPr>
      </w:pPr>
      <w:r>
        <w:rPr>
          <w:rFonts w:ascii="Arial" w:cs="Arial" w:eastAsia="Arial" w:hAnsi="Arial"/>
          <w:sz w:val="18"/>
          <w:szCs w:val="18"/>
          <w:color w:val="auto"/>
        </w:rPr>
        <w:t>When a Director becomes eligible to participate in the Program, he or she may make a written request to the Company, on a form provided by the Administrator (as defined in paragraph 7), designating the Donee(s) to which the Director has made a donation and which the Director intends to be the recipient(s) of the Company’s matching donation to be made on his or her behalf.</w:t>
      </w:r>
    </w:p>
    <w:p>
      <w:pPr>
        <w:spacing w:after="0" w:line="165" w:lineRule="exact"/>
        <w:rPr>
          <w:rFonts w:ascii="Arial" w:cs="Arial" w:eastAsia="Arial" w:hAnsi="Arial"/>
          <w:sz w:val="20"/>
          <w:szCs w:val="20"/>
          <w:color w:val="auto"/>
        </w:rPr>
      </w:pPr>
    </w:p>
    <w:p>
      <w:pPr>
        <w:ind w:left="525" w:hanging="471"/>
        <w:spacing w:after="0"/>
        <w:tabs>
          <w:tab w:leader="none" w:pos="525" w:val="left"/>
        </w:tabs>
        <w:numPr>
          <w:ilvl w:val="2"/>
          <w:numId w:val="82"/>
        </w:numPr>
        <w:rPr>
          <w:rFonts w:ascii="Arial" w:cs="Arial" w:eastAsia="Arial" w:hAnsi="Arial"/>
          <w:sz w:val="20"/>
          <w:szCs w:val="20"/>
          <w:color w:val="auto"/>
        </w:rPr>
      </w:pPr>
      <w:r>
        <w:rPr>
          <w:rFonts w:ascii="Arial" w:cs="Arial" w:eastAsia="Arial" w:hAnsi="Arial"/>
          <w:sz w:val="20"/>
          <w:szCs w:val="20"/>
          <w:color w:val="auto"/>
        </w:rPr>
        <w:t>DONEES</w:t>
      </w:r>
    </w:p>
    <w:p>
      <w:pPr>
        <w:spacing w:after="0" w:line="229" w:lineRule="exact"/>
        <w:rPr>
          <w:sz w:val="20"/>
          <w:szCs w:val="20"/>
          <w:color w:val="auto"/>
        </w:rPr>
      </w:pPr>
    </w:p>
    <w:p>
      <w:pPr>
        <w:ind w:left="565"/>
        <w:spacing w:after="0"/>
        <w:rPr>
          <w:sz w:val="20"/>
          <w:szCs w:val="20"/>
          <w:color w:val="auto"/>
        </w:rPr>
      </w:pPr>
      <w:r>
        <w:rPr>
          <w:rFonts w:ascii="Arial" w:cs="Arial" w:eastAsia="Arial" w:hAnsi="Arial"/>
          <w:sz w:val="16"/>
          <w:szCs w:val="16"/>
          <w:color w:val="auto"/>
        </w:rPr>
        <w:t>In order to be eligible to receive a donation, a recommended Donee must be, at the time any matching donation is to be made hereunder:</w:t>
      </w:r>
    </w:p>
    <w:p>
      <w:pPr>
        <w:spacing w:after="0" w:line="62" w:lineRule="exact"/>
        <w:rPr>
          <w:sz w:val="20"/>
          <w:szCs w:val="20"/>
          <w:color w:val="auto"/>
        </w:rPr>
      </w:pPr>
    </w:p>
    <w:p>
      <w:pPr>
        <w:ind w:left="565" w:right="300" w:firstLine="2"/>
        <w:spacing w:after="0" w:line="298" w:lineRule="auto"/>
        <w:tabs>
          <w:tab w:leader="none" w:pos="801"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recognized under the Internal Revenue Code as a 501(c)(3) public charity; or (ii) an accredited public or non-profit school, school district, college or university to which contributions are tax-deductible under the Internal Revenue Code of the United States.</w:t>
      </w:r>
    </w:p>
    <w:p>
      <w:pPr>
        <w:spacing w:after="0" w:line="158" w:lineRule="exact"/>
        <w:rPr>
          <w:rFonts w:ascii="Arial" w:cs="Arial" w:eastAsia="Arial" w:hAnsi="Arial"/>
          <w:sz w:val="18"/>
          <w:szCs w:val="18"/>
          <w:color w:val="auto"/>
        </w:rPr>
      </w:pPr>
    </w:p>
    <w:p>
      <w:pPr>
        <w:ind w:left="525" w:hanging="471"/>
        <w:spacing w:after="0"/>
        <w:tabs>
          <w:tab w:leader="none" w:pos="525" w:val="left"/>
        </w:tabs>
        <w:numPr>
          <w:ilvl w:val="0"/>
          <w:numId w:val="84"/>
        </w:numPr>
        <w:rPr>
          <w:rFonts w:ascii="Arial" w:cs="Arial" w:eastAsia="Arial" w:hAnsi="Arial"/>
          <w:sz w:val="20"/>
          <w:szCs w:val="20"/>
          <w:color w:val="auto"/>
        </w:rPr>
      </w:pPr>
      <w:r>
        <w:rPr>
          <w:rFonts w:ascii="Arial" w:cs="Arial" w:eastAsia="Arial" w:hAnsi="Arial"/>
          <w:sz w:val="20"/>
          <w:szCs w:val="20"/>
          <w:color w:val="auto"/>
        </w:rPr>
        <w:t>FUNDING AND PROGRAM ASSETS</w:t>
      </w:r>
    </w:p>
    <w:p>
      <w:pPr>
        <w:spacing w:after="0" w:line="229" w:lineRule="exact"/>
        <w:rPr>
          <w:sz w:val="20"/>
          <w:szCs w:val="20"/>
          <w:color w:val="auto"/>
        </w:rPr>
      </w:pPr>
    </w:p>
    <w:p>
      <w:pPr>
        <w:ind w:left="585" w:right="40"/>
        <w:spacing w:after="0" w:line="246" w:lineRule="auto"/>
        <w:rPr>
          <w:sz w:val="20"/>
          <w:szCs w:val="20"/>
          <w:color w:val="auto"/>
        </w:rPr>
      </w:pPr>
      <w:r>
        <w:rPr>
          <w:rFonts w:ascii="Arial" w:cs="Arial" w:eastAsia="Arial" w:hAnsi="Arial"/>
          <w:sz w:val="20"/>
          <w:szCs w:val="20"/>
          <w:color w:val="auto"/>
        </w:rPr>
        <w:t>Neither the participating Directors nor their recommended Donee(s) shall have any rights or interests in any assets of the Company identified for such purpose. Nothing contained in the Program shall create, or be deemed to create, a trust, actual or constructive, for the benefit of a Director or any recommended Donee, or shall give, or be deemed to give, any Director or Donee any interest in any assets of the Program or the Company.</w:t>
      </w:r>
    </w:p>
    <w:p>
      <w:pPr>
        <w:spacing w:after="0" w:line="205" w:lineRule="exact"/>
        <w:rPr>
          <w:sz w:val="20"/>
          <w:szCs w:val="20"/>
          <w:color w:val="auto"/>
        </w:rPr>
      </w:pPr>
    </w:p>
    <w:p>
      <w:pPr>
        <w:ind w:left="525" w:hanging="471"/>
        <w:spacing w:after="0"/>
        <w:tabs>
          <w:tab w:leader="none" w:pos="525" w:val="left"/>
        </w:tabs>
        <w:numPr>
          <w:ilvl w:val="0"/>
          <w:numId w:val="85"/>
        </w:numPr>
        <w:rPr>
          <w:rFonts w:ascii="Arial" w:cs="Arial" w:eastAsia="Arial" w:hAnsi="Arial"/>
          <w:sz w:val="20"/>
          <w:szCs w:val="20"/>
          <w:color w:val="auto"/>
        </w:rPr>
      </w:pPr>
      <w:r>
        <w:rPr>
          <w:rFonts w:ascii="Arial" w:cs="Arial" w:eastAsia="Arial" w:hAnsi="Arial"/>
          <w:sz w:val="20"/>
          <w:szCs w:val="20"/>
          <w:color w:val="auto"/>
        </w:rPr>
        <w:t>AMENDMENT OR TERMINATION</w:t>
      </w:r>
    </w:p>
    <w:p>
      <w:pPr>
        <w:spacing w:after="0" w:line="229" w:lineRule="exact"/>
        <w:rPr>
          <w:rFonts w:ascii="Arial" w:cs="Arial" w:eastAsia="Arial" w:hAnsi="Arial"/>
          <w:sz w:val="20"/>
          <w:szCs w:val="20"/>
          <w:color w:val="auto"/>
        </w:rPr>
      </w:pPr>
    </w:p>
    <w:p>
      <w:pPr>
        <w:ind w:left="545" w:right="600"/>
        <w:spacing w:after="0" w:line="250" w:lineRule="auto"/>
        <w:rPr>
          <w:rFonts w:ascii="Arial" w:cs="Arial" w:eastAsia="Arial" w:hAnsi="Arial"/>
          <w:sz w:val="20"/>
          <w:szCs w:val="20"/>
          <w:color w:val="auto"/>
        </w:rPr>
      </w:pPr>
      <w:r>
        <w:rPr>
          <w:rFonts w:ascii="Arial" w:cs="Arial" w:eastAsia="Arial" w:hAnsi="Arial"/>
          <w:sz w:val="20"/>
          <w:szCs w:val="20"/>
          <w:color w:val="auto"/>
        </w:rPr>
        <w:t>The Board may, at any time, amend, suspend, or terminate the Program. However, once a participating Director requests that the Company make a matching donation to a Donee, the Program may not be amended, suspended or terminated with respect to such request,</w:t>
      </w:r>
    </w:p>
    <w:p>
      <w:pPr>
        <w:sectPr>
          <w:pgSz w:w="11900" w:h="16838" w:orient="portrait"/>
          <w:cols w:equalWidth="0" w:num="1">
            <w:col w:w="11385"/>
          </w:cols>
          <w:pgMar w:left="275" w:top="347" w:right="239" w:bottom="1440" w:gutter="0" w:footer="0" w:header="0"/>
        </w:sectPr>
      </w:pPr>
    </w:p>
    <w:bookmarkStart w:id="183" w:name="page184"/>
    <w:bookmarkEnd w:id="183"/>
    <w:p>
      <w:pPr>
        <w:ind w:left="491" w:right="740"/>
        <w:spacing w:after="0" w:line="260" w:lineRule="auto"/>
        <w:rPr>
          <w:sz w:val="20"/>
          <w:szCs w:val="20"/>
          <w:color w:val="auto"/>
        </w:rPr>
      </w:pPr>
      <w:r>
        <w:rPr>
          <w:rFonts w:ascii="Arial" w:cs="Arial" w:eastAsia="Arial" w:hAnsi="Arial"/>
          <w:sz w:val="20"/>
          <w:szCs w:val="20"/>
          <w:color w:val="auto"/>
        </w:rPr>
        <w:t>unless there has been an adverse change in laws or regulations affecting the Program (</w:t>
      </w:r>
      <w:r>
        <w:rPr>
          <w:rFonts w:ascii="Arial" w:cs="Arial" w:eastAsia="Arial" w:hAnsi="Arial"/>
          <w:sz w:val="20"/>
          <w:szCs w:val="20"/>
          <w:i w:val="1"/>
          <w:iCs w:val="1"/>
          <w:color w:val="auto"/>
        </w:rPr>
        <w:t>e.g</w:t>
      </w:r>
      <w:r>
        <w:rPr>
          <w:rFonts w:ascii="Arial" w:cs="Arial" w:eastAsia="Arial" w:hAnsi="Arial"/>
          <w:sz w:val="20"/>
          <w:szCs w:val="20"/>
          <w:color w:val="auto"/>
        </w:rPr>
        <w:t>., reduction or elimination of the tax deductibility of the donation by the Company).</w:t>
      </w:r>
    </w:p>
    <w:p>
      <w:pPr>
        <w:spacing w:after="0" w:line="190" w:lineRule="exact"/>
        <w:rPr>
          <w:sz w:val="20"/>
          <w:szCs w:val="20"/>
          <w:color w:val="auto"/>
        </w:rPr>
      </w:pPr>
    </w:p>
    <w:p>
      <w:pPr>
        <w:ind w:left="471" w:hanging="471"/>
        <w:spacing w:after="0"/>
        <w:tabs>
          <w:tab w:leader="none" w:pos="471" w:val="left"/>
        </w:tabs>
        <w:numPr>
          <w:ilvl w:val="0"/>
          <w:numId w:val="86"/>
        </w:numPr>
        <w:rPr>
          <w:rFonts w:ascii="Arial" w:cs="Arial" w:eastAsia="Arial" w:hAnsi="Arial"/>
          <w:sz w:val="20"/>
          <w:szCs w:val="20"/>
          <w:color w:val="auto"/>
        </w:rPr>
      </w:pPr>
      <w:r>
        <w:rPr>
          <w:rFonts w:ascii="Arial" w:cs="Arial" w:eastAsia="Arial" w:hAnsi="Arial"/>
          <w:sz w:val="20"/>
          <w:szCs w:val="20"/>
          <w:color w:val="auto"/>
        </w:rPr>
        <w:t>ADMINISTRATION</w:t>
      </w:r>
    </w:p>
    <w:p>
      <w:pPr>
        <w:spacing w:after="0" w:line="229" w:lineRule="exact"/>
        <w:rPr>
          <w:rFonts w:ascii="Arial" w:cs="Arial" w:eastAsia="Arial" w:hAnsi="Arial"/>
          <w:sz w:val="20"/>
          <w:szCs w:val="20"/>
          <w:color w:val="auto"/>
        </w:rPr>
      </w:pPr>
    </w:p>
    <w:p>
      <w:pPr>
        <w:ind w:left="491"/>
        <w:spacing w:after="0" w:line="250" w:lineRule="auto"/>
        <w:rPr>
          <w:rFonts w:ascii="Arial" w:cs="Arial" w:eastAsia="Arial" w:hAnsi="Arial"/>
          <w:sz w:val="20"/>
          <w:szCs w:val="20"/>
          <w:color w:val="auto"/>
        </w:rPr>
      </w:pPr>
      <w:r>
        <w:rPr>
          <w:rFonts w:ascii="Arial" w:cs="Arial" w:eastAsia="Arial" w:hAnsi="Arial"/>
          <w:sz w:val="20"/>
          <w:szCs w:val="20"/>
          <w:color w:val="auto"/>
        </w:rPr>
        <w:t>The Program shall be administered by the Office of the Executive Vice President, Chief Administrative Officer (“Administrator”). The Administrator shall have authority, subject to the provisions of the Program, to prescribe procedures and guidelines relating to the Program.</w:t>
      </w:r>
    </w:p>
    <w:p>
      <w:pPr>
        <w:spacing w:after="0" w:line="199" w:lineRule="exact"/>
        <w:rPr>
          <w:rFonts w:ascii="Arial" w:cs="Arial" w:eastAsia="Arial" w:hAnsi="Arial"/>
          <w:sz w:val="20"/>
          <w:szCs w:val="20"/>
          <w:color w:val="auto"/>
        </w:rPr>
      </w:pPr>
    </w:p>
    <w:p>
      <w:pPr>
        <w:ind w:left="471" w:hanging="471"/>
        <w:spacing w:after="0"/>
        <w:tabs>
          <w:tab w:leader="none" w:pos="471"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NON-ASSIGNMENT</w:t>
      </w:r>
    </w:p>
    <w:p>
      <w:pPr>
        <w:spacing w:after="0" w:line="229" w:lineRule="exact"/>
        <w:rPr>
          <w:sz w:val="20"/>
          <w:szCs w:val="20"/>
          <w:color w:val="auto"/>
        </w:rPr>
      </w:pPr>
    </w:p>
    <w:p>
      <w:pPr>
        <w:ind w:left="511"/>
        <w:spacing w:after="0"/>
        <w:rPr>
          <w:sz w:val="20"/>
          <w:szCs w:val="20"/>
          <w:color w:val="auto"/>
        </w:rPr>
      </w:pPr>
      <w:r>
        <w:rPr>
          <w:rFonts w:ascii="Arial" w:cs="Arial" w:eastAsia="Arial" w:hAnsi="Arial"/>
          <w:sz w:val="20"/>
          <w:szCs w:val="20"/>
          <w:color w:val="auto"/>
        </w:rPr>
        <w:t>A Director’s rights and interests under the Program may not be assigned or transferred.</w:t>
      </w:r>
    </w:p>
    <w:p>
      <w:pPr>
        <w:spacing w:after="0" w:line="229" w:lineRule="exact"/>
        <w:rPr>
          <w:sz w:val="20"/>
          <w:szCs w:val="20"/>
          <w:color w:val="auto"/>
        </w:rPr>
      </w:pPr>
    </w:p>
    <w:p>
      <w:pPr>
        <w:ind w:left="471" w:hanging="471"/>
        <w:spacing w:after="0"/>
        <w:tabs>
          <w:tab w:leader="none" w:pos="471" w:val="left"/>
        </w:tabs>
        <w:numPr>
          <w:ilvl w:val="0"/>
          <w:numId w:val="87"/>
        </w:numPr>
        <w:rPr>
          <w:rFonts w:ascii="Arial" w:cs="Arial" w:eastAsia="Arial" w:hAnsi="Arial"/>
          <w:sz w:val="20"/>
          <w:szCs w:val="20"/>
          <w:color w:val="auto"/>
        </w:rPr>
      </w:pPr>
      <w:r>
        <w:rPr>
          <w:rFonts w:ascii="Arial" w:cs="Arial" w:eastAsia="Arial" w:hAnsi="Arial"/>
          <w:sz w:val="20"/>
          <w:szCs w:val="20"/>
          <w:color w:val="auto"/>
        </w:rPr>
        <w:t>EFFECTIVE DATE</w:t>
      </w:r>
    </w:p>
    <w:p>
      <w:pPr>
        <w:spacing w:after="0" w:line="229" w:lineRule="exact"/>
        <w:rPr>
          <w:rFonts w:ascii="Arial" w:cs="Arial" w:eastAsia="Arial" w:hAnsi="Arial"/>
          <w:sz w:val="20"/>
          <w:szCs w:val="20"/>
          <w:color w:val="auto"/>
        </w:rPr>
      </w:pPr>
    </w:p>
    <w:p>
      <w:pPr>
        <w:ind w:left="491"/>
        <w:spacing w:after="0"/>
        <w:rPr>
          <w:rFonts w:ascii="Arial" w:cs="Arial" w:eastAsia="Arial" w:hAnsi="Arial"/>
          <w:sz w:val="20"/>
          <w:szCs w:val="20"/>
          <w:color w:val="auto"/>
        </w:rPr>
      </w:pPr>
      <w:r>
        <w:rPr>
          <w:rFonts w:ascii="Arial" w:cs="Arial" w:eastAsia="Arial" w:hAnsi="Arial"/>
          <w:sz w:val="20"/>
          <w:szCs w:val="20"/>
          <w:color w:val="auto"/>
        </w:rPr>
        <w:t>The Program effective date is December 16, 2008.</w:t>
      </w:r>
    </w:p>
    <w:p>
      <w:pPr>
        <w:sectPr>
          <w:pgSz w:w="11900" w:h="16838" w:orient="portrait"/>
          <w:cols w:equalWidth="0" w:num="1">
            <w:col w:w="11151"/>
          </w:cols>
          <w:pgMar w:left="329" w:top="366" w:right="41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10(g)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Summary of CBS Corporation Compensation for Outside Directors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of January 31, 2019)</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Directors of CBS Corporation (the “Company”) who are not employees of the Company or any of its subsidiaries (the “Outside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Directors”) receive compensation for their service as follows: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COMPENSATION</w:t>
      </w:r>
    </w:p>
    <w:p>
      <w:pPr>
        <w:spacing w:after="0" w:line="172" w:lineRule="exact"/>
        <w:rPr>
          <w:sz w:val="20"/>
          <w:szCs w:val="20"/>
          <w:color w:val="auto"/>
        </w:rPr>
      </w:pPr>
    </w:p>
    <w:p>
      <w:pPr>
        <w:ind w:left="720" w:hanging="361"/>
        <w:spacing w:after="0"/>
        <w:tabs>
          <w:tab w:leader="none" w:pos="7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Interim Chairman of the Board receives an annual Board retainer of $300,000, the Vice Chair of the Board receives an</w:t>
      </w:r>
    </w:p>
    <w:p>
      <w:pPr>
        <w:spacing w:after="0" w:line="92" w:lineRule="exact"/>
        <w:rPr>
          <w:rFonts w:ascii="Arial" w:cs="Arial" w:eastAsia="Arial" w:hAnsi="Arial"/>
          <w:sz w:val="19"/>
          <w:szCs w:val="19"/>
          <w:color w:val="auto"/>
        </w:rPr>
      </w:pPr>
    </w:p>
    <w:p>
      <w:pPr>
        <w:ind w:left="720" w:right="480"/>
        <w:spacing w:after="0" w:line="263" w:lineRule="auto"/>
        <w:rPr>
          <w:rFonts w:ascii="Arial" w:cs="Arial" w:eastAsia="Arial" w:hAnsi="Arial"/>
          <w:sz w:val="19"/>
          <w:szCs w:val="19"/>
          <w:color w:val="auto"/>
        </w:rPr>
      </w:pPr>
      <w:r>
        <w:rPr>
          <w:rFonts w:ascii="Arial" w:cs="Arial" w:eastAsia="Arial" w:hAnsi="Arial"/>
          <w:sz w:val="22"/>
          <w:szCs w:val="22"/>
          <w:color w:val="auto"/>
        </w:rPr>
        <w:t>annual retainer of $225,000 and all other Outside Directors receive an annual Board retainer of $100,000, in each case payable in equal installments quarterly in advance; and</w:t>
      </w:r>
    </w:p>
    <w:p>
      <w:pPr>
        <w:spacing w:after="0" w:line="120" w:lineRule="exact"/>
        <w:rPr>
          <w:rFonts w:ascii="Arial" w:cs="Arial" w:eastAsia="Arial" w:hAnsi="Arial"/>
          <w:sz w:val="19"/>
          <w:szCs w:val="19"/>
          <w:color w:val="auto"/>
        </w:rPr>
      </w:pPr>
    </w:p>
    <w:p>
      <w:pPr>
        <w:ind w:left="720" w:hanging="361"/>
        <w:spacing w:after="0"/>
        <w:tabs>
          <w:tab w:leader="none" w:pos="7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Chairs of the Audit, Compensation and Nominating and Governance Committees each receive an annual retainer of</w:t>
      </w:r>
    </w:p>
    <w:p>
      <w:pPr>
        <w:spacing w:after="0" w:line="92" w:lineRule="exact"/>
        <w:rPr>
          <w:rFonts w:ascii="Arial" w:cs="Arial" w:eastAsia="Arial" w:hAnsi="Arial"/>
          <w:sz w:val="19"/>
          <w:szCs w:val="19"/>
          <w:color w:val="auto"/>
        </w:rPr>
      </w:pPr>
    </w:p>
    <w:p>
      <w:pPr>
        <w:ind w:left="720" w:right="20"/>
        <w:spacing w:after="0" w:line="253" w:lineRule="auto"/>
        <w:rPr>
          <w:rFonts w:ascii="Arial" w:cs="Arial" w:eastAsia="Arial" w:hAnsi="Arial"/>
          <w:sz w:val="19"/>
          <w:szCs w:val="19"/>
          <w:color w:val="auto"/>
        </w:rPr>
      </w:pPr>
      <w:r>
        <w:rPr>
          <w:rFonts w:ascii="Arial" w:cs="Arial" w:eastAsia="Arial" w:hAnsi="Arial"/>
          <w:sz w:val="22"/>
          <w:szCs w:val="22"/>
          <w:color w:val="auto"/>
        </w:rPr>
        <w:t>$20,000, payable in equal installments quarterly in advance, and the members of those Committees each receive a per meeting attendance fee of $2,000; the Chairs and members of any ad hoc committees of the Board that may exist from time to time shall be paid as determined by the Board.</w:t>
      </w:r>
    </w:p>
    <w:p>
      <w:pPr>
        <w:spacing w:after="0" w:line="388" w:lineRule="exact"/>
        <w:rPr>
          <w:sz w:val="20"/>
          <w:szCs w:val="20"/>
          <w:color w:val="auto"/>
        </w:rPr>
      </w:pPr>
    </w:p>
    <w:p>
      <w:pPr>
        <w:ind w:left="360" w:right="860"/>
        <w:spacing w:after="0" w:line="263" w:lineRule="auto"/>
        <w:rPr>
          <w:sz w:val="20"/>
          <w:szCs w:val="20"/>
          <w:color w:val="auto"/>
        </w:rPr>
      </w:pPr>
      <w:r>
        <w:rPr>
          <w:rFonts w:ascii="Arial" w:cs="Arial" w:eastAsia="Arial" w:hAnsi="Arial"/>
          <w:sz w:val="22"/>
          <w:szCs w:val="22"/>
          <w:color w:val="auto"/>
        </w:rPr>
        <w:t>Outside Directors may elect to defer their cash compensation under the CBS Deferred Compensation Plan for Outside Directors.</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Restricted Share Units (RSUs):</w:t>
      </w:r>
    </w:p>
    <w:p>
      <w:pPr>
        <w:spacing w:after="0" w:line="166" w:lineRule="exact"/>
        <w:rPr>
          <w:sz w:val="20"/>
          <w:szCs w:val="20"/>
          <w:color w:val="auto"/>
        </w:rPr>
      </w:pPr>
    </w:p>
    <w:p>
      <w:pPr>
        <w:ind w:left="720" w:hanging="361"/>
        <w:spacing w:after="0"/>
        <w:tabs>
          <w:tab w:leader="none" w:pos="7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 annual grant of RSUs on each February 15th, equal to $200,000 in value based on the closing price of the Company’s</w:t>
      </w:r>
    </w:p>
    <w:p>
      <w:pPr>
        <w:spacing w:after="0" w:line="92" w:lineRule="exact"/>
        <w:rPr>
          <w:rFonts w:ascii="Arial" w:cs="Arial" w:eastAsia="Arial" w:hAnsi="Arial"/>
          <w:sz w:val="19"/>
          <w:szCs w:val="19"/>
          <w:color w:val="auto"/>
        </w:rPr>
      </w:pPr>
    </w:p>
    <w:p>
      <w:pPr>
        <w:ind w:left="720" w:right="100"/>
        <w:spacing w:after="0" w:line="253" w:lineRule="auto"/>
        <w:rPr>
          <w:rFonts w:ascii="Arial" w:cs="Arial" w:eastAsia="Arial" w:hAnsi="Arial"/>
          <w:sz w:val="19"/>
          <w:szCs w:val="19"/>
          <w:color w:val="auto"/>
        </w:rPr>
      </w:pPr>
      <w:r>
        <w:rPr>
          <w:rFonts w:ascii="Arial" w:cs="Arial" w:eastAsia="Arial" w:hAnsi="Arial"/>
          <w:sz w:val="22"/>
          <w:szCs w:val="22"/>
          <w:color w:val="auto"/>
        </w:rPr>
        <w:t>Class B common stock on the New York Stock Exchange (“NYSE”) on the date of grant (or, if the date of grant is not a day on which the NYSE is open for trading, on the last trading day preceding the date of grant), which RSUs vest one year from the date of grant; and</w:t>
      </w:r>
    </w:p>
    <w:p>
      <w:pPr>
        <w:spacing w:after="0" w:line="131" w:lineRule="exact"/>
        <w:rPr>
          <w:rFonts w:ascii="Arial" w:cs="Arial" w:eastAsia="Arial" w:hAnsi="Arial"/>
          <w:sz w:val="19"/>
          <w:szCs w:val="19"/>
          <w:color w:val="auto"/>
        </w:rPr>
      </w:pPr>
    </w:p>
    <w:p>
      <w:pPr>
        <w:ind w:left="720" w:hanging="361"/>
        <w:spacing w:after="0"/>
        <w:tabs>
          <w:tab w:leader="none" w:pos="7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prorated RSU grants for Outside Directors who join the Board following the date of the annual RSU grant, but during the</w:t>
      </w:r>
    </w:p>
    <w:p>
      <w:pPr>
        <w:spacing w:after="0" w:line="92" w:lineRule="exact"/>
        <w:rPr>
          <w:rFonts w:ascii="Arial" w:cs="Arial" w:eastAsia="Arial" w:hAnsi="Arial"/>
          <w:sz w:val="19"/>
          <w:szCs w:val="19"/>
          <w:color w:val="auto"/>
        </w:rPr>
      </w:pPr>
    </w:p>
    <w:p>
      <w:pPr>
        <w:ind w:left="720" w:right="120"/>
        <w:spacing w:after="0" w:line="294" w:lineRule="auto"/>
        <w:rPr>
          <w:rFonts w:ascii="Arial" w:cs="Arial" w:eastAsia="Arial" w:hAnsi="Arial"/>
          <w:sz w:val="19"/>
          <w:szCs w:val="19"/>
          <w:color w:val="auto"/>
        </w:rPr>
      </w:pPr>
      <w:r>
        <w:rPr>
          <w:rFonts w:ascii="Arial" w:cs="Arial" w:eastAsia="Arial" w:hAnsi="Arial"/>
          <w:sz w:val="19"/>
          <w:szCs w:val="19"/>
          <w:color w:val="auto"/>
        </w:rPr>
        <w:t>calendar year of the grant. Such grants will be made 5 business days following the date such Outside Director joins the Board, and will be determined by multiplying the number of months remaining in such calendar year from the date the Outside Director joins the Board (counting the month of joining as a full month), by the value of the annual RSU grant for that calendar year divided by 12, divided by the closing price of the Company’s Class B common stock on the NYSE on the date of grant. Prorated RSU grants vest on the first anniversary of the date of grant of the annual RSU grant that was awarded during the calendar year in which the Outside Director received such prorated RSU grant.</w:t>
      </w:r>
    </w:p>
    <w:p>
      <w:pPr>
        <w:spacing w:after="0" w:line="352" w:lineRule="exact"/>
        <w:rPr>
          <w:sz w:val="20"/>
          <w:szCs w:val="20"/>
          <w:color w:val="auto"/>
        </w:rPr>
      </w:pPr>
    </w:p>
    <w:p>
      <w:pPr>
        <w:ind w:left="360" w:right="200"/>
        <w:spacing w:after="0" w:line="253" w:lineRule="auto"/>
        <w:rPr>
          <w:sz w:val="20"/>
          <w:szCs w:val="20"/>
          <w:color w:val="auto"/>
        </w:rPr>
      </w:pPr>
      <w:r>
        <w:rPr>
          <w:rFonts w:ascii="Arial" w:cs="Arial" w:eastAsia="Arial" w:hAnsi="Arial"/>
          <w:sz w:val="22"/>
          <w:szCs w:val="22"/>
          <w:color w:val="auto"/>
        </w:rPr>
        <w:t>RSUs are payable to Outside Directors in shares of the Company’s Class B common stock upon vesting unless the Outside Director elects to defer settlement of the RSUs to a future date. Outside Directors are entitled to receive dividend equivalents on the RSUs in the event</w:t>
      </w:r>
    </w:p>
    <w:p>
      <w:pPr>
        <w:sectPr>
          <w:pgSz w:w="11900" w:h="16838" w:orient="portrait"/>
          <w:cols w:equalWidth="0" w:num="1">
            <w:col w:w="11420"/>
          </w:cols>
          <w:pgMar w:left="240" w:top="342" w:right="239" w:bottom="1440" w:gutter="0" w:footer="0" w:header="0"/>
        </w:sectPr>
      </w:pPr>
    </w:p>
    <w:bookmarkStart w:id="185" w:name="page186"/>
    <w:bookmarkEnd w:id="185"/>
    <w:p>
      <w:pPr>
        <w:ind w:left="360" w:right="520"/>
        <w:spacing w:after="0" w:line="263" w:lineRule="auto"/>
        <w:rPr>
          <w:sz w:val="20"/>
          <w:szCs w:val="20"/>
          <w:color w:val="auto"/>
        </w:rPr>
      </w:pPr>
      <w:r>
        <w:rPr>
          <w:rFonts w:ascii="Arial" w:cs="Arial" w:eastAsia="Arial" w:hAnsi="Arial"/>
          <w:sz w:val="22"/>
          <w:szCs w:val="22"/>
          <w:color w:val="auto"/>
        </w:rPr>
        <w:t>the Company pays a regular cash dividend on its Class B common stock. Dividend equivalents will accrue on the RSUs (including deferred RSUs) until the RSUs are settled.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Expenses:</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Outside Directors are reimbursed for expenses incurred in attending Board, committee and stockholder meetings (including travel and lodging) in accordance with the Company’s normal travel policies.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Matching Gifts Program for Directors:</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All Directors, including Directors who are employees, are eligible to participate in the Company’s Matching Gifts Program for Directors. Under the program, the Company matches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ectPr>
          <w:pgSz w:w="11900" w:h="16838" w:orient="portrait"/>
          <w:cols w:equalWidth="0" w:num="1">
            <w:col w:w="11280"/>
          </w:cols>
          <w:pgMar w:left="240" w:top="375" w:right="3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10(q)</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37590" cy="523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51 West 52</w:t>
      </w:r>
      <w:r>
        <w:rPr>
          <w:rFonts w:ascii="Arial" w:cs="Arial" w:eastAsia="Arial" w:hAnsi="Arial"/>
          <w:sz w:val="8"/>
          <w:szCs w:val="8"/>
          <w:color w:val="auto"/>
        </w:rPr>
        <w:t>nd</w:t>
      </w:r>
      <w:r>
        <w:rPr>
          <w:rFonts w:ascii="Arial" w:cs="Arial" w:eastAsia="Arial" w:hAnsi="Arial"/>
          <w:sz w:val="14"/>
          <w:szCs w:val="14"/>
          <w:color w:val="auto"/>
        </w:rPr>
        <w:t xml:space="preserve"> Street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Jonathan H.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CBS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10019</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9540" w:val="left"/>
        </w:tabs>
        <w:rPr>
          <w:sz w:val="20"/>
          <w:szCs w:val="20"/>
          <w:color w:val="auto"/>
        </w:rPr>
      </w:pPr>
      <w:r>
        <w:rPr>
          <w:rFonts w:ascii="Arial" w:cs="Arial" w:eastAsia="Arial" w:hAnsi="Arial"/>
          <w:sz w:val="22"/>
          <w:szCs w:val="22"/>
          <w:color w:val="auto"/>
        </w:rPr>
        <w:t>Dear Jonathan:</w:t>
      </w:r>
      <w:r>
        <w:rPr>
          <w:sz w:val="20"/>
          <w:szCs w:val="20"/>
          <w:color w:val="auto"/>
        </w:rPr>
        <w:tab/>
      </w:r>
      <w:r>
        <w:rPr>
          <w:rFonts w:ascii="Arial" w:cs="Arial" w:eastAsia="Arial" w:hAnsi="Arial"/>
          <w:sz w:val="19"/>
          <w:szCs w:val="19"/>
          <w:color w:val="auto"/>
        </w:rPr>
        <w:t>as of January 1, 2019</w:t>
      </w:r>
    </w:p>
    <w:p>
      <w:pPr>
        <w:spacing w:after="0" w:line="276"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CBS Corporation (“</w:t>
      </w:r>
      <w:r>
        <w:rPr>
          <w:rFonts w:ascii="Arial" w:cs="Arial" w:eastAsia="Arial" w:hAnsi="Arial"/>
          <w:sz w:val="22"/>
          <w:szCs w:val="22"/>
          <w:b w:val="1"/>
          <w:bCs w:val="1"/>
          <w:i w:val="1"/>
          <w:iCs w:val="1"/>
          <w:color w:val="auto"/>
        </w:rPr>
        <w:t>CBS</w:t>
      </w:r>
      <w:r>
        <w:rPr>
          <w:rFonts w:ascii="Arial" w:cs="Arial" w:eastAsia="Arial" w:hAnsi="Arial"/>
          <w:sz w:val="22"/>
          <w:szCs w:val="22"/>
          <w:color w:val="auto"/>
        </w:rPr>
        <w:t>”), having an address at 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New York, New York 10019, agrees to employ you and you agree to accept such employment upon the following terms and conditions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99" w:lineRule="exact"/>
        <w:rPr>
          <w:sz w:val="20"/>
          <w:szCs w:val="20"/>
          <w:color w:val="auto"/>
        </w:rPr>
      </w:pPr>
    </w:p>
    <w:p>
      <w:pPr>
        <w:jc w:val="both"/>
        <w:ind w:firstLine="656"/>
        <w:spacing w:after="0" w:line="250" w:lineRule="auto"/>
        <w:tabs>
          <w:tab w:leader="none" w:pos="1107"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your employment under this Agreement shall commence on January 1,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unless earlier terminated under this Agreement, shall expire on December 31, 2021 (the “</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The period from the Effective Date through the Expiration Date is referred to herein as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notwithstanding any earlier termination of your employment for any reason.</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229"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Duties</w:t>
      </w:r>
      <w:r>
        <w:rPr>
          <w:rFonts w:ascii="Arial" w:cs="Arial" w:eastAsia="Arial" w:hAnsi="Arial"/>
          <w:sz w:val="21"/>
          <w:szCs w:val="21"/>
          <w:color w:val="auto"/>
        </w:rPr>
        <w:t>. You will serve as Executive Vice President and General Counsel, CBS Broadcasting and Executive Vice President, Deputy General Counsel and Secretary, CBS Corporation, and you agree to perform all duties reasonable and consistent with that office as the Senior Executive Vice President and Chief Legal Officer of CBS (the “</w:t>
      </w:r>
      <w:r>
        <w:rPr>
          <w:rFonts w:ascii="Arial" w:cs="Arial" w:eastAsia="Arial" w:hAnsi="Arial"/>
          <w:sz w:val="21"/>
          <w:szCs w:val="21"/>
          <w:b w:val="1"/>
          <w:bCs w:val="1"/>
          <w:i w:val="1"/>
          <w:iCs w:val="1"/>
          <w:color w:val="auto"/>
        </w:rPr>
        <w:t>CLO</w:t>
      </w:r>
      <w:r>
        <w:rPr>
          <w:rFonts w:ascii="Arial" w:cs="Arial" w:eastAsia="Arial" w:hAnsi="Arial"/>
          <w:sz w:val="21"/>
          <w:szCs w:val="21"/>
          <w:color w:val="auto"/>
        </w:rPr>
        <w:t xml:space="preserve">”) may assign to you from time to time. During the Term, in your role as Executive Vice President and General Counsel, CBS Broadcasting, you will be responsible for CBS Television Network entertainment and news operations, CBS Studios, domestic and international syndication, program practices, intellectual property and labor and employment law, and in your role as Executive Vice President, Deputy General Counsel and Secretary, you will be responsible for corporate, securities, real estate, executive compensation, employee benefits and Board of Directors legal matters. While you are employed hereunder, you agree to devote your entire business time, attention and energies to the business of CBS. Your principal place of employment will be CBS’s executive offices in the Los Angeles metropolitan area;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you will be required to render services in New York and elsewhere upon request for business reasons.</w:t>
      </w:r>
    </w:p>
    <w:p>
      <w:pPr>
        <w:spacing w:after="0" w:line="183" w:lineRule="exact"/>
        <w:rPr>
          <w:rFonts w:ascii="Arial" w:cs="Arial" w:eastAsia="Arial" w:hAnsi="Arial"/>
          <w:sz w:val="21"/>
          <w:szCs w:val="21"/>
          <w:color w:val="auto"/>
        </w:rPr>
      </w:pPr>
    </w:p>
    <w:p>
      <w:pPr>
        <w:ind w:left="1080" w:hanging="424"/>
        <w:spacing w:after="0"/>
        <w:tabs>
          <w:tab w:leader="none" w:pos="10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343" w:lineRule="auto"/>
        <w:tabs>
          <w:tab w:leader="none" w:pos="1806"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For all the services rendered by you in any capacity under this Agreement, CBS agrees to pay you base salary (“</w:t>
      </w:r>
      <w:r>
        <w:rPr>
          <w:rFonts w:ascii="Arial" w:cs="Arial" w:eastAsia="Arial" w:hAnsi="Arial"/>
          <w:sz w:val="19"/>
          <w:szCs w:val="19"/>
          <w:b w:val="1"/>
          <w:bCs w:val="1"/>
          <w:i w:val="1"/>
          <w:iCs w:val="1"/>
          <w:color w:val="auto"/>
        </w:rPr>
        <w:t>Salary</w:t>
      </w:r>
      <w:r>
        <w:rPr>
          <w:rFonts w:ascii="Arial" w:cs="Arial" w:eastAsia="Arial" w:hAnsi="Arial"/>
          <w:sz w:val="19"/>
          <w:szCs w:val="19"/>
          <w:color w:val="auto"/>
        </w:rPr>
        <w:t>”) at the rate of Nine Hundred Fifty Thousand Dollars ($950,000) per annum, less applicable deductions and</w:t>
      </w:r>
    </w:p>
    <w:p>
      <w:pPr>
        <w:sectPr>
          <w:pgSz w:w="11900" w:h="16838" w:orient="portrait"/>
          <w:cols w:equalWidth="0" w:num="1">
            <w:col w:w="11420"/>
          </w:cols>
          <w:pgMar w:left="240" w:top="553"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withholding taxes, in accordance with CBS’s payroll practices as they may exist from time to time. During the Term of this Agreement, your Salary may be increased, and such increase, if any, shall be made at a time, and in an amount, that CBS shall determine in its discretion.</w:t>
      </w:r>
    </w:p>
    <w:p>
      <w:pPr>
        <w:spacing w:after="0" w:line="186" w:lineRule="exact"/>
        <w:rPr>
          <w:sz w:val="20"/>
          <w:szCs w:val="20"/>
          <w:color w:val="auto"/>
        </w:rPr>
      </w:pPr>
    </w:p>
    <w:p>
      <w:pPr>
        <w:ind w:right="20" w:firstLine="1305"/>
        <w:spacing w:after="0" w:line="263" w:lineRule="auto"/>
        <w:tabs>
          <w:tab w:leader="none" w:pos="183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You also shall be eligible to receive annual bonus compensation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during your employment with CBS under this Agreement, determined and payable as follows:</w:t>
      </w:r>
    </w:p>
    <w:p>
      <w:pPr>
        <w:spacing w:after="0" w:line="174" w:lineRule="exact"/>
        <w:rPr>
          <w:rFonts w:ascii="Arial" w:cs="Arial" w:eastAsia="Arial" w:hAnsi="Arial"/>
          <w:sz w:val="22"/>
          <w:szCs w:val="22"/>
          <w:color w:val="auto"/>
        </w:rPr>
      </w:pPr>
    </w:p>
    <w:p>
      <w:pPr>
        <w:jc w:val="both"/>
        <w:ind w:left="660" w:firstLine="1293"/>
        <w:spacing w:after="0" w:line="253" w:lineRule="auto"/>
        <w:tabs>
          <w:tab w:leader="none" w:pos="2552"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Your Bonus for each calendar year during your employment with CBS under this Agreement will be determined in accordance with the guidelines of the CBS short-term incentive program (the “</w:t>
      </w:r>
      <w:r>
        <w:rPr>
          <w:rFonts w:ascii="Arial" w:cs="Arial" w:eastAsia="Arial" w:hAnsi="Arial"/>
          <w:sz w:val="22"/>
          <w:szCs w:val="22"/>
          <w:b w:val="1"/>
          <w:bCs w:val="1"/>
          <w:i w:val="1"/>
          <w:iCs w:val="1"/>
          <w:color w:val="auto"/>
        </w:rPr>
        <w:t>STIP</w:t>
      </w:r>
      <w:r>
        <w:rPr>
          <w:rFonts w:ascii="Arial" w:cs="Arial" w:eastAsia="Arial" w:hAnsi="Arial"/>
          <w:sz w:val="22"/>
          <w:szCs w:val="22"/>
          <w:color w:val="auto"/>
        </w:rPr>
        <w:t>”), as such guidelines may be amended from time to time without notice in the discretion of CBS.</w:t>
      </w:r>
    </w:p>
    <w:p>
      <w:pPr>
        <w:spacing w:after="0" w:line="185" w:lineRule="exact"/>
        <w:rPr>
          <w:rFonts w:ascii="Arial" w:cs="Arial" w:eastAsia="Arial" w:hAnsi="Arial"/>
          <w:sz w:val="22"/>
          <w:szCs w:val="22"/>
          <w:color w:val="auto"/>
        </w:rPr>
      </w:pPr>
    </w:p>
    <w:p>
      <w:pPr>
        <w:jc w:val="both"/>
        <w:ind w:left="660" w:firstLine="1293"/>
        <w:spacing w:after="0" w:line="253" w:lineRule="auto"/>
        <w:tabs>
          <w:tab w:leader="none" w:pos="2581"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Your target bonus (“</w:t>
      </w:r>
      <w:r>
        <w:rPr>
          <w:rFonts w:ascii="Arial" w:cs="Arial" w:eastAsia="Arial" w:hAnsi="Arial"/>
          <w:sz w:val="22"/>
          <w:szCs w:val="22"/>
          <w:b w:val="1"/>
          <w:bCs w:val="1"/>
          <w:i w:val="1"/>
          <w:iCs w:val="1"/>
          <w:color w:val="auto"/>
        </w:rPr>
        <w:t>Target Bonus</w:t>
      </w:r>
      <w:r>
        <w:rPr>
          <w:rFonts w:ascii="Arial" w:cs="Arial" w:eastAsia="Arial" w:hAnsi="Arial"/>
          <w:sz w:val="22"/>
          <w:szCs w:val="22"/>
          <w:color w:val="auto"/>
        </w:rPr>
        <w:t>”) for each calendar year during your employment with CBS under this Agreement shall be 100% of your Salary in effect on November 1st of such calendar year or the last day of your employment, if earlier.</w:t>
      </w:r>
    </w:p>
    <w:p>
      <w:pPr>
        <w:spacing w:after="0" w:line="185" w:lineRule="exact"/>
        <w:rPr>
          <w:rFonts w:ascii="Arial" w:cs="Arial" w:eastAsia="Arial" w:hAnsi="Arial"/>
          <w:sz w:val="22"/>
          <w:szCs w:val="22"/>
          <w:color w:val="auto"/>
        </w:rPr>
      </w:pPr>
    </w:p>
    <w:p>
      <w:pPr>
        <w:ind w:left="660" w:firstLine="1293"/>
        <w:spacing w:after="0" w:line="263" w:lineRule="auto"/>
        <w:tabs>
          <w:tab w:leader="none" w:pos="2578"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Your Bonus for any calendar year shall be payable, less applicable deductions and withholding taxes, between January 1st and March 15th of the following calendar year.</w:t>
      </w:r>
    </w:p>
    <w:p>
      <w:pPr>
        <w:spacing w:after="0" w:line="174" w:lineRule="exact"/>
        <w:rPr>
          <w:rFonts w:ascii="Arial" w:cs="Arial" w:eastAsia="Arial" w:hAnsi="Arial"/>
          <w:sz w:val="22"/>
          <w:szCs w:val="22"/>
          <w:color w:val="auto"/>
        </w:rPr>
      </w:pPr>
    </w:p>
    <w:p>
      <w:pPr>
        <w:jc w:val="both"/>
        <w:ind w:left="660" w:firstLine="1293"/>
        <w:spacing w:after="0" w:line="302" w:lineRule="auto"/>
        <w:tabs>
          <w:tab w:leader="none" w:pos="2668" w:val="left"/>
        </w:tabs>
        <w:numPr>
          <w:ilvl w:val="1"/>
          <w:numId w:val="91"/>
        </w:numPr>
        <w:rPr>
          <w:rFonts w:ascii="Arial" w:cs="Arial" w:eastAsia="Arial" w:hAnsi="Arial"/>
          <w:sz w:val="19"/>
          <w:szCs w:val="19"/>
          <w:color w:val="auto"/>
        </w:rPr>
      </w:pPr>
      <w:r>
        <w:rPr>
          <w:rFonts w:ascii="Arial" w:cs="Arial" w:eastAsia="Arial" w:hAnsi="Arial"/>
          <w:sz w:val="19"/>
          <w:szCs w:val="19"/>
          <w:color w:val="auto"/>
        </w:rPr>
        <w:t>Except as otherwise set forth herein, you must be employed on the last day of a calendar year to receive a Bonus for such calendar year. However, if your employment with CBS terminates prior to the last day of a calendar year, CBS may, in its discretion, choose to pay you a prorated Bonus, in which case such prorated Bonus will be determined in accordance with the guidelines of the STIP and payable in accordance with paragraph 3(b)(iii).</w:t>
      </w:r>
    </w:p>
    <w:p>
      <w:pPr>
        <w:spacing w:after="0" w:line="142" w:lineRule="exact"/>
        <w:rPr>
          <w:rFonts w:ascii="Arial" w:cs="Arial" w:eastAsia="Arial" w:hAnsi="Arial"/>
          <w:sz w:val="19"/>
          <w:szCs w:val="19"/>
          <w:color w:val="auto"/>
        </w:rPr>
      </w:pPr>
    </w:p>
    <w:p>
      <w:pPr>
        <w:jc w:val="both"/>
        <w:ind w:firstLine="1305"/>
        <w:spacing w:after="0" w:line="292" w:lineRule="auto"/>
        <w:tabs>
          <w:tab w:leader="none" w:pos="179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your employment under this Agreement, you shall be eligible to receive annual grants of long-term incentive compensation under the CBS Corporation 2009 Long-Term Incentive Plan (or any successor plan thereto) (the “</w:t>
      </w:r>
      <w:r>
        <w:rPr>
          <w:rFonts w:ascii="Arial" w:cs="Arial" w:eastAsia="Arial" w:hAnsi="Arial"/>
          <w:sz w:val="19"/>
          <w:szCs w:val="19"/>
          <w:b w:val="1"/>
          <w:bCs w:val="1"/>
          <w:i w:val="1"/>
          <w:iCs w:val="1"/>
          <w:color w:val="auto"/>
        </w:rPr>
        <w:t>LTIP</w:t>
      </w:r>
      <w:r>
        <w:rPr>
          <w:rFonts w:ascii="Arial" w:cs="Arial" w:eastAsia="Arial" w:hAnsi="Arial"/>
          <w:sz w:val="19"/>
          <w:szCs w:val="19"/>
          <w:color w:val="auto"/>
        </w:rPr>
        <w:t>”), as may be amended from time to time without notice in the discretion of CBS. Beginning with 2019, you shall have a target long-term incentive value equal to One Million One Hundred Thousand Dollars ($1,100,000). The precise amount, form (including equity and equity-based awards, which for purposes of this Agreement are collectively referred to as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and timing of any such long-term incentive award, if any, shall be determined in the discretion of the Compensation Committee of the CBS Board of Directors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w:t>
      </w:r>
    </w:p>
    <w:p>
      <w:pPr>
        <w:sectPr>
          <w:pgSz w:w="11900" w:h="16838" w:orient="portrait"/>
          <w:cols w:equalWidth="0" w:num="1">
            <w:col w:w="11420"/>
          </w:cols>
          <w:pgMar w:left="240" w:top="132"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56"/>
        <w:spacing w:after="0" w:line="261" w:lineRule="auto"/>
        <w:tabs>
          <w:tab w:leader="none" w:pos="1216"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You shall participate in all CBS vacation, medical, dental, life insurance, long-term disability insurance, retirement, long-term incentive and other benefit plans and programs applicable generally to other senior executives of CBS and its subsidiaries as CBS may have or establish from time to time and in which you would be eligible to participate under the terms of the plans, as may be amended from time to time. This provision shall not be construed to either require CBS to establish any welfare, compensation or long-term incentive plans, or to prevent the modification or termination of any plan once established, and no action or inaction with respect to any plan shall affect this Agreement.</w:t>
      </w:r>
    </w:p>
    <w:p>
      <w:pPr>
        <w:spacing w:after="0" w:line="180" w:lineRule="exact"/>
        <w:rPr>
          <w:rFonts w:ascii="Arial" w:cs="Arial" w:eastAsia="Arial" w:hAnsi="Arial"/>
          <w:sz w:val="21"/>
          <w:szCs w:val="21"/>
          <w:color w:val="auto"/>
        </w:rPr>
      </w:pPr>
    </w:p>
    <w:p>
      <w:pPr>
        <w:jc w:val="both"/>
        <w:ind w:firstLine="656"/>
        <w:spacing w:after="0" w:line="236" w:lineRule="auto"/>
        <w:tabs>
          <w:tab w:leader="none" w:pos="105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Business Expenses, Etc</w:t>
      </w:r>
      <w:r>
        <w:rPr>
          <w:rFonts w:ascii="Arial" w:cs="Arial" w:eastAsia="Arial" w:hAnsi="Arial"/>
          <w:sz w:val="22"/>
          <w:szCs w:val="22"/>
          <w:color w:val="auto"/>
        </w:rPr>
        <w:t>. During your employment under this Agreement, CBS shall reimburse you for such reasonable travel and other expenses incurred in the performance of your duties as are customarily reimbursed to CBS executives at comparable levels. Such travel and other expenses shall be reimbursed by CBS as soon as practicable in accordance with CBS’s established guidelines, as may be amended from time to time, but in no event later than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following the calendar year in which you incur the related expenses.</w:t>
      </w:r>
    </w:p>
    <w:p>
      <w:pPr>
        <w:spacing w:after="0" w:line="241" w:lineRule="exact"/>
        <w:rPr>
          <w:rFonts w:ascii="Arial" w:cs="Arial" w:eastAsia="Arial" w:hAnsi="Arial"/>
          <w:sz w:val="22"/>
          <w:szCs w:val="22"/>
          <w:color w:val="auto"/>
        </w:rPr>
      </w:pPr>
    </w:p>
    <w:p>
      <w:pPr>
        <w:ind w:left="1080" w:hanging="424"/>
        <w:spacing w:after="0"/>
        <w:tabs>
          <w:tab w:leader="none" w:pos="10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Etc</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7" w:lineRule="auto"/>
        <w:tabs>
          <w:tab w:leader="none" w:pos="1779"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You agree that your employment with CBS is on an exclusive basis and that, while you are employed by CBS or any of its subsidiaries, you will not engage in any other business activity which is in conflict with your duties and obligations (including your commitment of time) under this Agreement. You further agree that, during the Non-Compete Period (as defined below), you shall not directly or indirectly engage in or participate in (or negotiate or sign any agreement to engage in or participate in), whether as an owner, partner, stockholder, officer, employee, director, agent of or consultant for, any business which at such time is competitive with any business of CBS, or any of its subsidiaries, without the written consent of CBS;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provision shall not prevent you from investing as less than a one (1%) percent stockholder in the securities of any company listed on a national securities exchange or quoted on an automated quotation system. The Non-Compete Period shall cover the period during your employment with CBS and shall continue following the termination of your employment for any reason, other than the expiration of the Term, for the greater of: (i) twelve (12) months; or (ii) for so long as any payments are due to you pursuant to paragraph 7(b), 7(c) or 7(j) of this Agreement, unless you request and CBS accepts a written request pursuant to paragraph 6(j) of this Agreement, if any.</w:t>
      </w:r>
    </w:p>
    <w:p>
      <w:pPr>
        <w:spacing w:after="0" w:line="159" w:lineRule="exact"/>
        <w:rPr>
          <w:rFonts w:ascii="Arial" w:cs="Arial" w:eastAsia="Arial" w:hAnsi="Arial"/>
          <w:sz w:val="19"/>
          <w:szCs w:val="19"/>
          <w:color w:val="auto"/>
        </w:rPr>
      </w:pPr>
    </w:p>
    <w:p>
      <w:pPr>
        <w:jc w:val="both"/>
        <w:ind w:firstLine="1305"/>
        <w:spacing w:after="0" w:line="250" w:lineRule="auto"/>
        <w:tabs>
          <w:tab w:leader="none" w:pos="1805"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You agree that, during the Term and at any time thereafter, (i) you shall not use for any purpose other than the duly authorized business of CBS, or disclose to any third party, any information relating to CBS, or any of CBS’s affiliated companies which is non-public, confidential or proprietary to CBS or any of CBS’s affiliated companies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including any trade</w:t>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secret or any written (including in any electronic form) or oral communication incorporating Confidential Information in any way (except as may be required by law or in the performance of your duties under this Agreement consistent with CBS’s policies); and</w:t>
      </w:r>
    </w:p>
    <w:p>
      <w:pPr>
        <w:spacing w:after="0" w:line="1" w:lineRule="exact"/>
        <w:rPr>
          <w:sz w:val="20"/>
          <w:szCs w:val="20"/>
          <w:color w:val="auto"/>
        </w:rPr>
      </w:pPr>
    </w:p>
    <w:p>
      <w:pPr>
        <w:jc w:val="both"/>
        <w:ind w:firstLine="8"/>
        <w:spacing w:after="0" w:line="258" w:lineRule="auto"/>
        <w:tabs>
          <w:tab w:leader="none" w:pos="324" w:val="left"/>
        </w:tabs>
        <w:numPr>
          <w:ilvl w:val="0"/>
          <w:numId w:val="93"/>
        </w:numPr>
        <w:rPr>
          <w:rFonts w:ascii="Arial" w:cs="Arial" w:eastAsia="Arial" w:hAnsi="Arial"/>
          <w:sz w:val="21"/>
          <w:szCs w:val="21"/>
          <w:color w:val="auto"/>
        </w:rPr>
      </w:pPr>
      <w:r>
        <w:rPr>
          <w:rFonts w:ascii="Arial" w:cs="Arial" w:eastAsia="Arial" w:hAnsi="Arial"/>
          <w:sz w:val="21"/>
          <w:szCs w:val="21"/>
          <w:color w:val="auto"/>
        </w:rPr>
        <w:t>you will comply with any and all confidentiality obligations of CBS to a third party, whether arising under a written agreement or otherwise. Information shall not be deemed Confidential Information which (</w:t>
      </w:r>
      <w:r>
        <w:rPr>
          <w:rFonts w:ascii="Arial" w:cs="Arial" w:eastAsia="Arial" w:hAnsi="Arial"/>
          <w:sz w:val="21"/>
          <w:szCs w:val="21"/>
          <w:i w:val="1"/>
          <w:iCs w:val="1"/>
          <w:color w:val="auto"/>
        </w:rPr>
        <w:t>x</w:t>
      </w:r>
      <w:r>
        <w:rPr>
          <w:rFonts w:ascii="Arial" w:cs="Arial" w:eastAsia="Arial" w:hAnsi="Arial"/>
          <w:sz w:val="21"/>
          <w:szCs w:val="21"/>
          <w:color w:val="auto"/>
        </w:rPr>
        <w:t>) is or becomes generally available to the public other than as a result of a disclosure by you or at your direction or by any other person who directly or indirectly receives such information from you, or (</w:t>
      </w:r>
      <w:r>
        <w:rPr>
          <w:rFonts w:ascii="Arial" w:cs="Arial" w:eastAsia="Arial" w:hAnsi="Arial"/>
          <w:sz w:val="21"/>
          <w:szCs w:val="21"/>
          <w:i w:val="1"/>
          <w:iCs w:val="1"/>
          <w:color w:val="auto"/>
        </w:rPr>
        <w:t>y</w:t>
      </w:r>
      <w:r>
        <w:rPr>
          <w:rFonts w:ascii="Arial" w:cs="Arial" w:eastAsia="Arial" w:hAnsi="Arial"/>
          <w:sz w:val="21"/>
          <w:szCs w:val="21"/>
          <w:color w:val="auto"/>
        </w:rPr>
        <w:t>) is or becomes available to you on a non-confidential basis from a source which is entitled to disclose it to you. For purposes of this paragraph 6(b), the term “third party” shall be defined to mean any person other than CBS and its subsidiaries or any of their respective directors and senior officers.</w:t>
      </w:r>
    </w:p>
    <w:p>
      <w:pPr>
        <w:spacing w:after="0" w:line="180"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CBS.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w:t>
      </w:r>
    </w:p>
    <w:p>
      <w:pPr>
        <w:spacing w:after="0" w:line="4" w:lineRule="exact"/>
        <w:rPr>
          <w:sz w:val="20"/>
          <w:szCs w:val="20"/>
          <w:color w:val="auto"/>
        </w:rPr>
      </w:pPr>
    </w:p>
    <w:p>
      <w:pPr>
        <w:jc w:val="both"/>
        <w:ind w:firstLine="8"/>
        <w:spacing w:after="0" w:line="244" w:lineRule="auto"/>
        <w:tabs>
          <w:tab w:leader="none" w:pos="323"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95" w:lineRule="exact"/>
        <w:rPr>
          <w:rFonts w:ascii="Arial" w:cs="Arial" w:eastAsia="Arial" w:hAnsi="Arial"/>
          <w:sz w:val="22"/>
          <w:szCs w:val="22"/>
          <w:color w:val="auto"/>
        </w:rPr>
      </w:pPr>
    </w:p>
    <w:p>
      <w:pPr>
        <w:jc w:val="both"/>
        <w:ind w:firstLine="1305"/>
        <w:spacing w:after="0" w:line="253" w:lineRule="auto"/>
        <w:tabs>
          <w:tab w:leader="none" w:pos="1887"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No Solicitation, Etc</w:t>
      </w:r>
      <w:r>
        <w:rPr>
          <w:rFonts w:ascii="Arial" w:cs="Arial" w:eastAsia="Arial" w:hAnsi="Arial"/>
          <w:sz w:val="22"/>
          <w:szCs w:val="22"/>
          <w:color w:val="auto"/>
        </w:rPr>
        <w:t>. You agree that, while employed by CBS and for the greater of twelve (12) months thereafter or for so long as payments are due to you pursuant to paragraph 7(b), 7(c) or 7(j) of this Agreement, you shall not, directly or indirectly:</w:t>
      </w:r>
    </w:p>
    <w:p>
      <w:pPr>
        <w:spacing w:after="0" w:line="185" w:lineRule="exact"/>
        <w:rPr>
          <w:rFonts w:ascii="Arial" w:cs="Arial" w:eastAsia="Arial" w:hAnsi="Arial"/>
          <w:sz w:val="22"/>
          <w:szCs w:val="22"/>
          <w:color w:val="auto"/>
        </w:rPr>
      </w:pPr>
    </w:p>
    <w:p>
      <w:pPr>
        <w:ind w:left="660" w:right="20" w:firstLine="1293"/>
        <w:spacing w:after="0" w:line="263" w:lineRule="auto"/>
        <w:tabs>
          <w:tab w:leader="none" w:pos="2464" w:val="left"/>
        </w:tabs>
        <w:numPr>
          <w:ilvl w:val="2"/>
          <w:numId w:val="94"/>
        </w:numPr>
        <w:rPr>
          <w:rFonts w:ascii="Arial" w:cs="Arial" w:eastAsia="Arial" w:hAnsi="Arial"/>
          <w:sz w:val="22"/>
          <w:szCs w:val="22"/>
          <w:color w:val="auto"/>
        </w:rPr>
      </w:pPr>
      <w:r>
        <w:rPr>
          <w:rFonts w:ascii="Arial" w:cs="Arial" w:eastAsia="Arial" w:hAnsi="Arial"/>
          <w:sz w:val="22"/>
          <w:szCs w:val="22"/>
          <w:color w:val="auto"/>
        </w:rPr>
        <w:t>employ or solicit the employment of any person who is then or has been within twelve (12) months prior thereto, an employee of CBS or any of CBS’s affiliated companies; or</w:t>
      </w:r>
    </w:p>
    <w:p>
      <w:pPr>
        <w:spacing w:after="0" w:line="174" w:lineRule="exact"/>
        <w:rPr>
          <w:rFonts w:ascii="Arial" w:cs="Arial" w:eastAsia="Arial" w:hAnsi="Arial"/>
          <w:sz w:val="22"/>
          <w:szCs w:val="22"/>
          <w:color w:val="auto"/>
        </w:rPr>
      </w:pPr>
    </w:p>
    <w:p>
      <w:pPr>
        <w:jc w:val="both"/>
        <w:ind w:left="660" w:firstLine="1293"/>
        <w:spacing w:after="0" w:line="271" w:lineRule="auto"/>
        <w:tabs>
          <w:tab w:leader="none" w:pos="2439" w:val="left"/>
        </w:tabs>
        <w:numPr>
          <w:ilvl w:val="2"/>
          <w:numId w:val="94"/>
        </w:numPr>
        <w:rPr>
          <w:rFonts w:ascii="Arial" w:cs="Arial" w:eastAsia="Arial" w:hAnsi="Arial"/>
          <w:sz w:val="21"/>
          <w:szCs w:val="21"/>
          <w:color w:val="auto"/>
        </w:rPr>
      </w:pPr>
      <w:r>
        <w:rPr>
          <w:rFonts w:ascii="Arial" w:cs="Arial" w:eastAsia="Arial" w:hAnsi="Arial"/>
          <w:sz w:val="21"/>
          <w:szCs w:val="21"/>
          <w:color w:val="auto"/>
        </w:rPr>
        <w:t>do any act or thing to cause, bring about, or induce any interference with, disturbance to, or interruption of any of the then-existing relationships (whether or not such relationships have been reduced to formal contracts) of CBS or any of CBS’s affiliated companies with any customer, employee, consultant or supplier.</w:t>
      </w:r>
    </w:p>
    <w:p>
      <w:pPr>
        <w:sectPr>
          <w:pgSz w:w="11900" w:h="16838" w:orient="portrait"/>
          <w:cols w:equalWidth="0" w:num="1">
            <w:col w:w="11420"/>
          </w:cols>
          <w:pgMar w:left="240" w:top="132"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1305"/>
        <w:spacing w:after="0" w:line="285" w:lineRule="auto"/>
        <w:tabs>
          <w:tab w:leader="none" w:pos="1981"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CBS Ownership</w:t>
      </w:r>
      <w:r>
        <w:rPr>
          <w:rFonts w:ascii="Arial" w:cs="Arial" w:eastAsia="Arial" w:hAnsi="Arial"/>
          <w:sz w:val="19"/>
          <w:szCs w:val="19"/>
          <w:color w:val="auto"/>
        </w:rPr>
        <w:t>. The results and proceeds of your services under this Agreement, including, without limitation, any works of authorship resulting from your services during your employment with CBS and/or any of CBS’s affiliated companies and any works in progress resulting from such services, shall be works-made-for-hire and CBS shall be deemed the sole owner throughout the universe of any and all rights of every nature in such works, whether such rights are now known or hereafter defined or discovered, with the right to use the works in perpetuity in any manner CBS determines, in its discretion, without any further payment to you. If, for any reason, any of such results and proceeds are not legally deemed a work-made-for-hire and/or there are any rights in such results and proceeds which do not accrue to CBS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CBS shall have the right to use the work in perpetuity throughout the universe in any manner CBS determines, in its discretion, without any further payment to you. You shall, as may be requested by CBS from time to time, do any and all things which CBS may deem useful or desirable to establish or document CBS’s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CLO or his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CBS of any ownership rights to which CBS may be entitled by operation of law by virtue of being your employer.</w:t>
      </w:r>
    </w:p>
    <w:p>
      <w:pPr>
        <w:spacing w:after="0" w:line="164" w:lineRule="exact"/>
        <w:rPr>
          <w:rFonts w:ascii="Arial" w:cs="Arial" w:eastAsia="Arial" w:hAnsi="Arial"/>
          <w:sz w:val="19"/>
          <w:szCs w:val="19"/>
          <w:color w:val="auto"/>
        </w:rPr>
      </w:pPr>
    </w:p>
    <w:p>
      <w:pPr>
        <w:ind w:left="1760" w:hanging="455"/>
        <w:spacing w:after="0"/>
        <w:tabs>
          <w:tab w:leader="none" w:pos="17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90" w:lineRule="auto"/>
        <w:tabs>
          <w:tab w:leader="none" w:pos="2381" w:val="left"/>
        </w:tabs>
        <w:numPr>
          <w:ilvl w:val="1"/>
          <w:numId w:val="95"/>
        </w:numPr>
        <w:rPr>
          <w:rFonts w:ascii="Arial" w:cs="Arial" w:eastAsia="Arial" w:hAnsi="Arial"/>
          <w:sz w:val="19"/>
          <w:szCs w:val="19"/>
          <w:color w:val="auto"/>
        </w:rPr>
      </w:pPr>
      <w:r>
        <w:rPr>
          <w:rFonts w:ascii="Arial" w:cs="Arial" w:eastAsia="Arial" w:hAnsi="Arial"/>
          <w:sz w:val="19"/>
          <w:szCs w:val="19"/>
          <w:color w:val="auto"/>
        </w:rPr>
        <w:t>You agree that during the Term and for twelve (12) months thereafter or, if later, during the pendency of any litigation or other proceeding, (</w:t>
      </w:r>
      <w:r>
        <w:rPr>
          <w:rFonts w:ascii="Arial" w:cs="Arial" w:eastAsia="Arial" w:hAnsi="Arial"/>
          <w:sz w:val="19"/>
          <w:szCs w:val="19"/>
          <w:i w:val="1"/>
          <w:iCs w:val="1"/>
          <w:color w:val="auto"/>
        </w:rPr>
        <w:t>x</w:t>
      </w:r>
      <w:r>
        <w:rPr>
          <w:rFonts w:ascii="Arial" w:cs="Arial" w:eastAsia="Arial" w:hAnsi="Arial"/>
          <w:sz w:val="19"/>
          <w:szCs w:val="19"/>
          <w:color w:val="auto"/>
        </w:rPr>
        <w:t>)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CBS, or any of CBS’s affiliated companies, other than any litigation or other proceeding in which you are a party-in-opposition, without giving prior notice to CBS or its counsel; and (</w:t>
      </w:r>
      <w:r>
        <w:rPr>
          <w:rFonts w:ascii="Arial" w:cs="Arial" w:eastAsia="Arial" w:hAnsi="Arial"/>
          <w:sz w:val="19"/>
          <w:szCs w:val="19"/>
          <w:i w:val="1"/>
          <w:iCs w:val="1"/>
          <w:color w:val="auto"/>
        </w:rPr>
        <w:t>y</w:t>
      </w:r>
      <w:r>
        <w:rPr>
          <w:rFonts w:ascii="Arial" w:cs="Arial" w:eastAsia="Arial" w:hAnsi="Arial"/>
          <w:sz w:val="19"/>
          <w:szCs w:val="19"/>
          <w:color w:val="auto"/>
        </w:rPr>
        <w:t>) in the event that any other party attempts to obtain information or documents from you with respect to such matters, either through formal legal process such as a subpoena or by informal means such as interviews, you shall promptly notify CBS’s counsel before providing any information or documents.</w:t>
      </w:r>
    </w:p>
    <w:p>
      <w:pPr>
        <w:sectPr>
          <w:pgSz w:w="11900" w:h="16838" w:orient="portrait"/>
          <w:cols w:equalWidth="0" w:num="1">
            <w:col w:w="11420"/>
          </w:cols>
          <w:pgMar w:left="240" w:top="132"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firstLine="1293"/>
        <w:spacing w:after="0" w:line="288" w:lineRule="auto"/>
        <w:tabs>
          <w:tab w:leader="none" w:pos="2558" w:val="left"/>
        </w:tabs>
        <w:numPr>
          <w:ilvl w:val="1"/>
          <w:numId w:val="96"/>
        </w:numPr>
        <w:rPr>
          <w:rFonts w:ascii="Arial" w:cs="Arial" w:eastAsia="Arial" w:hAnsi="Arial"/>
          <w:sz w:val="19"/>
          <w:szCs w:val="19"/>
          <w:color w:val="auto"/>
        </w:rPr>
      </w:pPr>
      <w:r>
        <w:rPr>
          <w:rFonts w:ascii="Arial" w:cs="Arial" w:eastAsia="Arial" w:hAnsi="Arial"/>
          <w:sz w:val="19"/>
          <w:szCs w:val="19"/>
          <w:color w:val="auto"/>
        </w:rPr>
        <w:t>You agree to cooperate with CBS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CBS’s counsel, experts or consultants, providing truthful testimony in pretrial and trial or hearing proceedings and any travel related to your attendance at such proceedings. In the event that your cooperation is requested after the termination of your employment, CBS will (</w:t>
      </w:r>
      <w:r>
        <w:rPr>
          <w:rFonts w:ascii="Arial" w:cs="Arial" w:eastAsia="Arial" w:hAnsi="Arial"/>
          <w:sz w:val="19"/>
          <w:szCs w:val="19"/>
          <w:i w:val="1"/>
          <w:iCs w:val="1"/>
          <w:color w:val="auto"/>
        </w:rPr>
        <w:t>x</w:t>
      </w:r>
      <w:r>
        <w:rPr>
          <w:rFonts w:ascii="Arial" w:cs="Arial" w:eastAsia="Arial" w:hAnsi="Arial"/>
          <w:sz w:val="19"/>
          <w:szCs w:val="19"/>
          <w:color w:val="auto"/>
        </w:rPr>
        <w:t>) seek to minimize interruptions to your schedule to the extent consistent with its interests in the matter; and (</w:t>
      </w:r>
      <w:r>
        <w:rPr>
          <w:rFonts w:ascii="Arial" w:cs="Arial" w:eastAsia="Arial" w:hAnsi="Arial"/>
          <w:sz w:val="19"/>
          <w:szCs w:val="19"/>
          <w:i w:val="1"/>
          <w:iCs w:val="1"/>
          <w:color w:val="auto"/>
        </w:rPr>
        <w:t>y</w:t>
      </w:r>
      <w:r>
        <w:rPr>
          <w:rFonts w:ascii="Arial" w:cs="Arial" w:eastAsia="Arial" w:hAnsi="Arial"/>
          <w:sz w:val="19"/>
          <w:szCs w:val="19"/>
          <w:color w:val="auto"/>
        </w:rPr>
        <w:t>) reimburse you for all reasonable and appropriate out-of-pocket expenses actually incurred by you in connection with such cooperation upon reasonable substantiation of such expenses. Reimbursement shall be made within 60 calendar days following the date on which CBS receives appropriate documentation with respect to such expenses, but in no event shall payment be made later than December 31 of the calendar year following the calendar year in which you incur the related expenses.</w:t>
      </w:r>
    </w:p>
    <w:p>
      <w:pPr>
        <w:spacing w:after="0" w:line="154" w:lineRule="exact"/>
        <w:rPr>
          <w:rFonts w:ascii="Arial" w:cs="Arial" w:eastAsia="Arial" w:hAnsi="Arial"/>
          <w:sz w:val="19"/>
          <w:szCs w:val="19"/>
          <w:color w:val="auto"/>
        </w:rPr>
      </w:pPr>
    </w:p>
    <w:p>
      <w:pPr>
        <w:jc w:val="both"/>
        <w:ind w:left="660" w:firstLine="1293"/>
        <w:spacing w:after="0" w:line="263" w:lineRule="auto"/>
        <w:tabs>
          <w:tab w:leader="none" w:pos="2538" w:val="left"/>
        </w:tabs>
        <w:numPr>
          <w:ilvl w:val="1"/>
          <w:numId w:val="96"/>
        </w:numPr>
        <w:rPr>
          <w:rFonts w:ascii="Arial" w:cs="Arial" w:eastAsia="Arial" w:hAnsi="Arial"/>
          <w:sz w:val="21"/>
          <w:szCs w:val="21"/>
          <w:color w:val="auto"/>
        </w:rPr>
      </w:pPr>
      <w:r>
        <w:rPr>
          <w:rFonts w:ascii="Arial" w:cs="Arial" w:eastAsia="Arial" w:hAnsi="Arial"/>
          <w:sz w:val="21"/>
          <w:szCs w:val="21"/>
          <w:color w:val="auto"/>
        </w:rPr>
        <w:t>You agree that during the Term and at any time thereafter, to the fullest extent permitted by law, you will not testify voluntarily in any lawsuit or other proceeding which directly or indirectly involves CBS, or any of CBS’s affiliated companies, or which may create the impression that such testimony is endorsed or approved by CBS, or any of CBS’s affiliated companies, without advance notice (including the general nature of the testimony) to and, if such testimony is without subpoena or other compulsory legal process, the approval of the CLO.</w:t>
      </w:r>
    </w:p>
    <w:p>
      <w:pPr>
        <w:spacing w:after="0" w:line="175" w:lineRule="exact"/>
        <w:rPr>
          <w:rFonts w:ascii="Arial" w:cs="Arial" w:eastAsia="Arial" w:hAnsi="Arial"/>
          <w:sz w:val="21"/>
          <w:szCs w:val="21"/>
          <w:color w:val="auto"/>
        </w:rPr>
      </w:pPr>
    </w:p>
    <w:p>
      <w:pPr>
        <w:ind w:right="20" w:firstLine="1305"/>
        <w:spacing w:after="0" w:line="265" w:lineRule="auto"/>
        <w:tabs>
          <w:tab w:leader="none" w:pos="1783"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No Right to Give Interviews or Write Books, Articles, Etc</w:t>
      </w:r>
      <w:r>
        <w:rPr>
          <w:rFonts w:ascii="Arial" w:cs="Arial" w:eastAsia="Arial" w:hAnsi="Arial"/>
          <w:sz w:val="21"/>
          <w:szCs w:val="21"/>
          <w:color w:val="auto"/>
        </w:rPr>
        <w:t>. During the Term, except as authorized by CBS, you shall not (i) give any interviews or speeches, or (ii) prepare or assist any person or entity in the preparation of any books, articles, television or motion picture productions or other creations, in either case, concerning CBS, or any of CBS’s affiliated companies or any of their respective officers, directors, agents, employees, suppliers or customers.</w:t>
      </w:r>
    </w:p>
    <w:p>
      <w:pPr>
        <w:spacing w:after="0" w:line="216" w:lineRule="exact"/>
        <w:rPr>
          <w:rFonts w:ascii="Arial" w:cs="Arial" w:eastAsia="Arial" w:hAnsi="Arial"/>
          <w:sz w:val="21"/>
          <w:szCs w:val="21"/>
          <w:color w:val="auto"/>
        </w:rPr>
      </w:pPr>
    </w:p>
    <w:p>
      <w:pPr>
        <w:ind w:right="120" w:firstLine="1305"/>
        <w:spacing w:after="0" w:line="292" w:lineRule="auto"/>
        <w:tabs>
          <w:tab w:leader="none" w:pos="181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All documents, data, recordings, or other property, whether tangible or intangible, including all information stored in electronic form, obtained or prepared by or for you and utilized by you in the course of your employment with CBS shall remain the exclusive property of CBS. In the event of the termination of your employment for any reason, CBS reserves the right, to the extent permitted by law and in addition to any other remedy CBS may have, to deduct from any monies otherwise payable to you the following: (i) all amounts you may owe to CBS, or any of CBS’s subsidiaries at the time of or subsequent to the termination of your employment with CBS; and (ii) the value of the CBS property which you retain in your possession after the termination of your employment with CBS. In the event that</w:t>
      </w:r>
    </w:p>
    <w:p>
      <w:pPr>
        <w:sectPr>
          <w:pgSz w:w="11900" w:h="16838" w:orient="portrait"/>
          <w:cols w:equalWidth="0" w:num="1">
            <w:col w:w="11420"/>
          </w:cols>
          <w:pgMar w:left="240" w:top="132"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law of any state or other jurisdiction requires the consent of an employee for such deductions, this Agreement shall serve as such consent. Notwithstanding anything in this Section 6(g) to the contrary, CBS will not exercise such right to deduct from any monies otherwise payable to you that constitute “deferred compensation” within the meaning of Internal Revenue Code Section 409A (“</w:t>
      </w:r>
      <w:r>
        <w:rPr>
          <w:rFonts w:ascii="Arial" w:cs="Arial" w:eastAsia="Arial" w:hAnsi="Arial"/>
          <w:sz w:val="22"/>
          <w:szCs w:val="22"/>
          <w:b w:val="1"/>
          <w:bCs w:val="1"/>
          <w:i w:val="1"/>
          <w:iCs w:val="1"/>
          <w:color w:val="auto"/>
        </w:rPr>
        <w:t>Code Section 409A</w:t>
      </w:r>
      <w:r>
        <w:rPr>
          <w:rFonts w:ascii="Arial" w:cs="Arial" w:eastAsia="Arial" w:hAnsi="Arial"/>
          <w:sz w:val="22"/>
          <w:szCs w:val="22"/>
          <w:color w:val="auto"/>
        </w:rPr>
        <w:t>”).</w:t>
      </w:r>
    </w:p>
    <w:p>
      <w:pPr>
        <w:spacing w:after="0" w:line="188" w:lineRule="exact"/>
        <w:rPr>
          <w:sz w:val="20"/>
          <w:szCs w:val="20"/>
          <w:color w:val="auto"/>
        </w:rPr>
      </w:pPr>
    </w:p>
    <w:p>
      <w:pPr>
        <w:jc w:val="both"/>
        <w:ind w:firstLine="1305"/>
        <w:spacing w:after="0" w:line="246" w:lineRule="auto"/>
        <w:tabs>
          <w:tab w:leader="none" w:pos="181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Mutual Non-Disparagement</w:t>
      </w:r>
      <w:r>
        <w:rPr>
          <w:rFonts w:ascii="Arial" w:cs="Arial" w:eastAsia="Arial" w:hAnsi="Arial"/>
          <w:sz w:val="22"/>
          <w:szCs w:val="22"/>
          <w:color w:val="auto"/>
        </w:rPr>
        <w:t xml:space="preserve">. You and, to the extent set forth in the next sentence, CBS agree that each party shall not, during the Term and for one (1) year thereafter, criticize, ridicule or make any statement which disparages or is derogatory of the other party in any non-public communication with any customer, client or member of the investment community or media or in any public communication;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foregoing shall not apply to any bona fide news story unrelated to your employment with the Company (</w:t>
      </w:r>
      <w:r>
        <w:rPr>
          <w:rFonts w:ascii="Arial" w:cs="Arial" w:eastAsia="Arial" w:hAnsi="Arial"/>
          <w:sz w:val="22"/>
          <w:szCs w:val="22"/>
          <w:i w:val="1"/>
          <w:iCs w:val="1"/>
          <w:color w:val="auto"/>
        </w:rPr>
        <w:t>e.g.,</w:t>
      </w:r>
      <w:r>
        <w:rPr>
          <w:rFonts w:ascii="Arial" w:cs="Arial" w:eastAsia="Arial" w:hAnsi="Arial"/>
          <w:sz w:val="22"/>
          <w:szCs w:val="22"/>
          <w:color w:val="auto"/>
        </w:rPr>
        <w:t xml:space="preserve"> related to your running for public office, etc.). CBS’s obligations under the preceding sentence shall be limited to communications by its and CBS’s senior corporate executives having the rank of Senior Vice President or above (“</w:t>
      </w:r>
      <w:r>
        <w:rPr>
          <w:rFonts w:ascii="Arial" w:cs="Arial" w:eastAsia="Arial" w:hAnsi="Arial"/>
          <w:sz w:val="22"/>
          <w:szCs w:val="22"/>
          <w:b w:val="1"/>
          <w:bCs w:val="1"/>
          <w:i w:val="1"/>
          <w:iCs w:val="1"/>
          <w:color w:val="auto"/>
        </w:rPr>
        <w:t>Specified Executives</w:t>
      </w:r>
      <w:r>
        <w:rPr>
          <w:rFonts w:ascii="Arial" w:cs="Arial" w:eastAsia="Arial" w:hAnsi="Arial"/>
          <w:sz w:val="22"/>
          <w:szCs w:val="22"/>
          <w:color w:val="auto"/>
        </w:rPr>
        <w:t>”), and it is agreed and understood that any such communication by any Specified Executive (or by any executive at the behest of a Specified Executive) shall be deemed to be a breach of this paragraph 6(h) by CBS.</w:t>
      </w:r>
    </w:p>
    <w:p>
      <w:pPr>
        <w:spacing w:after="0" w:line="191" w:lineRule="exact"/>
        <w:rPr>
          <w:rFonts w:ascii="Arial" w:cs="Arial" w:eastAsia="Arial" w:hAnsi="Arial"/>
          <w:sz w:val="22"/>
          <w:szCs w:val="22"/>
          <w:color w:val="auto"/>
        </w:rPr>
      </w:pPr>
    </w:p>
    <w:p>
      <w:pPr>
        <w:jc w:val="both"/>
        <w:ind w:firstLine="1305"/>
        <w:spacing w:after="0" w:line="250" w:lineRule="auto"/>
        <w:tabs>
          <w:tab w:leader="none" w:pos="1811"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CBS has entered into this Agreement in order to obtain the benefit of your unique skills, talent, and experience. You acknowledge and agree that any violation of paragraphs 6(a) through (h) of this Agreement will result in irreparable damage to CBS and, accordingly, CBS may obtain injunctive and other equitable relief for any breach or threatened breach of such paragraphs, in addition to any other remedies available to CBS.</w:t>
      </w:r>
    </w:p>
    <w:p>
      <w:pPr>
        <w:spacing w:after="0" w:line="188" w:lineRule="exact"/>
        <w:rPr>
          <w:rFonts w:ascii="Arial" w:cs="Arial" w:eastAsia="Arial" w:hAnsi="Arial"/>
          <w:sz w:val="22"/>
          <w:szCs w:val="22"/>
          <w:color w:val="auto"/>
        </w:rPr>
      </w:pPr>
    </w:p>
    <w:p>
      <w:pPr>
        <w:jc w:val="both"/>
        <w:ind w:firstLine="1305"/>
        <w:spacing w:after="0" w:line="258" w:lineRule="auto"/>
        <w:tabs>
          <w:tab w:leader="none" w:pos="1757"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Survival; Modification of Terms</w:t>
      </w:r>
      <w:r>
        <w:rPr>
          <w:rFonts w:ascii="Arial" w:cs="Arial" w:eastAsia="Arial" w:hAnsi="Arial"/>
          <w:sz w:val="21"/>
          <w:szCs w:val="21"/>
          <w:color w:val="auto"/>
        </w:rPr>
        <w:t xml:space="preserve">. Your obligations under paragraphs 6(a) through (i) shall remain in full force and effect for the entire period provided therein notwithstanding the termination of your employment under this Agreement for any reason or the expiration of the Term;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your obligations under paragraph 6(a) (but not under any other provision of this Agreement) shall cease if: </w:t>
      </w:r>
      <w:r>
        <w:rPr>
          <w:rFonts w:ascii="Arial" w:cs="Arial" w:eastAsia="Arial" w:hAnsi="Arial"/>
          <w:sz w:val="21"/>
          <w:szCs w:val="21"/>
          <w:i w:val="1"/>
          <w:iCs w:val="1"/>
          <w:color w:val="auto"/>
        </w:rPr>
        <w:t>(x)</w:t>
      </w:r>
      <w:r>
        <w:rPr>
          <w:rFonts w:ascii="Arial" w:cs="Arial" w:eastAsia="Arial" w:hAnsi="Arial"/>
          <w:sz w:val="21"/>
          <w:szCs w:val="21"/>
          <w:color w:val="auto"/>
        </w:rPr>
        <w:t xml:space="preserve"> CBS terminates your employment without Cause or you resign with Good Reason; (</w:t>
      </w:r>
      <w:r>
        <w:rPr>
          <w:rFonts w:ascii="Arial" w:cs="Arial" w:eastAsia="Arial" w:hAnsi="Arial"/>
          <w:sz w:val="21"/>
          <w:szCs w:val="21"/>
          <w:i w:val="1"/>
          <w:iCs w:val="1"/>
          <w:color w:val="auto"/>
        </w:rPr>
        <w:t>y</w:t>
      </w:r>
      <w:r>
        <w:rPr>
          <w:rFonts w:ascii="Arial" w:cs="Arial" w:eastAsia="Arial" w:hAnsi="Arial"/>
          <w:sz w:val="21"/>
          <w:szCs w:val="21"/>
          <w:color w:val="auto"/>
        </w:rPr>
        <w:t xml:space="preserve">) you provide CBS a written notice indicating your desire to waive your right to receive, or to continue to receive, termination payments and benefits under paragraphs 7(b)(ii)(A) through (D), paragraphs 7(c)(ii)(A) through (D), or paragraphs 7(j)(ii)(A), (B), (C), (D) and (F), as applicable; and </w:t>
      </w:r>
      <w:r>
        <w:rPr>
          <w:rFonts w:ascii="Arial" w:cs="Arial" w:eastAsia="Arial" w:hAnsi="Arial"/>
          <w:sz w:val="21"/>
          <w:szCs w:val="21"/>
          <w:i w:val="1"/>
          <w:iCs w:val="1"/>
          <w:color w:val="auto"/>
        </w:rPr>
        <w:t>(z)</w:t>
      </w:r>
      <w:r>
        <w:rPr>
          <w:rFonts w:ascii="Arial" w:cs="Arial" w:eastAsia="Arial" w:hAnsi="Arial"/>
          <w:sz w:val="21"/>
          <w:szCs w:val="21"/>
          <w:color w:val="auto"/>
        </w:rPr>
        <w:t xml:space="preserve"> CBS notifies you that it has, in its discretion, accepted your request. You and CBS agree that the restrictions and remedies contained in paragraphs 6(a) through (i) are reasonable and that it is your intention and the intention of CBS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w:t>
      </w:r>
    </w:p>
    <w:p>
      <w:pPr>
        <w:sectPr>
          <w:pgSz w:w="11900" w:h="16838" w:orient="portrait"/>
          <w:cols w:equalWidth="0" w:num="1">
            <w:col w:w="11420"/>
          </w:cols>
          <w:pgMar w:left="240" w:top="132"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acknowledge that CBS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CBS and its affiliated companies.</w:t>
      </w:r>
    </w:p>
    <w:p>
      <w:pPr>
        <w:spacing w:after="0" w:line="188" w:lineRule="exact"/>
        <w:rPr>
          <w:sz w:val="20"/>
          <w:szCs w:val="20"/>
          <w:color w:val="auto"/>
        </w:rPr>
      </w:pPr>
    </w:p>
    <w:p>
      <w:pPr>
        <w:ind w:left="1040" w:hanging="384"/>
        <w:spacing w:after="0"/>
        <w:tabs>
          <w:tab w:leader="none" w:pos="104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86" w:lineRule="auto"/>
        <w:tabs>
          <w:tab w:leader="none" w:pos="2404" w:val="left"/>
        </w:tabs>
        <w:numPr>
          <w:ilvl w:val="2"/>
          <w:numId w:val="99"/>
        </w:numPr>
        <w:rPr>
          <w:rFonts w:ascii="Arial" w:cs="Arial" w:eastAsia="Arial" w:hAnsi="Arial"/>
          <w:sz w:val="19"/>
          <w:szCs w:val="19"/>
          <w:color w:val="auto"/>
        </w:rPr>
      </w:pPr>
      <w:r>
        <w:rPr>
          <w:rFonts w:ascii="Arial" w:cs="Arial" w:eastAsia="Arial" w:hAnsi="Arial"/>
          <w:sz w:val="19"/>
          <w:szCs w:val="19"/>
          <w:color w:val="auto"/>
        </w:rPr>
        <w:t>CBS may, at its option, terminate your employment under this Agreement for Cause at any time during the Term. 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(A) embezzlement, fraud or other conduct which would constitute a felony or a misdemeanor involving fraud or perjury; (B) willful unauthorized disclosure of Confidential Information; (C) your failure to obey a material lawful directive that is appropriate to your position from an executive(s) in your reporting line; (D) your failure to comply with the written policies of CBS, including the CBS Business Conduct Statement or successor conduct statement as they apply from time to time; (E) your material breach of this Agreement (including any representations herein); (F) during the Term, your terminating your employment without Good Reason other than due to your death or Disability or otherwise as expressly permitted by CBS; (G) your failure (except in the event of your Disability) or refusal to substantially perform your material obligations under this Agreement; (H) willful failure to cooperate with a bona fide internal investigation or investigation by regulatory or law enforcement authorities or the destruction or failure to preserve documents or other material reasonably likely to be relevant to such an investigation, or the inducement of others to fail to cooperate or to destroy or fail to produce documents or other material; or (I) conduct which is considered an offense involving moral turpitude under federal state or local laws, and which reasonably could be expected to (1) bring you to public disrepute, scandal or ridicule or reflect unfavorably upon any of CBS's businesses or those who conduct business with CBS and its affiliated entities, and (2) have a material negative effect on CBS.</w:t>
      </w:r>
    </w:p>
    <w:p>
      <w:pPr>
        <w:spacing w:after="0" w:line="16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Prior to terminating your employment for Cause, CBS will give you written notice of termination regarding any alleged act, failure or breach in reasonable detail and, except in the case of clause (A), (B) or (F) or any other conduct, failure, breach or refusal which, by its nature, CBS determines cannot reasonably be expected to be cured, the conduct required to cure. Except for conduct described in clause (A), (B) or (F) or any other conduct, failure, breach or refusal which, by its nature, CBS determines cannot reasonably be expected to be cured, you shall have ten (10) business days from the giving of such notice within</w:t>
      </w:r>
    </w:p>
    <w:p>
      <w:pPr>
        <w:sectPr>
          <w:pgSz w:w="11900" w:h="16838" w:orient="portrait"/>
          <w:cols w:equalWidth="0" w:num="1">
            <w:col w:w="11420"/>
          </w:cols>
          <w:pgMar w:left="240" w:top="132"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 xml:space="preserve">which to cure any conduct, failure, breach or refusal under clause (C), (D), (E), (F), (G), (H) or (I) of this paragraph 7(a)(i);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CBS reasonably expects irreparable injury from a delay of ten (10) business days, CBS may give you notice of such shorter period within which to cure as is reasonable under the circumstances.</w:t>
      </w:r>
    </w:p>
    <w:p>
      <w:pPr>
        <w:spacing w:after="0" w:line="168" w:lineRule="exact"/>
        <w:rPr>
          <w:sz w:val="20"/>
          <w:szCs w:val="20"/>
          <w:color w:val="auto"/>
        </w:rPr>
      </w:pPr>
    </w:p>
    <w:p>
      <w:pPr>
        <w:jc w:val="both"/>
        <w:ind w:left="660" w:firstLine="1293"/>
        <w:spacing w:after="0" w:line="253" w:lineRule="auto"/>
        <w:tabs>
          <w:tab w:leader="none" w:pos="24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7(a)(i) during the Term, CBS shall have no further obligations under this Agreement, including, without limitation, any obligation to pay Salary or Bonus or provide benefits, except to the extent required by applicable law.</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firstLine="1293"/>
        <w:spacing w:after="0" w:line="263" w:lineRule="auto"/>
        <w:tabs>
          <w:tab w:leader="none" w:pos="239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CBS may terminate your employment under this Agreement without Cause at any time during the Term by providing written notice of termination to you.</w:t>
      </w:r>
    </w:p>
    <w:p>
      <w:pPr>
        <w:spacing w:after="0" w:line="175" w:lineRule="exact"/>
        <w:rPr>
          <w:sz w:val="20"/>
          <w:szCs w:val="20"/>
          <w:color w:val="auto"/>
        </w:rPr>
      </w:pPr>
    </w:p>
    <w:p>
      <w:pPr>
        <w:jc w:val="both"/>
        <w:ind w:left="660" w:firstLine="1293"/>
        <w:spacing w:after="0" w:line="294" w:lineRule="auto"/>
        <w:tabs>
          <w:tab w:leader="none" w:pos="24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the event that your employment terminates under paragraph 7(b)(i) during the Term hereof, you shall thereafter receive, less applicable withholding taxes, (</w:t>
      </w:r>
      <w:r>
        <w:rPr>
          <w:rFonts w:ascii="Arial" w:cs="Arial" w:eastAsia="Arial" w:hAnsi="Arial"/>
          <w:sz w:val="19"/>
          <w:szCs w:val="19"/>
          <w:i w:val="1"/>
          <w:iCs w:val="1"/>
          <w:color w:val="auto"/>
        </w:rPr>
        <w:t>x</w:t>
      </w:r>
      <w:r>
        <w:rPr>
          <w:rFonts w:ascii="Arial" w:cs="Arial" w:eastAsia="Arial" w:hAnsi="Arial"/>
          <w:sz w:val="19"/>
          <w:szCs w:val="19"/>
          <w:color w:val="auto"/>
        </w:rPr>
        <w:t>) any unpaid Salary through and including the date of termination, any unpaid Bonus earned for the calendar year prior to the calendar year in which you are terminated, any business expense reimbursements incurred but not yet approved and/or paid and such other amounts as are required to be paid or provided by law (the “</w:t>
      </w:r>
      <w:r>
        <w:rPr>
          <w:rFonts w:ascii="Arial" w:cs="Arial" w:eastAsia="Arial" w:hAnsi="Arial"/>
          <w:sz w:val="19"/>
          <w:szCs w:val="19"/>
          <w:b w:val="1"/>
          <w:bCs w:val="1"/>
          <w:i w:val="1"/>
          <w:iCs w:val="1"/>
          <w:color w:val="auto"/>
        </w:rPr>
        <w:t>Accrued Obligations</w:t>
      </w:r>
      <w:r>
        <w:rPr>
          <w:rFonts w:ascii="Arial" w:cs="Arial" w:eastAsia="Arial" w:hAnsi="Arial"/>
          <w:sz w:val="19"/>
          <w:szCs w:val="19"/>
          <w:color w:val="auto"/>
        </w:rPr>
        <w:t>”), payable within thirty (30) days following your termination date, and (</w:t>
      </w:r>
      <w:r>
        <w:rPr>
          <w:rFonts w:ascii="Arial" w:cs="Arial" w:eastAsia="Arial" w:hAnsi="Arial"/>
          <w:sz w:val="19"/>
          <w:szCs w:val="19"/>
          <w:i w:val="1"/>
          <w:iCs w:val="1"/>
          <w:color w:val="auto"/>
        </w:rPr>
        <w:t>y</w:t>
      </w:r>
      <w:r>
        <w:rPr>
          <w:rFonts w:ascii="Arial" w:cs="Arial" w:eastAsia="Arial" w:hAnsi="Arial"/>
          <w:sz w:val="19"/>
          <w:szCs w:val="19"/>
          <w:color w:val="auto"/>
        </w:rPr>
        <w:t>) subject to your compliance with paragraph 7(i) hereunder, the following payments and benefits:</w:t>
      </w:r>
    </w:p>
    <w:p>
      <w:pPr>
        <w:spacing w:after="0" w:line="149" w:lineRule="exact"/>
        <w:rPr>
          <w:rFonts w:ascii="Arial" w:cs="Arial" w:eastAsia="Arial" w:hAnsi="Arial"/>
          <w:sz w:val="19"/>
          <w:szCs w:val="19"/>
          <w:color w:val="auto"/>
        </w:rPr>
      </w:pPr>
    </w:p>
    <w:p>
      <w:pPr>
        <w:jc w:val="both"/>
        <w:ind w:left="1960" w:firstLine="641"/>
        <w:spacing w:after="0" w:line="253" w:lineRule="auto"/>
        <w:tabs>
          <w:tab w:leader="none" w:pos="3205"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a severance amount equal to eighteen (18) months of your then current base Salary described in paragraph 3(a), payable in accordance with CBS’s then effective payroll practices (your “</w:t>
      </w:r>
      <w:r>
        <w:rPr>
          <w:rFonts w:ascii="Arial" w:cs="Arial" w:eastAsia="Arial" w:hAnsi="Arial"/>
          <w:sz w:val="22"/>
          <w:szCs w:val="22"/>
          <w:b w:val="1"/>
          <w:bCs w:val="1"/>
          <w:i w:val="1"/>
          <w:iCs w:val="1"/>
          <w:color w:val="auto"/>
        </w:rPr>
        <w:t>Regular Payroll Amount</w:t>
      </w:r>
      <w:r>
        <w:rPr>
          <w:rFonts w:ascii="Arial" w:cs="Arial" w:eastAsia="Arial" w:hAnsi="Arial"/>
          <w:sz w:val="22"/>
          <w:szCs w:val="22"/>
          <w:color w:val="auto"/>
        </w:rPr>
        <w:t>”) as follows:</w:t>
      </w:r>
    </w:p>
    <w:p>
      <w:pPr>
        <w:spacing w:after="0" w:line="185" w:lineRule="exact"/>
        <w:rPr>
          <w:rFonts w:ascii="Arial" w:cs="Arial" w:eastAsia="Arial" w:hAnsi="Arial"/>
          <w:sz w:val="22"/>
          <w:szCs w:val="22"/>
          <w:color w:val="auto"/>
        </w:rPr>
      </w:pPr>
    </w:p>
    <w:p>
      <w:pPr>
        <w:jc w:val="both"/>
        <w:ind w:left="1960" w:firstLine="1289"/>
        <w:spacing w:after="0" w:line="312" w:lineRule="auto"/>
        <w:tabs>
          <w:tab w:leader="none" w:pos="3791" w:val="left"/>
        </w:tabs>
        <w:numPr>
          <w:ilvl w:val="2"/>
          <w:numId w:val="102"/>
        </w:numPr>
        <w:rPr>
          <w:rFonts w:ascii="Arial" w:cs="Arial" w:eastAsia="Arial" w:hAnsi="Arial"/>
          <w:sz w:val="19"/>
          <w:szCs w:val="19"/>
          <w:color w:val="auto"/>
        </w:rPr>
      </w:pPr>
      <w:r>
        <w:rPr>
          <w:rFonts w:ascii="Arial" w:cs="Arial" w:eastAsia="Arial" w:hAnsi="Arial"/>
          <w:sz w:val="19"/>
          <w:szCs w:val="19"/>
          <w:color w:val="auto"/>
        </w:rPr>
        <w:t>beginning on the regular payroll date (“</w:t>
      </w:r>
      <w:r>
        <w:rPr>
          <w:rFonts w:ascii="Arial" w:cs="Arial" w:eastAsia="Arial" w:hAnsi="Arial"/>
          <w:sz w:val="19"/>
          <w:szCs w:val="19"/>
          <w:b w:val="1"/>
          <w:bCs w:val="1"/>
          <w:i w:val="1"/>
          <w:iCs w:val="1"/>
          <w:color w:val="auto"/>
        </w:rPr>
        <w:t>Regular Payroll Dates</w:t>
      </w:r>
      <w:r>
        <w:rPr>
          <w:rFonts w:ascii="Arial" w:cs="Arial" w:eastAsia="Arial" w:hAnsi="Arial"/>
          <w:sz w:val="19"/>
          <w:szCs w:val="19"/>
          <w:color w:val="auto"/>
        </w:rPr>
        <w:t>”) next following your termination date, you will receive your Regular Payroll Amount on the Regular Payroll Dates that occur on or before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w:t>
      </w:r>
    </w:p>
    <w:p>
      <w:pPr>
        <w:spacing w:after="0" w:line="33" w:lineRule="exact"/>
        <w:rPr>
          <w:sz w:val="20"/>
          <w:szCs w:val="20"/>
          <w:color w:val="auto"/>
        </w:rPr>
      </w:pPr>
    </w:p>
    <w:p>
      <w:pPr>
        <w:jc w:val="both"/>
        <w:ind w:left="1960" w:right="20" w:firstLine="1289"/>
        <w:spacing w:after="0" w:line="275" w:lineRule="auto"/>
        <w:tabs>
          <w:tab w:leader="none" w:pos="388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beginning with the first Regular Payroll Date after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 you will receive your Regular Payroll Amount, if any remains due, until you have received an amount equal to the maximum amount permitted to</w:t>
      </w:r>
    </w:p>
    <w:p>
      <w:pPr>
        <w:sectPr>
          <w:pgSz w:w="11900" w:h="16838" w:orient="portrait"/>
          <w:cols w:equalWidth="0" w:num="1">
            <w:col w:w="11420"/>
          </w:cols>
          <w:pgMar w:left="240" w:top="132"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47" w:lineRule="auto"/>
        <w:rPr>
          <w:sz w:val="20"/>
          <w:szCs w:val="20"/>
          <w:color w:val="auto"/>
        </w:rPr>
      </w:pPr>
      <w:r>
        <w:rPr>
          <w:rFonts w:ascii="Arial" w:cs="Arial" w:eastAsia="Arial" w:hAnsi="Arial"/>
          <w:sz w:val="22"/>
          <w:szCs w:val="22"/>
          <w:color w:val="auto"/>
        </w:rPr>
        <w:t>be paid pursuant to Treasury Regulation Section 1.409A-1(b)(9)(iii)(A) (</w:t>
      </w:r>
      <w:r>
        <w:rPr>
          <w:rFonts w:ascii="Arial" w:cs="Arial" w:eastAsia="Arial" w:hAnsi="Arial"/>
          <w:sz w:val="22"/>
          <w:szCs w:val="22"/>
          <w:i w:val="1"/>
          <w:iCs w:val="1"/>
          <w:color w:val="auto"/>
        </w:rPr>
        <w:t>i.e.,</w:t>
      </w:r>
      <w:r>
        <w:rPr>
          <w:rFonts w:ascii="Arial" w:cs="Arial" w:eastAsia="Arial" w:hAnsi="Arial"/>
          <w:sz w:val="22"/>
          <w:szCs w:val="22"/>
          <w:color w:val="auto"/>
        </w:rPr>
        <w:t xml:space="preserve"> the lesser of (</w:t>
      </w:r>
      <w:r>
        <w:rPr>
          <w:rFonts w:ascii="Arial" w:cs="Arial" w:eastAsia="Arial" w:hAnsi="Arial"/>
          <w:sz w:val="22"/>
          <w:szCs w:val="22"/>
          <w:i w:val="1"/>
          <w:iCs w:val="1"/>
          <w:color w:val="auto"/>
        </w:rPr>
        <w:t>x</w:t>
      </w:r>
      <w:r>
        <w:rPr>
          <w:rFonts w:ascii="Arial" w:cs="Arial" w:eastAsia="Arial" w:hAnsi="Arial"/>
          <w:sz w:val="22"/>
          <w:szCs w:val="22"/>
          <w:color w:val="auto"/>
        </w:rPr>
        <w:t>) two times your “annualized compensation” within the meaning of Code Section 409A or (</w:t>
      </w:r>
      <w:r>
        <w:rPr>
          <w:rFonts w:ascii="Arial" w:cs="Arial" w:eastAsia="Arial" w:hAnsi="Arial"/>
          <w:sz w:val="22"/>
          <w:szCs w:val="22"/>
          <w:i w:val="1"/>
          <w:iCs w:val="1"/>
          <w:color w:val="auto"/>
        </w:rPr>
        <w:t>y</w:t>
      </w:r>
      <w:r>
        <w:rPr>
          <w:rFonts w:ascii="Arial" w:cs="Arial" w:eastAsia="Arial" w:hAnsi="Arial"/>
          <w:sz w:val="22"/>
          <w:szCs w:val="22"/>
          <w:color w:val="auto"/>
        </w:rPr>
        <w:t>) two times the limit under Section 401(a)(17) of the Internal Revenue Code (the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xml:space="preserve">”) for the calendar year in which your termination occurs, which is $550,000 for 2018);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payment be made to you pursuant to this paragraph 7(b)(ii)(A)(II) later than December 31st of the second calendar year following your termination of employment; and</w:t>
      </w:r>
    </w:p>
    <w:p>
      <w:pPr>
        <w:spacing w:after="0" w:line="194" w:lineRule="exact"/>
        <w:rPr>
          <w:sz w:val="20"/>
          <w:szCs w:val="20"/>
          <w:color w:val="auto"/>
        </w:rPr>
      </w:pPr>
    </w:p>
    <w:p>
      <w:pPr>
        <w:jc w:val="both"/>
        <w:ind w:left="1960" w:firstLine="1289"/>
        <w:spacing w:after="0" w:line="271" w:lineRule="auto"/>
        <w:tabs>
          <w:tab w:leader="none" w:pos="38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balance of your Regular Payroll Amount, if any remains due, will be paid to you by payment of your Regular Payroll Amount on your Regular Payroll Dates beginning with the regular payroll date that follows the date of the last payment pursuant to paragraph 7(b)(ii)(A)(II);</w:t>
      </w:r>
    </w:p>
    <w:p>
      <w:pPr>
        <w:spacing w:after="0" w:line="168" w:lineRule="exact"/>
        <w:rPr>
          <w:sz w:val="20"/>
          <w:szCs w:val="20"/>
          <w:color w:val="auto"/>
        </w:rPr>
      </w:pPr>
    </w:p>
    <w:p>
      <w:pPr>
        <w:jc w:val="both"/>
        <w:ind w:left="196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you are a “specified employee” (within the meaning of Code Section 409A and determined pursuant to procedures adopted by CBS) at the time of your termination and any portion of your Regular Payroll Amount that would be paid to you during the six-month period following your termination of employment constitutes “deferred compensation” within the meaning of Code Section 409A, such portion shall be paid to you in a lump sum on the earlier of (</w:t>
      </w:r>
      <w:r>
        <w:rPr>
          <w:rFonts w:ascii="Arial" w:cs="Arial" w:eastAsia="Arial" w:hAnsi="Arial"/>
          <w:sz w:val="19"/>
          <w:szCs w:val="19"/>
          <w:i w:val="1"/>
          <w:iCs w:val="1"/>
          <w:color w:val="auto"/>
        </w:rPr>
        <w:t>x</w:t>
      </w:r>
      <w:r>
        <w:rPr>
          <w:rFonts w:ascii="Arial" w:cs="Arial" w:eastAsia="Arial" w:hAnsi="Arial"/>
          <w:sz w:val="19"/>
          <w:szCs w:val="19"/>
          <w:color w:val="auto"/>
        </w:rPr>
        <w:t>) the first business day of the seventh calendar month following the calendar month in which your termination of employment occurs or (</w:t>
      </w:r>
      <w:r>
        <w:rPr>
          <w:rFonts w:ascii="Arial" w:cs="Arial" w:eastAsia="Arial" w:hAnsi="Arial"/>
          <w:sz w:val="19"/>
          <w:szCs w:val="19"/>
          <w:i w:val="1"/>
          <w:iCs w:val="1"/>
          <w:color w:val="auto"/>
        </w:rPr>
        <w:t>y</w:t>
      </w:r>
      <w:r>
        <w:rPr>
          <w:rFonts w:ascii="Arial" w:cs="Arial" w:eastAsia="Arial" w:hAnsi="Arial"/>
          <w:sz w:val="19"/>
          <w:szCs w:val="19"/>
          <w:color w:val="auto"/>
        </w:rPr>
        <w:t>) your death (the applicable date, the “</w:t>
      </w:r>
      <w:r>
        <w:rPr>
          <w:rFonts w:ascii="Arial" w:cs="Arial" w:eastAsia="Arial" w:hAnsi="Arial"/>
          <w:sz w:val="19"/>
          <w:szCs w:val="19"/>
          <w:b w:val="1"/>
          <w:bCs w:val="1"/>
          <w:i w:val="1"/>
          <w:iCs w:val="1"/>
          <w:color w:val="auto"/>
        </w:rPr>
        <w:t>Permissible Payment Date</w:t>
      </w:r>
      <w:r>
        <w:rPr>
          <w:rFonts w:ascii="Arial" w:cs="Arial" w:eastAsia="Arial" w:hAnsi="Arial"/>
          <w:sz w:val="19"/>
          <w:szCs w:val="19"/>
          <w:color w:val="auto"/>
        </w:rPr>
        <w:t>”) rather than as described in paragraph 7(b)(ii)(A)(I), (II) or (III), as applicable, and any remaining Salary, if any, shall be paid to you or your estate, as applicable, by payment of your Regular Payroll Amount on your Regular Payroll Dates commencing with the Regular Payroll Date that follows the Permissible Payment Date. Each payment pursuant to this paragraph 7(b)(ii)(A) shall be regarded as a separate payment and not one of a series of payments for purposes of Code Section 409A.</w:t>
      </w:r>
    </w:p>
    <w:p>
      <w:pPr>
        <w:spacing w:after="0" w:line="200" w:lineRule="exact"/>
        <w:rPr>
          <w:sz w:val="20"/>
          <w:szCs w:val="20"/>
          <w:color w:val="auto"/>
        </w:rPr>
      </w:pPr>
    </w:p>
    <w:p>
      <w:pPr>
        <w:spacing w:after="0" w:line="221" w:lineRule="exact"/>
        <w:rPr>
          <w:sz w:val="20"/>
          <w:szCs w:val="20"/>
          <w:color w:val="auto"/>
        </w:rPr>
      </w:pPr>
    </w:p>
    <w:p>
      <w:pPr>
        <w:jc w:val="both"/>
        <w:ind w:left="1960" w:firstLine="641"/>
        <w:spacing w:after="0" w:line="302" w:lineRule="auto"/>
        <w:tabs>
          <w:tab w:leader="none" w:pos="3247"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an additional severance amount equal to 1.5 times your “</w:t>
      </w:r>
      <w:r>
        <w:rPr>
          <w:rFonts w:ascii="Arial" w:cs="Arial" w:eastAsia="Arial" w:hAnsi="Arial"/>
          <w:sz w:val="19"/>
          <w:szCs w:val="19"/>
          <w:b w:val="1"/>
          <w:bCs w:val="1"/>
          <w:i w:val="1"/>
          <w:iCs w:val="1"/>
          <w:color w:val="auto"/>
        </w:rPr>
        <w:t>Severance Bonus</w:t>
      </w:r>
      <w:r>
        <w:rPr>
          <w:rFonts w:ascii="Arial" w:cs="Arial" w:eastAsia="Arial" w:hAnsi="Arial"/>
          <w:sz w:val="19"/>
          <w:szCs w:val="19"/>
          <w:color w:val="auto"/>
        </w:rPr>
        <w:t xml:space="preserve">”. For purposes of this Agreement, “Severance Bonus” is defined as </w:t>
      </w:r>
      <w:r>
        <w:rPr>
          <w:rFonts w:ascii="Arial" w:cs="Arial" w:eastAsia="Arial" w:hAnsi="Arial"/>
          <w:sz w:val="19"/>
          <w:szCs w:val="19"/>
          <w:color w:val="2E2E2E"/>
        </w:rPr>
        <w:t>your Target Bonus in effect on the date of your</w:t>
      </w:r>
      <w:r>
        <w:rPr>
          <w:rFonts w:ascii="Arial" w:cs="Arial" w:eastAsia="Arial" w:hAnsi="Arial"/>
          <w:sz w:val="19"/>
          <w:szCs w:val="19"/>
          <w:color w:val="auto"/>
        </w:rPr>
        <w:t xml:space="preserve"> </w:t>
      </w:r>
      <w:r>
        <w:rPr>
          <w:rFonts w:ascii="Arial" w:cs="Arial" w:eastAsia="Arial" w:hAnsi="Arial"/>
          <w:sz w:val="19"/>
          <w:szCs w:val="19"/>
          <w:color w:val="2E2E2E"/>
        </w:rPr>
        <w:t xml:space="preserve">termination of employment, ignoring any reduction in your Target Bonus prior to such date that constituted Good Reason. The additional severance amount described above shall be </w:t>
      </w:r>
      <w:r>
        <w:rPr>
          <w:rFonts w:ascii="Arial" w:cs="Arial" w:eastAsia="Arial" w:hAnsi="Arial"/>
          <w:sz w:val="19"/>
          <w:szCs w:val="19"/>
          <w:color w:val="000000"/>
        </w:rPr>
        <w:t>determined and paid as follows:</w:t>
      </w:r>
    </w:p>
    <w:p>
      <w:pPr>
        <w:sectPr>
          <w:pgSz w:w="11900" w:h="16838" w:orient="portrait"/>
          <w:cols w:equalWidth="0" w:num="1">
            <w:col w:w="11420"/>
          </w:cols>
          <w:pgMar w:left="240" w:top="132" w:right="2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960" w:firstLine="1289"/>
        <w:spacing w:after="0" w:line="270" w:lineRule="auto"/>
        <w:tabs>
          <w:tab w:leader="none" w:pos="379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 amount equal to your Severance Bonus, prorated for the number of calendar days remaining in the calendar year in which your employment terminates,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w:t>
      </w:r>
      <w:r>
        <w:rPr>
          <w:rFonts w:ascii="Arial" w:cs="Arial" w:eastAsia="Arial" w:hAnsi="Arial"/>
          <w:sz w:val="19"/>
          <w:szCs w:val="19"/>
          <w:i w:val="1"/>
          <w:iCs w:val="1"/>
          <w:color w:val="auto"/>
        </w:rPr>
        <w:t>x</w:t>
      </w:r>
      <w:r>
        <w:rPr>
          <w:rFonts w:ascii="Arial" w:cs="Arial" w:eastAsia="Arial" w:hAnsi="Arial"/>
          <w:sz w:val="19"/>
          <w:szCs w:val="19"/>
          <w:color w:val="auto"/>
        </w:rPr>
        <w:t>) you are a “specified employee” (within the meaning of Code Section 409A and determined pursuant to procedures adopted by CBS) at the time of your termination, (</w:t>
      </w:r>
      <w:r>
        <w:rPr>
          <w:rFonts w:ascii="Arial" w:cs="Arial" w:eastAsia="Arial" w:hAnsi="Arial"/>
          <w:sz w:val="19"/>
          <w:szCs w:val="19"/>
          <w:i w:val="1"/>
          <w:iCs w:val="1"/>
          <w:color w:val="auto"/>
        </w:rPr>
        <w:t>y</w:t>
      </w:r>
      <w:r>
        <w:rPr>
          <w:rFonts w:ascii="Arial" w:cs="Arial" w:eastAsia="Arial" w:hAnsi="Arial"/>
          <w:sz w:val="19"/>
          <w:szCs w:val="19"/>
          <w:color w:val="auto"/>
        </w:rPr>
        <w:t>) your date of termination pursuant to paragraph 7(b)(i) occurs after June 30th of the calendar year, and (</w:t>
      </w:r>
      <w:r>
        <w:rPr>
          <w:rFonts w:ascii="Arial" w:cs="Arial" w:eastAsia="Arial" w:hAnsi="Arial"/>
          <w:sz w:val="19"/>
          <w:szCs w:val="19"/>
          <w:i w:val="1"/>
          <w:iCs w:val="1"/>
          <w:color w:val="auto"/>
        </w:rPr>
        <w:t>z</w:t>
      </w:r>
      <w:r>
        <w:rPr>
          <w:rFonts w:ascii="Arial" w:cs="Arial" w:eastAsia="Arial" w:hAnsi="Arial"/>
          <w:sz w:val="19"/>
          <w:szCs w:val="19"/>
          <w:color w:val="auto"/>
        </w:rPr>
        <w:t>) the prorated bonus described in this paragraph 7(b)(ii)(B)(I) is determined to constitute “deferred compensation” within the meaning of Code Section 409A, then such prorated bonus shall not be paid to you until the earlier of (a) the first business day of the seventh calendar month following the calendar month in which your termination of employment occurs or (b) your death. Each payment pursuant to this paragraph 7(b)(ii)(B)(I) shall be regarded as a separate payment and not one of a series of payments for purposes of Code Section 409A;</w:t>
      </w:r>
    </w:p>
    <w:p>
      <w:pPr>
        <w:spacing w:after="0" w:line="169" w:lineRule="exact"/>
        <w:rPr>
          <w:sz w:val="20"/>
          <w:szCs w:val="20"/>
          <w:color w:val="auto"/>
        </w:rPr>
      </w:pPr>
    </w:p>
    <w:p>
      <w:pPr>
        <w:jc w:val="both"/>
        <w:ind w:left="1960" w:firstLine="1289"/>
        <w:spacing w:after="0" w:line="206" w:lineRule="auto"/>
        <w:tabs>
          <w:tab w:leader="none" w:pos="378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 amount equal to your Severance Bonus, and payable between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and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second calendar year following the calendar year in which your employment terminates;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month anniversary of the date of your termination of employment (the “</w:t>
      </w:r>
      <w:r>
        <w:rPr>
          <w:rFonts w:ascii="Arial" w:cs="Arial" w:eastAsia="Arial" w:hAnsi="Arial"/>
          <w:sz w:val="22"/>
          <w:szCs w:val="22"/>
          <w:b w:val="1"/>
          <w:bCs w:val="1"/>
          <w:i w:val="1"/>
          <w:iCs w:val="1"/>
          <w:color w:val="auto"/>
        </w:rPr>
        <w:t>18</w:t>
      </w:r>
      <w:r>
        <w:rPr>
          <w:rFonts w:ascii="Arial" w:cs="Arial" w:eastAsia="Arial" w:hAnsi="Arial"/>
          <w:sz w:val="28"/>
          <w:szCs w:val="28"/>
          <w:b w:val="1"/>
          <w:bCs w:val="1"/>
          <w:i w:val="1"/>
          <w:iCs w:val="1"/>
          <w:color w:val="auto"/>
          <w:vertAlign w:val="superscript"/>
        </w:rPr>
        <w:t>th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Month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Anniversary</w:t>
      </w:r>
      <w:r>
        <w:rPr>
          <w:rFonts w:ascii="Arial" w:cs="Arial" w:eastAsia="Arial" w:hAnsi="Arial"/>
          <w:sz w:val="22"/>
          <w:szCs w:val="22"/>
          <w:color w:val="auto"/>
        </w:rPr>
        <w:t>”) occurs in the calendar year following the calendar year in which your employment terminates,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then the Severance Bonus shall be prorated for the number of calendar days in the calendar year following the calendar year in which your employment terminates that occur on or before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Month Anniversary; and</w:t>
      </w:r>
    </w:p>
    <w:p>
      <w:pPr>
        <w:spacing w:after="0" w:line="196" w:lineRule="exact"/>
        <w:rPr>
          <w:sz w:val="20"/>
          <w:szCs w:val="20"/>
          <w:color w:val="auto"/>
        </w:rPr>
      </w:pPr>
    </w:p>
    <w:p>
      <w:pPr>
        <w:jc w:val="both"/>
        <w:ind w:left="1960" w:firstLine="1289"/>
        <w:spacing w:after="0" w:line="283" w:lineRule="auto"/>
        <w:tabs>
          <w:tab w:leader="none" w:pos="402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if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occurs in the second calendar year following the calendar year in which your employment terminates, an amount equal to your Severance Bonus, prorated for the number of calendar days in the second calendar year following the calendar year in which your employment terminates that occur on or before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third calendar year following the calendar year in which your employment terminates.</w:t>
      </w:r>
    </w:p>
    <w:p>
      <w:pPr>
        <w:spacing w:after="0" w:line="59" w:lineRule="exact"/>
        <w:rPr>
          <w:rFonts w:ascii="Arial" w:cs="Arial" w:eastAsia="Arial" w:hAnsi="Arial"/>
          <w:sz w:val="19"/>
          <w:szCs w:val="19"/>
          <w:color w:val="auto"/>
        </w:rPr>
      </w:pPr>
    </w:p>
    <w:p>
      <w:pPr>
        <w:ind w:left="1960" w:right="20" w:firstLine="641"/>
        <w:spacing w:after="0" w:line="263" w:lineRule="auto"/>
        <w:tabs>
          <w:tab w:leader="none" w:pos="312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Health Benefits</w:t>
      </w:r>
      <w:r>
        <w:rPr>
          <w:rFonts w:ascii="Arial" w:cs="Arial" w:eastAsia="Arial" w:hAnsi="Arial"/>
          <w:sz w:val="22"/>
          <w:szCs w:val="22"/>
          <w:color w:val="auto"/>
        </w:rPr>
        <w:t>: medical and dental insurance coverage for you and your eligible dependents at no cost to you</w:t>
      </w:r>
    </w:p>
    <w:p>
      <w:pPr>
        <w:sectPr>
          <w:pgSz w:w="11900" w:h="16838" w:orient="portrait"/>
          <w:cols w:equalWidth="0" w:num="1">
            <w:col w:w="11420"/>
          </w:cols>
          <w:pgMar w:left="240" w:top="132"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7" w:lineRule="auto"/>
        <w:rPr>
          <w:sz w:val="20"/>
          <w:szCs w:val="20"/>
          <w:color w:val="auto"/>
        </w:rPr>
      </w:pPr>
      <w:r>
        <w:rPr>
          <w:rFonts w:ascii="Arial" w:cs="Arial" w:eastAsia="Arial" w:hAnsi="Arial"/>
          <w:sz w:val="19"/>
          <w:szCs w:val="19"/>
          <w:color w:val="auto"/>
        </w:rPr>
        <w:t xml:space="preserve">(except as hereafter described) pursuant to the CBS benefit plans in which you participated in at the time of your termination of employment (or, if different, other benefit plans generally available to senior level executives) for a period of eighteen (18) months following the termination date, or if earlier, the date on which you become eligible for medical or dental coverage as the case may be from a third party, which period of coverage shall be considered to run concurrently with the COBRA continuation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period that CBS provides you with this coverage, the cost of such coverage will be treated as taxable income to you and CBS may withhold taxes from your compensation for this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you may elect to continue your medical and dental insurance coverage under COBRA at your own expense for the balance, if any, of the period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CBS is unable to continue such benefits because of underwriting on the plan term or if such continuation would violate Code Section 105(h), CBS shall provide you with economically equivalent benefits determined on an after-tax basis (to the extent such benefit was non-taxable).</w:t>
      </w:r>
    </w:p>
    <w:p>
      <w:pPr>
        <w:spacing w:after="0" w:line="160" w:lineRule="exact"/>
        <w:rPr>
          <w:sz w:val="20"/>
          <w:szCs w:val="20"/>
          <w:color w:val="auto"/>
        </w:rPr>
      </w:pPr>
    </w:p>
    <w:p>
      <w:pPr>
        <w:jc w:val="both"/>
        <w:ind w:left="1960" w:firstLine="641"/>
        <w:spacing w:after="0" w:line="261" w:lineRule="auto"/>
        <w:tabs>
          <w:tab w:leader="none" w:pos="3165"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until the end of the Term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shall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4" w:lineRule="exact"/>
        <w:rPr>
          <w:rFonts w:ascii="Arial" w:cs="Arial" w:eastAsia="Arial" w:hAnsi="Arial"/>
          <w:sz w:val="22"/>
          <w:szCs w:val="22"/>
          <w:color w:val="auto"/>
        </w:rPr>
      </w:pPr>
    </w:p>
    <w:p>
      <w:pPr>
        <w:jc w:val="both"/>
        <w:ind w:left="1960" w:firstLine="1289"/>
        <w:spacing w:after="0" w:line="297" w:lineRule="auto"/>
        <w:tabs>
          <w:tab w:leader="none" w:pos="393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All stock option awards (or portions thereof) that have not vested and become exercisable on the date of such termination, but which would otherwise vest on or before the end of an eighteen (18) month period thereafter, shall accelerate and vest immediately on the Release Effective Date, and will continue to be exercisable until the greater of eighteen (18) months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ectPr>
          <w:pgSz w:w="11900" w:h="16838" w:orient="portrait"/>
          <w:cols w:equalWidth="0" w:num="1">
            <w:col w:w="11420"/>
          </w:cols>
          <w:pgMar w:left="240" w:top="132"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in no event shall the exercise period extend beyond their expiration date.</w:t>
      </w:r>
    </w:p>
    <w:p>
      <w:pPr>
        <w:spacing w:after="0" w:line="220" w:lineRule="exact"/>
        <w:rPr>
          <w:sz w:val="20"/>
          <w:szCs w:val="20"/>
          <w:color w:val="auto"/>
        </w:rPr>
      </w:pPr>
    </w:p>
    <w:p>
      <w:pPr>
        <w:jc w:val="both"/>
        <w:ind w:left="1960" w:firstLine="1289"/>
        <w:spacing w:after="0" w:line="302" w:lineRule="auto"/>
        <w:tabs>
          <w:tab w:leader="none" w:pos="382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All stock option awards (or portions thereof) that have previously vested and become exercisable by the date of such termination shall remain exercisable until the greater of eighteen (18) months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exercise period extend beyond their expiration date.</w:t>
      </w:r>
    </w:p>
    <w:p>
      <w:pPr>
        <w:spacing w:after="0" w:line="143" w:lineRule="exact"/>
        <w:rPr>
          <w:sz w:val="20"/>
          <w:szCs w:val="20"/>
          <w:color w:val="auto"/>
        </w:rPr>
      </w:pPr>
    </w:p>
    <w:p>
      <w:pPr>
        <w:jc w:val="both"/>
        <w:ind w:left="1960" w:firstLine="1289"/>
        <w:spacing w:after="0" w:line="285" w:lineRule="auto"/>
        <w:tabs>
          <w:tab w:leader="none" w:pos="397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All outstanding restricted share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awards and other equity awards (or portions thereof) that would otherwise vest on or before the end of an eighteen (18) month period following the termination date (the “</w:t>
      </w:r>
      <w:r>
        <w:rPr>
          <w:rFonts w:ascii="Arial" w:cs="Arial" w:eastAsia="Arial" w:hAnsi="Arial"/>
          <w:sz w:val="19"/>
          <w:szCs w:val="19"/>
          <w:b w:val="1"/>
          <w:bCs w:val="1"/>
          <w:i w:val="1"/>
          <w:iCs w:val="1"/>
          <w:color w:val="auto"/>
        </w:rPr>
        <w:t>Accelerated Share Awards</w:t>
      </w:r>
      <w:r>
        <w:rPr>
          <w:rFonts w:ascii="Arial" w:cs="Arial" w:eastAsia="Arial" w:hAnsi="Arial"/>
          <w:sz w:val="19"/>
          <w:szCs w:val="19"/>
          <w:color w:val="auto"/>
        </w:rPr>
        <w:t xml:space="preserve">”) shall accelerate and vest immediately on the Release Effective Date and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Accelerated Share Awards that remain subject to performance-based vesting conditions on your termination date, in the event and limited to the extent that compliance with the performance-based compensation exception is required in order to ensure the deductibility of any such Accelerated Share Award under Internal Revenue Code Section 162(m) (“</w:t>
      </w:r>
      <w:r>
        <w:rPr>
          <w:rFonts w:ascii="Arial" w:cs="Arial" w:eastAsia="Arial" w:hAnsi="Arial"/>
          <w:sz w:val="19"/>
          <w:szCs w:val="19"/>
          <w:b w:val="1"/>
          <w:bCs w:val="1"/>
          <w:i w:val="1"/>
          <w:iCs w:val="1"/>
          <w:color w:val="auto"/>
        </w:rPr>
        <w:t>Code Section 162(m)</w:t>
      </w:r>
      <w:r>
        <w:rPr>
          <w:rFonts w:ascii="Arial" w:cs="Arial" w:eastAsia="Arial" w:hAnsi="Arial"/>
          <w:sz w:val="19"/>
          <w:szCs w:val="19"/>
          <w:color w:val="auto"/>
        </w:rPr>
        <w:t xml:space="preserve">”), such Accelerated Share Award shall vest if and to the extent the Compensation Committee certifies that the performance goal relating to such Accelerated Share Award has been met, or, if later, the Release Effective Date, and shall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Accelerated Share Awards that remain subject to performance-based vesting conditions on your termination date, in the event and to the extent that compliance with the performance-based compensation exception under Code Section 162(m) is not required in order to ensure the deductibility of any such Accelerated Share Award, such Accelerated Share Award shall immediately vest (with an assumption that the performance goal was achieved at target level, if and to the extent applicable) on the Release Effective Date and be settled within ten (10) business days thereafter.</w:t>
      </w:r>
    </w:p>
    <w:p>
      <w:pPr>
        <w:spacing w:after="0" w:line="17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Notwithstanding the foregoing, to the extent that you are a “specified employee” (within the meaning of Code Section 409A and determined pursuant to procedures adopted by CBS) at the time of your termination and any portion of your Accelerated</w:t>
      </w:r>
    </w:p>
    <w:p>
      <w:pPr>
        <w:sectPr>
          <w:pgSz w:w="11900" w:h="16838" w:orient="portrait"/>
          <w:cols w:equalWidth="0" w:num="1">
            <w:col w:w="11420"/>
          </w:cols>
          <w:pgMar w:left="240" w:top="132"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Share Awards that would otherwise be settled during the six-month period following your termination of employment constitutes “deferred compensation” within the meaning of Code Section 409A, such portion shall instead be settled on the Permissible Payment Date.</w:t>
      </w:r>
    </w:p>
    <w:p>
      <w:pPr>
        <w:spacing w:after="0" w:line="186" w:lineRule="exact"/>
        <w:rPr>
          <w:sz w:val="20"/>
          <w:szCs w:val="20"/>
          <w:color w:val="auto"/>
        </w:rPr>
      </w:pPr>
    </w:p>
    <w:p>
      <w:pPr>
        <w:jc w:val="both"/>
        <w:ind w:left="660" w:firstLine="1293"/>
        <w:spacing w:after="0" w:line="257" w:lineRule="auto"/>
        <w:tabs>
          <w:tab w:leader="none" w:pos="2581" w:val="left"/>
        </w:tabs>
        <w:numPr>
          <w:ilvl w:val="1"/>
          <w:numId w:val="113"/>
        </w:numPr>
        <w:rPr>
          <w:rFonts w:ascii="Arial" w:cs="Arial" w:eastAsia="Arial" w:hAnsi="Arial"/>
          <w:sz w:val="21"/>
          <w:szCs w:val="21"/>
          <w:color w:val="auto"/>
        </w:rPr>
      </w:pPr>
      <w:r>
        <w:rPr>
          <w:rFonts w:ascii="Arial" w:cs="Arial" w:eastAsia="Arial" w:hAnsi="Arial"/>
          <w:sz w:val="21"/>
          <w:szCs w:val="21"/>
          <w:color w:val="auto"/>
        </w:rPr>
        <w:t xml:space="preserve">You shall be required to mitigate the amount of any payment provided for in paragraph 7(b)(ii) by seeking other employment, and the amount of such payments shall be reduced by any compensation earned by you from any source, including, without limitation, salary, sign-on or annual bonus compensation, consulting fees, and commission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mitigation shall not be required, and no reduction for other compensation shall be made, for earnings for services provided during the first twelve (12) months after the termination of your employment. For avoidance of doubt, you shall not be required to make any repayment to CBS of funds attributable to bonus payments or the vesting of equity awards during the first twelve (12) months after the termination of your employment. You agree to advise CBS immediately and in writing of any employment for which you are receiving such payments and to provide documentation as requested by CBS with respect to such employment. The payments provided for in paragraph 7(b)(ii) are in lieu of any other severance or income continuation or protection under any CBS plan, program or agreement that may now or hereafter exist (unless the terms of such plan, program or agreement expressly state that the payments and benefits payable thereunder are intended to be in addition to the type of payments and benefits described in paragraph 7(b)(ii) of this Agreement).</w:t>
      </w:r>
    </w:p>
    <w:p>
      <w:pPr>
        <w:spacing w:after="0" w:line="190" w:lineRule="exact"/>
        <w:rPr>
          <w:rFonts w:ascii="Arial" w:cs="Arial" w:eastAsia="Arial" w:hAnsi="Arial"/>
          <w:sz w:val="21"/>
          <w:szCs w:val="21"/>
          <w:color w:val="auto"/>
        </w:rPr>
      </w:pPr>
    </w:p>
    <w:p>
      <w:pPr>
        <w:ind w:left="1760" w:hanging="455"/>
        <w:spacing w:after="0"/>
        <w:tabs>
          <w:tab w:leader="none" w:pos="176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Resignation with Good Reason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58" w:lineRule="auto"/>
        <w:tabs>
          <w:tab w:leader="none" w:pos="2379" w:val="left"/>
        </w:tabs>
        <w:numPr>
          <w:ilvl w:val="1"/>
          <w:numId w:val="114"/>
        </w:numPr>
        <w:rPr>
          <w:rFonts w:ascii="Arial" w:cs="Arial" w:eastAsia="Arial" w:hAnsi="Arial"/>
          <w:sz w:val="21"/>
          <w:szCs w:val="21"/>
          <w:color w:val="auto"/>
        </w:rPr>
      </w:pPr>
      <w:r>
        <w:rPr>
          <w:rFonts w:ascii="Arial" w:cs="Arial" w:eastAsia="Arial" w:hAnsi="Arial"/>
          <w:sz w:val="21"/>
          <w:szCs w:val="21"/>
          <w:color w:val="auto"/>
        </w:rPr>
        <w:t xml:space="preserve">You may resign your employment under this Agreement with Good Reason at any time during the Term by written notice of termination to CBS given no more than thirty (30) days after the occurrence of the event constituting Good Reason. Such notice shall state an effective resignation date that is not earlier than thirty (30) business days and not later than sixty (60) days after the date it is given to CBS,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CBS may set an earlier effective date for your resignation at any time after receipt of your notice. For purposes of this Agreement (and any other agreement that expressly incorporates the definition of Good Reason hereunder), “</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shall mean the occurrence of any of the following without your consent (other than in connection with the termination or suspension of your employment or duties for Cause or in connection with physical and mental incapacity): (A) a material reduction in (1) your position, titles, offices, reporting relationships, authorities, duties or responsibilities from those in effect immediately prior to such reduction (including, with respect to your role as Executive Vice President, Deputy General Counsel and Secretary of CBS, any such reduction effected through any</w:t>
      </w:r>
    </w:p>
    <w:p>
      <w:pPr>
        <w:sectPr>
          <w:pgSz w:w="11900" w:h="16838" w:orient="portrait"/>
          <w:cols w:equalWidth="0" w:num="1">
            <w:col w:w="11420"/>
          </w:cols>
          <w:pgMar w:left="240" w:top="132" w:right="2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color w:val="auto"/>
        </w:rPr>
        <w:t>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an executive of a public company comparable to CBS) or (2) your base Salary or target compensation in effect immediately prior to such reduction, including your annual Target Bonus or long term incentive targets; (B) the assignment to you of duties or responsibilities that are materially inconsistent with your position, titles, offices or reporting relationships as they exist on the Effective Date or that materially impair your ability to function as Executive Vice President and General Counsel, CBS Broadcasting and/or Executive Vice President, Deputy General Counsel and Secretary of CBS; (C) the material breach by CBS of any of its obligations under this Agreement; or</w:t>
      </w:r>
    </w:p>
    <w:p>
      <w:pPr>
        <w:spacing w:after="0" w:line="2" w:lineRule="exact"/>
        <w:rPr>
          <w:sz w:val="20"/>
          <w:szCs w:val="20"/>
          <w:color w:val="auto"/>
        </w:rPr>
      </w:pPr>
    </w:p>
    <w:p>
      <w:pPr>
        <w:jc w:val="both"/>
        <w:ind w:left="660" w:hanging="4"/>
        <w:spacing w:after="0" w:line="256" w:lineRule="auto"/>
        <w:tabs>
          <w:tab w:leader="none" w:pos="103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requirement that you relocate outside of the metropolitan area in which you currently are principally employed to any metropolitan area other than New York. For the avoidance of doubt, as it pertains to your role as Executive Vice President, Deputy General Counsel and Secretary of CBS, a material reduction shall include and be deemed to have occurred with respect to clause (A)(1) above if either (</w:t>
      </w:r>
      <w:r>
        <w:rPr>
          <w:rFonts w:ascii="Arial" w:cs="Arial" w:eastAsia="Arial" w:hAnsi="Arial"/>
          <w:sz w:val="21"/>
          <w:szCs w:val="21"/>
          <w:i w:val="1"/>
          <w:iCs w:val="1"/>
          <w:color w:val="auto"/>
        </w:rPr>
        <w:t>x</w:t>
      </w:r>
      <w:r>
        <w:rPr>
          <w:rFonts w:ascii="Arial" w:cs="Arial" w:eastAsia="Arial" w:hAnsi="Arial"/>
          <w:sz w:val="21"/>
          <w:szCs w:val="21"/>
          <w:color w:val="auto"/>
        </w:rPr>
        <w:t>) you cease to be the most senior executive responsible for corporate, securities, real estate, executive compensation, employee benefits and Board of Directors matters who reports to the CLO (provided that no cessation will be deemed to have occurred if CBS has an ultimate parent company that is a public company and you are the most senior executive responsible for the corporate, securities, real estate, executive compensation, employee benefits and Board of Directors matters who reports to the most senior executive responsible for legal affairs of the ultimate public parent company) or (</w:t>
      </w:r>
      <w:r>
        <w:rPr>
          <w:rFonts w:ascii="Arial" w:cs="Arial" w:eastAsia="Arial" w:hAnsi="Arial"/>
          <w:sz w:val="21"/>
          <w:szCs w:val="21"/>
          <w:i w:val="1"/>
          <w:iCs w:val="1"/>
          <w:color w:val="auto"/>
        </w:rPr>
        <w:t>y</w:t>
      </w:r>
      <w:r>
        <w:rPr>
          <w:rFonts w:ascii="Arial" w:cs="Arial" w:eastAsia="Arial" w:hAnsi="Arial"/>
          <w:sz w:val="21"/>
          <w:szCs w:val="21"/>
          <w:color w:val="auto"/>
        </w:rPr>
        <w:t>) neither CBS nor its ultimate parent company (if any) is a public company).</w:t>
      </w:r>
    </w:p>
    <w:p>
      <w:pPr>
        <w:spacing w:after="0" w:line="188" w:lineRule="exact"/>
        <w:rPr>
          <w:sz w:val="20"/>
          <w:szCs w:val="20"/>
          <w:color w:val="auto"/>
        </w:rPr>
      </w:pPr>
    </w:p>
    <w:p>
      <w:pPr>
        <w:jc w:val="both"/>
        <w:ind w:left="660" w:firstLine="1297"/>
        <w:spacing w:after="0" w:line="312" w:lineRule="auto"/>
        <w:rPr>
          <w:sz w:val="20"/>
          <w:szCs w:val="20"/>
          <w:color w:val="auto"/>
        </w:rPr>
      </w:pPr>
      <w:r>
        <w:rPr>
          <w:rFonts w:ascii="Arial" w:cs="Arial" w:eastAsia="Arial" w:hAnsi="Arial"/>
          <w:sz w:val="19"/>
          <w:szCs w:val="19"/>
          <w:color w:val="auto"/>
        </w:rPr>
        <w:t>CBS shall have thirty (30) days from the receipt of your notice within which to cure and, in the event of such cure, your notice shall be of no further force or effect. If no cure is effected, your resignation will be effective as of the date specified in your written notice to CBS or such earlier effective date set by CBS following receipt of your notice.</w:t>
      </w:r>
    </w:p>
    <w:p>
      <w:pPr>
        <w:spacing w:after="0" w:line="134" w:lineRule="exact"/>
        <w:rPr>
          <w:sz w:val="20"/>
          <w:szCs w:val="20"/>
          <w:color w:val="auto"/>
        </w:rPr>
      </w:pPr>
    </w:p>
    <w:p>
      <w:pPr>
        <w:jc w:val="both"/>
        <w:ind w:left="660" w:firstLine="1293"/>
        <w:spacing w:after="0" w:line="250" w:lineRule="auto"/>
        <w:tabs>
          <w:tab w:leader="none" w:pos="257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7(c)(i) during the Term, you shall thereafter receive, less applicable withholding taxes, (</w:t>
      </w:r>
      <w:r>
        <w:rPr>
          <w:rFonts w:ascii="Arial" w:cs="Arial" w:eastAsia="Arial" w:hAnsi="Arial"/>
          <w:sz w:val="22"/>
          <w:szCs w:val="22"/>
          <w:i w:val="1"/>
          <w:iCs w:val="1"/>
          <w:color w:val="auto"/>
        </w:rPr>
        <w:t>x</w:t>
      </w:r>
      <w:r>
        <w:rPr>
          <w:rFonts w:ascii="Arial" w:cs="Arial" w:eastAsia="Arial" w:hAnsi="Arial"/>
          <w:sz w:val="22"/>
          <w:szCs w:val="22"/>
          <w:color w:val="auto"/>
        </w:rPr>
        <w:t>) the Accrued Obligations, payable within thirty (30) days following your termination date, and (</w:t>
      </w:r>
      <w:r>
        <w:rPr>
          <w:rFonts w:ascii="Arial" w:cs="Arial" w:eastAsia="Arial" w:hAnsi="Arial"/>
          <w:sz w:val="22"/>
          <w:szCs w:val="22"/>
          <w:i w:val="1"/>
          <w:iCs w:val="1"/>
          <w:color w:val="auto"/>
        </w:rPr>
        <w:t>y</w:t>
      </w:r>
      <w:r>
        <w:rPr>
          <w:rFonts w:ascii="Arial" w:cs="Arial" w:eastAsia="Arial" w:hAnsi="Arial"/>
          <w:sz w:val="22"/>
          <w:szCs w:val="22"/>
          <w:color w:val="auto"/>
        </w:rPr>
        <w:t>), subject to your compliance with paragraph 7(i) hereunder, the following payments and benefits:</w:t>
      </w:r>
    </w:p>
    <w:p>
      <w:pPr>
        <w:spacing w:after="0" w:line="188" w:lineRule="exact"/>
        <w:rPr>
          <w:rFonts w:ascii="Arial" w:cs="Arial" w:eastAsia="Arial" w:hAnsi="Arial"/>
          <w:sz w:val="22"/>
          <w:szCs w:val="22"/>
          <w:color w:val="auto"/>
        </w:rPr>
      </w:pPr>
    </w:p>
    <w:p>
      <w:pPr>
        <w:ind w:left="1960" w:firstLine="641"/>
        <w:spacing w:after="0" w:line="263" w:lineRule="auto"/>
        <w:tabs>
          <w:tab w:leader="none" w:pos="320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a severance amount equal to eighteen (18) months of your Regular Payroll Amount, payable as follows:</w:t>
      </w:r>
    </w:p>
    <w:p>
      <w:pPr>
        <w:sectPr>
          <w:pgSz w:w="11900" w:h="16838" w:orient="portrait"/>
          <w:cols w:equalWidth="0" w:num="1">
            <w:col w:w="11420"/>
          </w:cols>
          <w:pgMar w:left="240" w:top="132" w:right="2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960" w:firstLine="1289"/>
        <w:spacing w:after="0" w:line="228" w:lineRule="auto"/>
        <w:tabs>
          <w:tab w:leader="none" w:pos="371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beginning on the Regular Payroll Date following your termination date, you will receive your Regular Payroll Amount on the Regular Payroll Dates that occur on or before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calendar year in which your employment terminates;</w:t>
      </w:r>
    </w:p>
    <w:p>
      <w:pPr>
        <w:spacing w:after="0" w:line="189" w:lineRule="exact"/>
        <w:rPr>
          <w:sz w:val="20"/>
          <w:szCs w:val="20"/>
          <w:color w:val="auto"/>
        </w:rPr>
      </w:pPr>
    </w:p>
    <w:p>
      <w:pPr>
        <w:jc w:val="both"/>
        <w:ind w:left="1960" w:firstLine="1289"/>
        <w:spacing w:after="0" w:line="264" w:lineRule="auto"/>
        <w:tabs>
          <w:tab w:leader="none" w:pos="388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beginning with the first Regular Payroll Date after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calendar year in which your employment terminates, you will receive your Regular Payroll Amount, if any remains due, until you have received an amount equal to the maximum amount permitted to be paid pursuant to Treasury Regulation Section 1.409A-1(b)(9)(iii)(A) (</w:t>
      </w:r>
      <w:r>
        <w:rPr>
          <w:rFonts w:ascii="Arial" w:cs="Arial" w:eastAsia="Arial" w:hAnsi="Arial"/>
          <w:sz w:val="20"/>
          <w:szCs w:val="20"/>
          <w:i w:val="1"/>
          <w:iCs w:val="1"/>
          <w:color w:val="auto"/>
        </w:rPr>
        <w:t>i.e.,</w:t>
      </w:r>
      <w:r>
        <w:rPr>
          <w:rFonts w:ascii="Arial" w:cs="Arial" w:eastAsia="Arial" w:hAnsi="Arial"/>
          <w:sz w:val="20"/>
          <w:szCs w:val="20"/>
          <w:color w:val="auto"/>
        </w:rPr>
        <w:t xml:space="preserve"> the lesser of (</w:t>
      </w:r>
      <w:r>
        <w:rPr>
          <w:rFonts w:ascii="Arial" w:cs="Arial" w:eastAsia="Arial" w:hAnsi="Arial"/>
          <w:sz w:val="20"/>
          <w:szCs w:val="20"/>
          <w:i w:val="1"/>
          <w:iCs w:val="1"/>
          <w:color w:val="auto"/>
        </w:rPr>
        <w:t>x</w:t>
      </w:r>
      <w:r>
        <w:rPr>
          <w:rFonts w:ascii="Arial" w:cs="Arial" w:eastAsia="Arial" w:hAnsi="Arial"/>
          <w:sz w:val="20"/>
          <w:szCs w:val="20"/>
          <w:color w:val="auto"/>
        </w:rPr>
        <w:t>) two times your “annualized compensation” within the meaning of Code Section 409A or (</w:t>
      </w:r>
      <w:r>
        <w:rPr>
          <w:rFonts w:ascii="Arial" w:cs="Arial" w:eastAsia="Arial" w:hAnsi="Arial"/>
          <w:sz w:val="20"/>
          <w:szCs w:val="20"/>
          <w:i w:val="1"/>
          <w:iCs w:val="1"/>
          <w:color w:val="auto"/>
        </w:rPr>
        <w:t>y</w:t>
      </w:r>
      <w:r>
        <w:rPr>
          <w:rFonts w:ascii="Arial" w:cs="Arial" w:eastAsia="Arial" w:hAnsi="Arial"/>
          <w:sz w:val="20"/>
          <w:szCs w:val="20"/>
          <w:color w:val="auto"/>
        </w:rPr>
        <w:t xml:space="preserve">) two times the limit under Code Section 401(a)(17) for the calendar year in which your termination occurs, which is $550,000 for 2018);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payment be made to you pursuant to this paragraph 7(c)(ii)(A)(II) later than December 31st of the second calendar year following your termination of employment; and</w:t>
      </w:r>
    </w:p>
    <w:p>
      <w:pPr>
        <w:spacing w:after="0" w:line="180" w:lineRule="exact"/>
        <w:rPr>
          <w:sz w:val="20"/>
          <w:szCs w:val="20"/>
          <w:color w:val="auto"/>
        </w:rPr>
      </w:pPr>
    </w:p>
    <w:p>
      <w:pPr>
        <w:jc w:val="both"/>
        <w:ind w:left="1960" w:firstLine="1289"/>
        <w:spacing w:after="0" w:line="271" w:lineRule="auto"/>
        <w:tabs>
          <w:tab w:leader="none" w:pos="384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balance of your Regular Payroll Amount, if any remains due, will be paid to you by payment of your Regular Payroll Amount on your Regular Payroll Dates beginning with the regular payroll date that follows the date of the last payment pursuant to paragraph 7(c)(ii)(A)(II);</w:t>
      </w:r>
    </w:p>
    <w:p>
      <w:pPr>
        <w:spacing w:after="0" w:line="168" w:lineRule="exact"/>
        <w:rPr>
          <w:sz w:val="20"/>
          <w:szCs w:val="20"/>
          <w:color w:val="auto"/>
        </w:rPr>
      </w:pPr>
    </w:p>
    <w:p>
      <w:pPr>
        <w:jc w:val="both"/>
        <w:ind w:left="1960"/>
        <w:spacing w:after="0" w:line="25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you are a “specified employee” (within the meaning of Code Section 409A and determined pursuant to procedures adopted by CBS) at the time of your termination and any portion of your Regular Payroll Amount that would be paid to you during the six-month period following your termination of employment constitutes “deferred compensation” within the meaning of Code Section 409A, such portion shall be paid to on the Permissible Payment Date rather than as described in paragraph 7(c)(ii)(A)(I), (II) or (III), as applicable, and any remaining Salary, if any, shall be paid to you or your estate, as applicable, by payment of your Regular Payroll Amount on your Regular Payroll Dates commencing with the Regular Payroll Date that follows the Permissible Payment Date. Each payment pursuant to this paragraph 7(c)(ii)(A) shall be regarded as a separate payment and not one of a series of payments for purposes of Code Section 409A.</w:t>
      </w:r>
    </w:p>
    <w:p>
      <w:pPr>
        <w:sectPr>
          <w:pgSz w:w="11900" w:h="16838" w:orient="portrait"/>
          <w:cols w:equalWidth="0" w:num="1">
            <w:col w:w="11420"/>
          </w:cols>
          <w:pgMar w:left="240" w:top="132"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60" w:firstLine="641"/>
        <w:spacing w:after="0" w:line="263" w:lineRule="auto"/>
        <w:tabs>
          <w:tab w:leader="none" w:pos="316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Bonus</w:t>
      </w:r>
      <w:r>
        <w:rPr>
          <w:rFonts w:ascii="Arial" w:cs="Arial" w:eastAsia="Arial" w:hAnsi="Arial"/>
          <w:sz w:val="22"/>
          <w:szCs w:val="22"/>
          <w:color w:val="auto"/>
        </w:rPr>
        <w:t>: an additional severance amount equal to 1.5 times your Severance Bonus, determined and paid as follows:</w:t>
      </w:r>
    </w:p>
    <w:p>
      <w:pPr>
        <w:spacing w:after="0" w:line="174" w:lineRule="exact"/>
        <w:rPr>
          <w:rFonts w:ascii="Arial" w:cs="Arial" w:eastAsia="Arial" w:hAnsi="Arial"/>
          <w:sz w:val="22"/>
          <w:szCs w:val="22"/>
          <w:color w:val="auto"/>
        </w:rPr>
      </w:pPr>
    </w:p>
    <w:p>
      <w:pPr>
        <w:jc w:val="both"/>
        <w:ind w:left="1960" w:firstLine="1289"/>
        <w:spacing w:after="0" w:line="270" w:lineRule="auto"/>
        <w:tabs>
          <w:tab w:leader="none" w:pos="379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an amount equal to your Severance Bonus, prorated for the number of calendar days remaining in the calendar year in which your employment terminates,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w:t>
      </w:r>
      <w:r>
        <w:rPr>
          <w:rFonts w:ascii="Arial" w:cs="Arial" w:eastAsia="Arial" w:hAnsi="Arial"/>
          <w:sz w:val="19"/>
          <w:szCs w:val="19"/>
          <w:i w:val="1"/>
          <w:iCs w:val="1"/>
          <w:color w:val="auto"/>
        </w:rPr>
        <w:t>x</w:t>
      </w:r>
      <w:r>
        <w:rPr>
          <w:rFonts w:ascii="Arial" w:cs="Arial" w:eastAsia="Arial" w:hAnsi="Arial"/>
          <w:sz w:val="19"/>
          <w:szCs w:val="19"/>
          <w:color w:val="auto"/>
        </w:rPr>
        <w:t>) you are a “specified employee” (within the meaning of Code Section 409A and determined pursuant to procedures adopted by CBS) at the time of your termination, (</w:t>
      </w:r>
      <w:r>
        <w:rPr>
          <w:rFonts w:ascii="Arial" w:cs="Arial" w:eastAsia="Arial" w:hAnsi="Arial"/>
          <w:sz w:val="19"/>
          <w:szCs w:val="19"/>
          <w:i w:val="1"/>
          <w:iCs w:val="1"/>
          <w:color w:val="auto"/>
        </w:rPr>
        <w:t>y</w:t>
      </w:r>
      <w:r>
        <w:rPr>
          <w:rFonts w:ascii="Arial" w:cs="Arial" w:eastAsia="Arial" w:hAnsi="Arial"/>
          <w:sz w:val="19"/>
          <w:szCs w:val="19"/>
          <w:color w:val="auto"/>
        </w:rPr>
        <w:t>) your date of termination pursuant to paragraph 7(c)(i) occurs after June 30th of the calendar year, and (</w:t>
      </w:r>
      <w:r>
        <w:rPr>
          <w:rFonts w:ascii="Arial" w:cs="Arial" w:eastAsia="Arial" w:hAnsi="Arial"/>
          <w:sz w:val="19"/>
          <w:szCs w:val="19"/>
          <w:i w:val="1"/>
          <w:iCs w:val="1"/>
          <w:color w:val="auto"/>
        </w:rPr>
        <w:t>z</w:t>
      </w:r>
      <w:r>
        <w:rPr>
          <w:rFonts w:ascii="Arial" w:cs="Arial" w:eastAsia="Arial" w:hAnsi="Arial"/>
          <w:sz w:val="19"/>
          <w:szCs w:val="19"/>
          <w:color w:val="auto"/>
        </w:rPr>
        <w:t>) the prorated bonus described in this paragraph 7(c)(ii)(B)(I) is determined to constitute “deferred compensation” within the meaning of Code Section 409A, then such prorated bonus shall not be paid to you until the earlier of (a) the first business day of the seventh calendar month following the calendar month in which your termination of employment occurs or (b) your death. Each payment pursuant to this paragraph 7(c)(ii)(B)(I) shall be regarded as a separate payment and not one of a series of payments for purposes of Code Section 409A;</w:t>
      </w:r>
    </w:p>
    <w:p>
      <w:pPr>
        <w:spacing w:after="0" w:line="169" w:lineRule="exact"/>
        <w:rPr>
          <w:sz w:val="20"/>
          <w:szCs w:val="20"/>
          <w:color w:val="auto"/>
        </w:rPr>
      </w:pPr>
    </w:p>
    <w:p>
      <w:pPr>
        <w:jc w:val="both"/>
        <w:ind w:left="1960" w:firstLine="1289"/>
        <w:spacing w:after="0" w:line="230" w:lineRule="auto"/>
        <w:tabs>
          <w:tab w:leader="none" w:pos="378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 amount equal to your Severance Bonus, and payable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second calendar year following the calendar year in which your employment terminates;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18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Month Anniversary occurs in the calendar year following the calendar year in which your employment terminates, then the Severance Bonus shall be prorated for the number of calendar days in the calendar year following the calendar year in which your employment terminates that occur on or before the 18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Month Anniversary; and</w:t>
      </w:r>
    </w:p>
    <w:p>
      <w:pPr>
        <w:spacing w:after="0" w:line="103" w:lineRule="exact"/>
        <w:rPr>
          <w:sz w:val="20"/>
          <w:szCs w:val="20"/>
          <w:color w:val="auto"/>
        </w:rPr>
      </w:pPr>
    </w:p>
    <w:p>
      <w:pPr>
        <w:jc w:val="both"/>
        <w:ind w:left="1960" w:firstLine="1289"/>
        <w:spacing w:after="0" w:line="283" w:lineRule="auto"/>
        <w:tabs>
          <w:tab w:leader="none" w:pos="402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occurs in the second calendar year following the calendar year in which your employment terminates, an amount equal to your Severance Bonus, prorated for the number of calendar days in the second calendar year following the calendar year in which your employment terminates that occur on or before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third calendar year following the calendar year in which your employment terminates.</w:t>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960" w:firstLine="641"/>
        <w:spacing w:after="0" w:line="286" w:lineRule="auto"/>
        <w:tabs>
          <w:tab w:leader="none" w:pos="312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Health Benefits</w:t>
      </w:r>
      <w:r>
        <w:rPr>
          <w:rFonts w:ascii="Arial" w:cs="Arial" w:eastAsia="Arial" w:hAnsi="Arial"/>
          <w:sz w:val="19"/>
          <w:szCs w:val="19"/>
          <w:color w:val="auto"/>
        </w:rPr>
        <w:t xml:space="preserve">: medical and dental insurance coverage for you and your eligible dependents at no cost to you (except as hereafter described) pursuant to the CBS benefit plans in which you participated in at the time of your termination of employment (or, if different, other benefit plans generally available to senior level executives) for a period of eighteen (18) months following the termination date, or if earlier, the date on which you become eligible for medical or dental coverage as the case may be from a third party, which period of coverage shall be considered to run concurrently with the COBRA continuation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period that CBS provides you with this coverage, the cost of such coverage will be treated as taxable income to you and CBS may withhold taxes from your compensation for this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you may elect to continue your medical and dental insurance coverage under COBRA at your own expense for the balance, if any, of the period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CBS is unable to continue such benefits because of underwriting on the plan term or if such continuation would violate Code Section 105(h), CBS shall provide you with economically equivalent benefits determined on an after-tax basis (to the extent such benefit was non-taxable).</w:t>
      </w:r>
    </w:p>
    <w:p>
      <w:pPr>
        <w:spacing w:after="0" w:line="167" w:lineRule="exact"/>
        <w:rPr>
          <w:rFonts w:ascii="Arial" w:cs="Arial" w:eastAsia="Arial" w:hAnsi="Arial"/>
          <w:sz w:val="19"/>
          <w:szCs w:val="19"/>
          <w:color w:val="auto"/>
        </w:rPr>
      </w:pPr>
    </w:p>
    <w:p>
      <w:pPr>
        <w:jc w:val="both"/>
        <w:ind w:left="1960" w:firstLine="641"/>
        <w:spacing w:after="0" w:line="261" w:lineRule="auto"/>
        <w:tabs>
          <w:tab w:leader="none" w:pos="3165"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until the end of the Term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shall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4" w:lineRule="exact"/>
        <w:rPr>
          <w:rFonts w:ascii="Arial" w:cs="Arial" w:eastAsia="Arial" w:hAnsi="Arial"/>
          <w:sz w:val="22"/>
          <w:szCs w:val="22"/>
          <w:color w:val="auto"/>
        </w:rPr>
      </w:pPr>
    </w:p>
    <w:p>
      <w:pPr>
        <w:jc w:val="both"/>
        <w:ind w:left="1960" w:firstLine="1289"/>
        <w:spacing w:after="0" w:line="250" w:lineRule="auto"/>
        <w:tabs>
          <w:tab w:leader="none" w:pos="393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All stock option awards (or portions thereof) that have not vested and become exercisable on the date of such termination, but which would otherwise vest on or before the end of an eighteen (18) month period thereafter, shall accelerate and vest immediately on the Release Effective Date, and will continue to be exercisable until the greater of eighteen</w:t>
      </w:r>
    </w:p>
    <w:p>
      <w:pPr>
        <w:sectPr>
          <w:pgSz w:w="11900" w:h="16838" w:orient="portrait"/>
          <w:cols w:equalWidth="0" w:num="1">
            <w:col w:w="11420"/>
          </w:cols>
          <w:pgMar w:left="240" w:top="132" w:right="2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hanging="7"/>
        <w:spacing w:after="0" w:line="343" w:lineRule="auto"/>
        <w:tabs>
          <w:tab w:leader="none" w:pos="238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months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exercise period extend beyond their expiration date.</w:t>
      </w:r>
    </w:p>
    <w:p>
      <w:pPr>
        <w:spacing w:after="0" w:line="104" w:lineRule="exact"/>
        <w:rPr>
          <w:rFonts w:ascii="Arial" w:cs="Arial" w:eastAsia="Arial" w:hAnsi="Arial"/>
          <w:sz w:val="19"/>
          <w:szCs w:val="19"/>
          <w:color w:val="auto"/>
        </w:rPr>
      </w:pPr>
    </w:p>
    <w:p>
      <w:pPr>
        <w:jc w:val="both"/>
        <w:ind w:left="1960" w:firstLine="1289"/>
        <w:spacing w:after="0" w:line="302" w:lineRule="auto"/>
        <w:tabs>
          <w:tab w:leader="none" w:pos="382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All stock option awards (or portions thereof) that have previously vested and become exercisable by the date of such termination shall remain exercisable until the greater of eighteen (18) months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exercise period extend beyond their expiration date.</w:t>
      </w:r>
    </w:p>
    <w:p>
      <w:pPr>
        <w:spacing w:after="0" w:line="143" w:lineRule="exact"/>
        <w:rPr>
          <w:sz w:val="20"/>
          <w:szCs w:val="20"/>
          <w:color w:val="auto"/>
        </w:rPr>
      </w:pPr>
    </w:p>
    <w:p>
      <w:pPr>
        <w:jc w:val="both"/>
        <w:ind w:left="1960" w:firstLine="1289"/>
        <w:spacing w:after="0" w:line="286" w:lineRule="auto"/>
        <w:tabs>
          <w:tab w:leader="none" w:pos="39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All Accelerated Share Awards that would otherwise vest on or before the end of an eighteen (18) month period following the termination date shall accelerate and vest immediately on the Release Effective Date and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Accelerated Share Awards which remain subject to performance-based vesting conditions on your termination date, in the event and limited to the extent that compliance with the performance-based compensation exception is required in order to ensure the deductibility of any such Accelerated Share Award under Code Section 162(m), such Accelerated Share Award shall vest if and to the extent the Compensation Committee certifies that the performance goal relating to such Accelerated Share Award has been met, or, if later, the Release Effective Date, and shall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Accelerated Share Awards which remain subject to performance-based vesting conditions on your termination date, in the event and to the extent that compliance with the performance-based compensation exception under Code Section 162(m) is not required in order to ensure the deductibility of any such Accelerated Share Award, such Accelerated Share Award shall immediately vest (with an assumption that the performance goal was achieved at target level, if and to the extent applicable) on the Release Effective Date and be settled within ten (10) business days thereafter.</w:t>
      </w:r>
    </w:p>
    <w:p>
      <w:pPr>
        <w:spacing w:after="0" w:line="160" w:lineRule="exact"/>
        <w:rPr>
          <w:sz w:val="20"/>
          <w:szCs w:val="20"/>
          <w:color w:val="auto"/>
        </w:rPr>
      </w:pPr>
    </w:p>
    <w:p>
      <w:pPr>
        <w:jc w:val="both"/>
        <w:ind w:left="1960"/>
        <w:spacing w:after="0" w:line="312" w:lineRule="auto"/>
        <w:rPr>
          <w:sz w:val="20"/>
          <w:szCs w:val="20"/>
          <w:color w:val="auto"/>
        </w:rPr>
      </w:pPr>
      <w:r>
        <w:rPr>
          <w:rFonts w:ascii="Arial" w:cs="Arial" w:eastAsia="Arial" w:hAnsi="Arial"/>
          <w:sz w:val="19"/>
          <w:szCs w:val="19"/>
          <w:color w:val="auto"/>
        </w:rPr>
        <w:t>Notwithstanding the foregoing, to the extent that you are a “specified employee” (within the meaning of Code Section 409A and determined pursuant to procedures adopted by CBS) at the time of your termination and any portion of your Accelerated Share Awards that would otherwise be settled during the six-</w:t>
      </w:r>
    </w:p>
    <w:p>
      <w:pPr>
        <w:sectPr>
          <w:pgSz w:w="11900" w:h="16838" w:orient="portrait"/>
          <w:cols w:equalWidth="0" w:num="1">
            <w:col w:w="11420"/>
          </w:cols>
          <w:pgMar w:left="240" w:top="132"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spacing w:after="0" w:line="343" w:lineRule="auto"/>
        <w:rPr>
          <w:sz w:val="20"/>
          <w:szCs w:val="20"/>
          <w:color w:val="auto"/>
        </w:rPr>
      </w:pPr>
      <w:r>
        <w:rPr>
          <w:rFonts w:ascii="Arial" w:cs="Arial" w:eastAsia="Arial" w:hAnsi="Arial"/>
          <w:sz w:val="19"/>
          <w:szCs w:val="19"/>
          <w:color w:val="auto"/>
        </w:rPr>
        <w:t>month period following your termination of employment constitutes “deferred compensation” within the meaning of Code Section 409A, such portion shall instead be settled on the Permissible Payment Date.</w:t>
      </w:r>
    </w:p>
    <w:p>
      <w:pPr>
        <w:spacing w:after="0" w:line="105" w:lineRule="exact"/>
        <w:rPr>
          <w:sz w:val="20"/>
          <w:szCs w:val="20"/>
          <w:color w:val="auto"/>
        </w:rPr>
      </w:pPr>
    </w:p>
    <w:p>
      <w:pPr>
        <w:jc w:val="both"/>
        <w:ind w:left="660" w:firstLine="1293"/>
        <w:spacing w:after="0" w:line="257" w:lineRule="auto"/>
        <w:tabs>
          <w:tab w:leader="none" w:pos="2583"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You shall be required to mitigate the amount of any payment provided for in paragraph 7(c)(ii) by seeking other employment, and the amount of such payments shall be reduced by any compensation earned by you from any source, including, without limitation, salary, sign-on or annual bonus compensation, consulting fees, and commission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mitigation shall not be required, and no reduction for other compensation shall be made, for earnings for services provided during the first twelve (12) months after the termination of your employment. For avoidance of doubt, you shall not be required to make any repayment to CBS of funds attributable to bonus payments or the vesting of equity awards during the first twelve (12) months after the termination of your employment. You agree to advise CBS immediately and in writing of any employment for which you are receiving such payments and to provide documentation as requested by CBS with respect to such employment. The payments provided for in paragraph 7(c)(ii) are in lieu of any other severance or income continuation or protection under any CBS plan, program or agreement that may now or hereafter exist (unless the terms of such plan, program or agreement expressly state that the payments and benefits payable thereunder are intended to be in addition to the type of payments and benefits described in paragraph 7(c)(ii) of this Agreement).</w:t>
      </w:r>
    </w:p>
    <w:p>
      <w:pPr>
        <w:spacing w:after="0" w:line="190" w:lineRule="exact"/>
        <w:rPr>
          <w:rFonts w:ascii="Arial" w:cs="Arial" w:eastAsia="Arial" w:hAnsi="Arial"/>
          <w:sz w:val="21"/>
          <w:szCs w:val="21"/>
          <w:color w:val="auto"/>
        </w:rPr>
      </w:pPr>
    </w:p>
    <w:p>
      <w:pPr>
        <w:ind w:left="1780" w:hanging="475"/>
        <w:spacing w:after="0"/>
        <w:tabs>
          <w:tab w:leader="none" w:pos="178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360" w:hanging="407"/>
        <w:spacing w:after="0"/>
        <w:tabs>
          <w:tab w:leader="none" w:pos="236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Your employment with CBS shall terminate automatically upon your death.</w:t>
      </w:r>
    </w:p>
    <w:p>
      <w:pPr>
        <w:spacing w:after="0" w:line="260" w:lineRule="exact"/>
        <w:rPr>
          <w:sz w:val="20"/>
          <w:szCs w:val="20"/>
          <w:color w:val="auto"/>
        </w:rPr>
      </w:pPr>
    </w:p>
    <w:p>
      <w:pPr>
        <w:jc w:val="both"/>
        <w:ind w:left="660" w:firstLine="1293"/>
        <w:spacing w:after="0" w:line="252" w:lineRule="auto"/>
        <w:tabs>
          <w:tab w:leader="none" w:pos="262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In the event of your death prior to the end of the Term </w:t>
      </w:r>
      <w:r>
        <w:rPr>
          <w:rFonts w:ascii="Arial" w:cs="Arial" w:eastAsia="Arial" w:hAnsi="Arial"/>
          <w:sz w:val="17"/>
          <w:szCs w:val="17"/>
          <w:color w:val="auto"/>
        </w:rPr>
        <w:t>while</w:t>
      </w:r>
      <w:r>
        <w:rPr>
          <w:rFonts w:ascii="Arial" w:cs="Arial" w:eastAsia="Arial" w:hAnsi="Arial"/>
          <w:sz w:val="21"/>
          <w:szCs w:val="21"/>
          <w:color w:val="auto"/>
        </w:rPr>
        <w:t xml:space="preserve"> you are actively employed, your beneficiary or estate shall receive (</w:t>
      </w:r>
      <w:r>
        <w:rPr>
          <w:rFonts w:ascii="Arial" w:cs="Arial" w:eastAsia="Arial" w:hAnsi="Arial"/>
          <w:sz w:val="21"/>
          <w:szCs w:val="21"/>
          <w:i w:val="1"/>
          <w:iCs w:val="1"/>
          <w:color w:val="auto"/>
        </w:rPr>
        <w:t>x</w:t>
      </w:r>
      <w:r>
        <w:rPr>
          <w:rFonts w:ascii="Arial" w:cs="Arial" w:eastAsia="Arial" w:hAnsi="Arial"/>
          <w:sz w:val="21"/>
          <w:szCs w:val="21"/>
          <w:color w:val="auto"/>
        </w:rPr>
        <w:t>) the Accrued Obligations, payable, less applicable withholding taxes, within 30 days following your date of death; and (</w:t>
      </w:r>
      <w:r>
        <w:rPr>
          <w:rFonts w:ascii="Arial" w:cs="Arial" w:eastAsia="Arial" w:hAnsi="Arial"/>
          <w:sz w:val="21"/>
          <w:szCs w:val="21"/>
          <w:i w:val="1"/>
          <w:iCs w:val="1"/>
          <w:color w:val="auto"/>
        </w:rPr>
        <w:t>y</w:t>
      </w:r>
      <w:r>
        <w:rPr>
          <w:rFonts w:ascii="Arial" w:cs="Arial" w:eastAsia="Arial" w:hAnsi="Arial"/>
          <w:sz w:val="21"/>
          <w:szCs w:val="21"/>
          <w:color w:val="auto"/>
        </w:rPr>
        <w:t>) bonus compensation for the calendar year in which your death occurs, determined in accordance with the STIP (</w:t>
      </w:r>
      <w:r>
        <w:rPr>
          <w:rFonts w:ascii="Arial" w:cs="Arial" w:eastAsia="Arial" w:hAnsi="Arial"/>
          <w:sz w:val="21"/>
          <w:szCs w:val="21"/>
          <w:i w:val="1"/>
          <w:iCs w:val="1"/>
          <w:color w:val="auto"/>
        </w:rPr>
        <w:t>i.e.,</w:t>
      </w:r>
      <w:r>
        <w:rPr>
          <w:rFonts w:ascii="Arial" w:cs="Arial" w:eastAsia="Arial" w:hAnsi="Arial"/>
          <w:sz w:val="21"/>
          <w:szCs w:val="21"/>
          <w:color w:val="auto"/>
        </w:rPr>
        <w:t xml:space="preserve"> based upon CBS’s achievement of its goals and CBS’s good faith estimate of your achievement of your personal goals) and prorated for the portion of the calendar year through and including your date of death, payable, less applicable withholding taxes,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following calendar year. In addition, (A) all stock option and stock appreciation right awards (or portions thereof) that have not vested and become exercisable on the date of such termination shall accelerate and vest immediately, and shall continue to be exercisable by your beneficiary or estate until the greater of two years following your date of death or the period provided in accordance with the terms of the</w:t>
      </w:r>
    </w:p>
    <w:p>
      <w:pPr>
        <w:sectPr>
          <w:pgSz w:w="11900" w:h="16838" w:orient="portrait"/>
          <w:cols w:equalWidth="0" w:num="1">
            <w:col w:w="11420"/>
          </w:cols>
          <w:pgMar w:left="240" w:top="132"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 xml:space="preserve">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(B) all stock option and stock appreciation right awards (or portions thereof) that have previously vested and become exercisable by the date of your death shall remain exercisable by your beneficiary or estate until the greater of two years following your date of death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(C) all RSU awards and equity awards other than stock options and stock appreciation rights (or portions thereof) that remain subject only to time-based vesting conditions on the date of your death shall immediately vest and be settled within ten (10) business days thereafter; and (D) all RSU awards and equity awards other than stock options and stock appreciation rights (or portions thereof) that remain subject to performance-based vesting conditions on the date of your death shall vest if and to the extent the Compensation Committee certifies that a level of the performance goal(s) relating to such RSU or other equity award has been met following the end of the applicable performance period, and shall be settled within ten (10) business days thereafter.</w:t>
      </w:r>
    </w:p>
    <w:p>
      <w:pPr>
        <w:spacing w:after="0" w:line="155" w:lineRule="exact"/>
        <w:rPr>
          <w:sz w:val="20"/>
          <w:szCs w:val="20"/>
          <w:color w:val="auto"/>
        </w:rPr>
      </w:pPr>
    </w:p>
    <w:p>
      <w:pPr>
        <w:jc w:val="both"/>
        <w:ind w:left="660" w:firstLine="1293"/>
        <w:spacing w:after="0" w:line="246" w:lineRule="auto"/>
        <w:tabs>
          <w:tab w:leader="none" w:pos="2617"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In the event of your death after the termination of your employment (which termination occurred during the Term) under circumstances described in paragraph 7(b)(i) or 7(c)(i), but prior to payment of any amounts or benefits described in paragraphs 7(b)(ii)(A), (B), (C) and (E) or paragraphs 7(c)(ii)(A), (B), (C) and (E), as applicable,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paragraphs 7(b)(ii)(A), (B), (C) and (E) or paragraphs 7(c)(ii)(A), (B), (C) and (E), as applicable.</w:t>
      </w:r>
    </w:p>
    <w:p>
      <w:pPr>
        <w:spacing w:after="0" w:line="197" w:lineRule="exact"/>
        <w:rPr>
          <w:rFonts w:ascii="Arial" w:cs="Arial" w:eastAsia="Arial" w:hAnsi="Arial"/>
          <w:sz w:val="22"/>
          <w:szCs w:val="22"/>
          <w:color w:val="auto"/>
        </w:rPr>
      </w:pPr>
    </w:p>
    <w:p>
      <w:pPr>
        <w:ind w:left="1760" w:hanging="455"/>
        <w:spacing w:after="0"/>
        <w:tabs>
          <w:tab w:leader="none" w:pos="176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47" w:lineRule="auto"/>
        <w:tabs>
          <w:tab w:leader="none" w:pos="2468"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while employed during the Term, you become “disabled” within the meaning of such term under CBS’s Short-Term Disability (“</w:t>
      </w:r>
      <w:r>
        <w:rPr>
          <w:rFonts w:ascii="Arial" w:cs="Arial" w:eastAsia="Arial" w:hAnsi="Arial"/>
          <w:sz w:val="22"/>
          <w:szCs w:val="22"/>
          <w:b w:val="1"/>
          <w:bCs w:val="1"/>
          <w:i w:val="1"/>
          <w:iCs w:val="1"/>
          <w:color w:val="auto"/>
        </w:rPr>
        <w:t>STD</w:t>
      </w:r>
      <w:r>
        <w:rPr>
          <w:rFonts w:ascii="Arial" w:cs="Arial" w:eastAsia="Arial" w:hAnsi="Arial"/>
          <w:sz w:val="22"/>
          <w:szCs w:val="22"/>
          <w:color w:val="auto"/>
        </w:rPr>
        <w:t>”) program (such condition is referred to as a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or being “</w:t>
      </w:r>
      <w:r>
        <w:rPr>
          <w:rFonts w:ascii="Arial" w:cs="Arial" w:eastAsia="Arial" w:hAnsi="Arial"/>
          <w:sz w:val="22"/>
          <w:szCs w:val="22"/>
          <w:b w:val="1"/>
          <w:bCs w:val="1"/>
          <w:i w:val="1"/>
          <w:iCs w:val="1"/>
          <w:color w:val="auto"/>
        </w:rPr>
        <w:t>Disabled</w:t>
      </w:r>
      <w:r>
        <w:rPr>
          <w:rFonts w:ascii="Arial" w:cs="Arial" w:eastAsia="Arial" w:hAnsi="Arial"/>
          <w:sz w:val="22"/>
          <w:szCs w:val="22"/>
          <w:color w:val="auto"/>
        </w:rPr>
        <w:t>”), you will be considered to have experienced a termination of employment with CBS and its subsidiaries as of the date you first become eligible to receive benefits under CBS’s Long-Term Disability (“</w:t>
      </w:r>
      <w:r>
        <w:rPr>
          <w:rFonts w:ascii="Arial" w:cs="Arial" w:eastAsia="Arial" w:hAnsi="Arial"/>
          <w:sz w:val="22"/>
          <w:szCs w:val="22"/>
          <w:b w:val="1"/>
          <w:bCs w:val="1"/>
          <w:i w:val="1"/>
          <w:iCs w:val="1"/>
          <w:color w:val="auto"/>
        </w:rPr>
        <w:t>LTD</w:t>
      </w:r>
      <w:r>
        <w:rPr>
          <w:rFonts w:ascii="Arial" w:cs="Arial" w:eastAsia="Arial" w:hAnsi="Arial"/>
          <w:sz w:val="22"/>
          <w:szCs w:val="22"/>
          <w:color w:val="auto"/>
        </w:rPr>
        <w:t>”) program or, if you do not become eligible to receive benefits under CBS’s LTD program, you have not returned to work by the six (6) month anniversary of your Disability onset date.</w:t>
      </w:r>
    </w:p>
    <w:p>
      <w:pPr>
        <w:spacing w:after="0" w:line="194" w:lineRule="exact"/>
        <w:rPr>
          <w:sz w:val="20"/>
          <w:szCs w:val="20"/>
          <w:color w:val="auto"/>
        </w:rPr>
      </w:pPr>
    </w:p>
    <w:p>
      <w:pPr>
        <w:ind w:left="660" w:firstLine="1293"/>
        <w:spacing w:after="0" w:line="263" w:lineRule="auto"/>
        <w:tabs>
          <w:tab w:leader="none" w:pos="246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Except as provided in this paragraph 7(e)(ii), if you become Disabled while employed full-time during the Term, you will exclusively receive compensation under the STD program in accordance with its</w:t>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31" w:lineRule="auto"/>
        <w:rPr>
          <w:sz w:val="20"/>
          <w:szCs w:val="20"/>
          <w:color w:val="auto"/>
        </w:rPr>
      </w:pPr>
      <w:r>
        <w:rPr>
          <w:rFonts w:ascii="Arial" w:cs="Arial" w:eastAsia="Arial" w:hAnsi="Arial"/>
          <w:sz w:val="22"/>
          <w:szCs w:val="22"/>
          <w:color w:val="auto"/>
        </w:rPr>
        <w:t>terms and, thereafter, under the LTD program in accordance with its terms, provided you are eligible to receive LTD program benefits. Notwithstanding the foregoing, if you have not returned to work by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a calendar year during the Term, you will receive bonus compensation for the calendar year(s) during the Term in which you receive compensation under the STD program, determined as follows:</w:t>
      </w:r>
    </w:p>
    <w:p>
      <w:pPr>
        <w:spacing w:after="0" w:line="191" w:lineRule="exact"/>
        <w:rPr>
          <w:sz w:val="20"/>
          <w:szCs w:val="20"/>
          <w:color w:val="auto"/>
        </w:rPr>
      </w:pPr>
    </w:p>
    <w:p>
      <w:pPr>
        <w:jc w:val="both"/>
        <w:ind w:left="1960" w:firstLine="641"/>
        <w:spacing w:after="0" w:line="234" w:lineRule="auto"/>
        <w:tabs>
          <w:tab w:leader="none" w:pos="3187" w:val="left"/>
        </w:tabs>
        <w:numPr>
          <w:ilvl w:val="1"/>
          <w:numId w:val="132"/>
        </w:numPr>
        <w:rPr>
          <w:rFonts w:ascii="Arial" w:cs="Arial" w:eastAsia="Arial" w:hAnsi="Arial"/>
          <w:sz w:val="22"/>
          <w:szCs w:val="22"/>
          <w:color w:val="auto"/>
        </w:rPr>
      </w:pPr>
      <w:r>
        <w:rPr>
          <w:rFonts w:ascii="Arial" w:cs="Arial" w:eastAsia="Arial" w:hAnsi="Arial"/>
          <w:sz w:val="22"/>
          <w:szCs w:val="22"/>
          <w:color w:val="auto"/>
        </w:rPr>
        <w:t>for the portion of the calendar year from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until the date on which you first receive compensation under the STD program, bonus compensation shall be determined in accordance with the STIP (</w:t>
      </w:r>
      <w:r>
        <w:rPr>
          <w:rFonts w:ascii="Arial" w:cs="Arial" w:eastAsia="Arial" w:hAnsi="Arial"/>
          <w:sz w:val="22"/>
          <w:szCs w:val="22"/>
          <w:i w:val="1"/>
          <w:iCs w:val="1"/>
          <w:color w:val="auto"/>
        </w:rPr>
        <w:t>i.e.,</w:t>
      </w:r>
      <w:r>
        <w:rPr>
          <w:rFonts w:ascii="Arial" w:cs="Arial" w:eastAsia="Arial" w:hAnsi="Arial"/>
          <w:sz w:val="22"/>
          <w:szCs w:val="22"/>
          <w:color w:val="auto"/>
        </w:rPr>
        <w:t xml:space="preserve"> based upon CBS’s achievement of its goals and CBS’s good faith estimate of your achievement of your personal goals) and prorated for such period; and</w:t>
      </w:r>
    </w:p>
    <w:p>
      <w:pPr>
        <w:spacing w:after="0" w:line="199" w:lineRule="exact"/>
        <w:rPr>
          <w:rFonts w:ascii="Arial" w:cs="Arial" w:eastAsia="Arial" w:hAnsi="Arial"/>
          <w:sz w:val="22"/>
          <w:szCs w:val="22"/>
          <w:color w:val="auto"/>
        </w:rPr>
      </w:pPr>
    </w:p>
    <w:p>
      <w:pPr>
        <w:jc w:val="both"/>
        <w:ind w:left="1960" w:firstLine="641"/>
        <w:spacing w:after="0" w:line="253" w:lineRule="auto"/>
        <w:tabs>
          <w:tab w:leader="none" w:pos="313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for any subsequent portion of that calendar year and any portion of the following calendar year in which you receive compensation under the STD program, bonus compensation shall be in an amount equal to your Target Bonus and prorated for such period(s).</w:t>
      </w:r>
    </w:p>
    <w:p>
      <w:pPr>
        <w:spacing w:after="0" w:line="185" w:lineRule="exact"/>
        <w:rPr>
          <w:rFonts w:ascii="Arial" w:cs="Arial" w:eastAsia="Arial" w:hAnsi="Arial"/>
          <w:sz w:val="22"/>
          <w:szCs w:val="22"/>
          <w:color w:val="auto"/>
        </w:rPr>
      </w:pPr>
    </w:p>
    <w:p>
      <w:pPr>
        <w:jc w:val="both"/>
        <w:ind w:left="660" w:firstLine="1293"/>
        <w:spacing w:after="0" w:line="247" w:lineRule="auto"/>
        <w:tabs>
          <w:tab w:leader="none" w:pos="25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Bonus compensation under paragraph 7(e)(ii) shall be paid, less applicable deductions and withholding taxes,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calendar year following the calendar year to which such bonus compensation relates. You 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paragraph 7(e)(ii) are in lieu of Salary and Bonus under paragraphs 3(a) and (b).</w:t>
      </w:r>
    </w:p>
    <w:p>
      <w:pPr>
        <w:spacing w:after="0" w:line="193" w:lineRule="exact"/>
        <w:rPr>
          <w:rFonts w:ascii="Arial" w:cs="Arial" w:eastAsia="Arial" w:hAnsi="Arial"/>
          <w:sz w:val="21"/>
          <w:szCs w:val="21"/>
          <w:color w:val="auto"/>
        </w:rPr>
      </w:pPr>
    </w:p>
    <w:p>
      <w:pPr>
        <w:jc w:val="both"/>
        <w:ind w:left="660" w:firstLine="1293"/>
        <w:spacing w:after="0" w:line="289" w:lineRule="auto"/>
        <w:tabs>
          <w:tab w:leader="none" w:pos="249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addition, if your employment terminates due to your “Permanent Disability” (as defined in the LTIP or, if applicable, a predecessor plan to the LTIP), (i) all stock option and stock appreciation right awards (or portions thereof) that have not vested and become exercisable on your termination date shall accelerate and vest immediately, and shall continue to be exercisable until the greater of three years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(ii) all stock option and stock appreciation right awards (or portions thereof) that have previously vested and become exercisable by your termination date shall remain exercisable until the greater of three years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(iii) all RSU awards and equity awards other than stock</w:t>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options and stock appreciation rights (or portions thereof) that remain subject only to time-based vesting conditions on your termination date shall immediately vest and be settled within ten (10) business days thereafter; and (iv) all RSU awards and equity awards other than stock options and stock appreciation rights (or portions thereof) that remain subject to performance-based vesting conditions on your termination date shall vest if and to the extent the Compensation Committee certifies that a level of the performance goal(s) relating to such RSU or other equity award has been met following the end of the applicable performance period, and shall be settled within ten (10) business days thereafter. Notwithstanding the foregoing, if you are a “specified employee” (within the meaning of Code Section 409A and determined pursuant to procedures adopted by CBS) at the time of your termination due to Permanent Disability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w:t>
      </w:r>
    </w:p>
    <w:p>
      <w:pPr>
        <w:spacing w:after="0" w:line="183" w:lineRule="exact"/>
        <w:rPr>
          <w:sz w:val="20"/>
          <w:szCs w:val="20"/>
          <w:color w:val="auto"/>
        </w:rPr>
      </w:pPr>
    </w:p>
    <w:p>
      <w:pPr>
        <w:ind w:left="1760" w:hanging="442"/>
        <w:spacing w:after="0"/>
        <w:tabs>
          <w:tab w:leader="none" w:pos="17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Renewal Notice / Non-Renewal.</w:t>
      </w:r>
    </w:p>
    <w:p>
      <w:pPr>
        <w:spacing w:after="0" w:line="219" w:lineRule="exact"/>
        <w:rPr>
          <w:rFonts w:ascii="Arial" w:cs="Arial" w:eastAsia="Arial" w:hAnsi="Arial"/>
          <w:sz w:val="22"/>
          <w:szCs w:val="22"/>
          <w:color w:val="auto"/>
        </w:rPr>
      </w:pPr>
    </w:p>
    <w:p>
      <w:pPr>
        <w:jc w:val="both"/>
        <w:ind w:left="660" w:firstLine="1306"/>
        <w:spacing w:after="0" w:line="248" w:lineRule="auto"/>
        <w:tabs>
          <w:tab w:leader="none" w:pos="2519"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CBS shall notify you six (6) months prior to the expiration of the Term in writing if it intends to continue your employment beyond the expiration of the Term. If you are notified that CBS does intend to continue your employment, then you agree that you shall negotiate exclusively with CBS for the first ninety (90) days following such notification. Nothing contained herein shall obligate CBS to provide an increase to your compensation hereunder upon such renewal.</w:t>
      </w:r>
    </w:p>
    <w:p>
      <w:pPr>
        <w:spacing w:after="0" w:line="192" w:lineRule="exact"/>
        <w:rPr>
          <w:rFonts w:ascii="Arial" w:cs="Arial" w:eastAsia="Arial" w:hAnsi="Arial"/>
          <w:sz w:val="22"/>
          <w:szCs w:val="22"/>
          <w:color w:val="auto"/>
        </w:rPr>
      </w:pPr>
    </w:p>
    <w:p>
      <w:pPr>
        <w:jc w:val="both"/>
        <w:ind w:left="660" w:firstLine="1306"/>
        <w:spacing w:after="0" w:line="258" w:lineRule="auto"/>
        <w:tabs>
          <w:tab w:leader="none" w:pos="2542" w:val="left"/>
        </w:tabs>
        <w:numPr>
          <w:ilvl w:val="1"/>
          <w:numId w:val="134"/>
        </w:numPr>
        <w:rPr>
          <w:rFonts w:ascii="Arial" w:cs="Arial" w:eastAsia="Arial" w:hAnsi="Arial"/>
          <w:sz w:val="21"/>
          <w:szCs w:val="21"/>
          <w:color w:val="auto"/>
        </w:rPr>
      </w:pPr>
      <w:r>
        <w:rPr>
          <w:rFonts w:ascii="Arial" w:cs="Arial" w:eastAsia="Arial" w:hAnsi="Arial"/>
          <w:sz w:val="21"/>
          <w:szCs w:val="21"/>
          <w:color w:val="auto"/>
        </w:rPr>
        <w:t>If you remain employed hereunder on the Expiration Date, but have not entered into a new written contractual relationship with CBS (or any of CBS’s subsidiaries), and CBS advises you on or before the Expiration Date that it does not wish to continue your employment on an “at will” basis beyond the expiration of the Term, your employment shall automatically terminate on the day next following the Expiration Date, and</w:t>
      </w:r>
      <w:r>
        <w:rPr>
          <w:rFonts w:ascii="Arial" w:cs="Arial" w:eastAsia="Arial" w:hAnsi="Arial"/>
          <w:sz w:val="21"/>
          <w:szCs w:val="21"/>
          <w:b w:val="1"/>
          <w:bCs w:val="1"/>
          <w:color w:val="auto"/>
        </w:rPr>
        <w:t>,</w:t>
      </w:r>
      <w:r>
        <w:rPr>
          <w:rFonts w:ascii="Arial" w:cs="Arial" w:eastAsia="Arial" w:hAnsi="Arial"/>
          <w:sz w:val="21"/>
          <w:szCs w:val="21"/>
          <w:color w:val="auto"/>
        </w:rPr>
        <w:t xml:space="preserve"> except as set forth in paragraph 7(j)(v) of this Agreement, you shall be eligible to receive severance under the then current CBS severance policy applicable to executives at your level, subject to the terms of such severance policy (including your execution of a release in favor of CBS pursuant to such policy to the extent required), but in no event shall such severance amount equal to less than twelve (12) months of your then current Salary, and you shall be eligible for a STIP bonus for the final year of the Term, in an amount that shall be determined in a manner consistent with, and at the same time as, STIP bonuses are determined for CBS executives generally. If, at the conclusion of the twelve (12) month period described in the preceding sentence, you have not secured comparable employment, then you shall remain eligible to continue to receive additional payments up to the amount</w:t>
      </w:r>
    </w:p>
    <w:p>
      <w:pPr>
        <w:sectPr>
          <w:pgSz w:w="11900" w:h="16838" w:orient="portrait"/>
          <w:cols w:equalWidth="0" w:num="1">
            <w:col w:w="11420"/>
          </w:cols>
          <w:pgMar w:left="240" w:top="132"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of your base salary, for a period of up to an additional six (6) months, subject to offset by any other income you earn from employment of any nature.</w:t>
      </w:r>
    </w:p>
    <w:p>
      <w:pPr>
        <w:spacing w:after="0" w:line="175" w:lineRule="exact"/>
        <w:rPr>
          <w:sz w:val="20"/>
          <w:szCs w:val="20"/>
          <w:color w:val="auto"/>
        </w:rPr>
      </w:pPr>
    </w:p>
    <w:p>
      <w:pPr>
        <w:jc w:val="both"/>
        <w:ind w:left="660" w:firstLine="1306"/>
        <w:spacing w:after="0" w:line="286" w:lineRule="auto"/>
        <w:tabs>
          <w:tab w:leader="none" w:pos="2600" w:val="left"/>
        </w:tabs>
        <w:numPr>
          <w:ilvl w:val="2"/>
          <w:numId w:val="135"/>
        </w:numPr>
        <w:rPr>
          <w:rFonts w:ascii="Arial" w:cs="Arial" w:eastAsia="Arial" w:hAnsi="Arial"/>
          <w:sz w:val="19"/>
          <w:szCs w:val="19"/>
          <w:color w:val="auto"/>
        </w:rPr>
      </w:pPr>
      <w:r>
        <w:rPr>
          <w:rFonts w:ascii="Arial" w:cs="Arial" w:eastAsia="Arial" w:hAnsi="Arial"/>
          <w:sz w:val="19"/>
          <w:szCs w:val="19"/>
          <w:color w:val="auto"/>
        </w:rPr>
        <w:t xml:space="preserve">If you remain in the employ of CBS beyond the end of the Term, but have not entered into a new written contractual relationship with CBS (or any of CBS’s subsidiaries), your continued employment shall be “at will” and on such terms and conditions as CBS may at the time establish, and either party, during such period, may terminate your employment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CBS terminates your employment during such period without Cause (as that term is defined in paragraph 7(a)(i) of this Agreement, then, except as set forth in paragraph 7(j)(v) of this Agreement, you shall become eligible to receive severance under the then current CBS severance policy applicable to executives at your level, subject to the terms of such severance policy (including your execution of a release in favor of CBS pursuant to such policy to the extent required), but in no event shall such severance amount equal to less than twelve (12) months of your then current Salary, and you shall be eligible for a STIP bonus for the year in which such termination occurs, prorated for the portion of the year during which you were employed, in an amount that shall be determined in a manner consistent with, and at the same time as, STIP bonuses are determined for CBS executives generally. If, at the conclusion of the twelve (12) month period described in the preceding sentence, you have not secured comparable employment, then you shall remain eligible to continue to receive additional payments up to the amount of your base salary, for a period of up to an additional six (6) months, subject to offset by any other income you earn from employment of any nature.</w:t>
      </w:r>
    </w:p>
    <w:p>
      <w:pPr>
        <w:spacing w:after="0" w:line="163" w:lineRule="exact"/>
        <w:rPr>
          <w:rFonts w:ascii="Arial" w:cs="Arial" w:eastAsia="Arial" w:hAnsi="Arial"/>
          <w:sz w:val="19"/>
          <w:szCs w:val="19"/>
          <w:color w:val="auto"/>
        </w:rPr>
      </w:pPr>
    </w:p>
    <w:p>
      <w:pPr>
        <w:jc w:val="both"/>
        <w:ind w:firstLine="1318"/>
        <w:spacing w:after="0" w:line="289" w:lineRule="auto"/>
        <w:tabs>
          <w:tab w:leader="none" w:pos="1927"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CBS terminates for any reason, you shall automatically be deemed to have resigned at that time from any and all officer or director positions that you may have held with CBS, or any of CBS’s affiliated companies and all board seats or other positions in other entities you held on behalf of CBS, including any fiduciary positions (including as a trustee) you hold with respect to any employee benefit plans or trusts established by CBS. You agree that this Agreement shall serve as written notice of resignation in this circumstance. If, however, for any reason this paragraph 7(g) is deemed insufficient to effectuate such resignation, you agree to execute, upon the request of CBS or any of its affiliated companies, any documents or instruments which CBS may deem necessary or desirable to effectuate such resignation or resignations, and you hereby authorize the Secretary and any Assistant Secretary of CBS or any of CBS’s affiliated companies to execute any such documents or instruments as your attorney-in-fact.</w:t>
      </w:r>
    </w:p>
    <w:p>
      <w:pPr>
        <w:spacing w:after="0" w:line="157" w:lineRule="exact"/>
        <w:rPr>
          <w:rFonts w:ascii="Arial" w:cs="Arial" w:eastAsia="Arial" w:hAnsi="Arial"/>
          <w:sz w:val="19"/>
          <w:szCs w:val="19"/>
          <w:color w:val="auto"/>
        </w:rPr>
      </w:pPr>
    </w:p>
    <w:p>
      <w:pPr>
        <w:jc w:val="both"/>
        <w:ind w:firstLine="1305"/>
        <w:spacing w:after="0" w:line="253" w:lineRule="auto"/>
        <w:tabs>
          <w:tab w:leader="none" w:pos="1873"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Termination of Benefits</w:t>
      </w:r>
      <w:r>
        <w:rPr>
          <w:rFonts w:ascii="Arial" w:cs="Arial" w:eastAsia="Arial" w:hAnsi="Arial"/>
          <w:sz w:val="22"/>
          <w:szCs w:val="22"/>
          <w:color w:val="auto"/>
        </w:rPr>
        <w:t>. Notwithstanding anything in this Agreement to the contrary (except as otherwise provided in paragraph 7(b)(ii)(C), 7(c)(ii)(C) or 7(j)(ii)(C), as applicable, with respect to medical and dental benefits), participation in all CBS benefit plans and programs (including, without limitation,</w:t>
      </w:r>
    </w:p>
    <w:p>
      <w:pPr>
        <w:sectPr>
          <w:pgSz w:w="11900" w:h="16838" w:orient="portrait"/>
          <w:cols w:equalWidth="0" w:num="1">
            <w:col w:w="11420"/>
          </w:cols>
          <w:pgMar w:left="240" w:top="132"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vacation accrual, all retirement and related excess plans and LTD) will terminate upon the termination of your employment except to the extent otherwise expressly provided in such plans or programs, and subject to any vested rights you may have under the terms of such plans or programs. The foregoing shall not apply to the LTIP and, after the termination of your employment, your rights under the LTIP shall be governed by the terms of the LTIP award agreements, certificates, the applicable LTIP plan(s) and this Agreement.</w:t>
      </w:r>
    </w:p>
    <w:p>
      <w:pPr>
        <w:spacing w:after="0" w:line="192" w:lineRule="exact"/>
        <w:rPr>
          <w:sz w:val="20"/>
          <w:szCs w:val="20"/>
          <w:color w:val="auto"/>
        </w:rPr>
      </w:pPr>
    </w:p>
    <w:p>
      <w:pPr>
        <w:ind w:left="1720" w:hanging="415"/>
        <w:spacing w:after="0"/>
        <w:tabs>
          <w:tab w:leader="none" w:pos="172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Release; Compliance with Paragraph 6</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65" w:lineRule="auto"/>
        <w:tabs>
          <w:tab w:leader="none" w:pos="2499" w:val="left"/>
        </w:tabs>
        <w:numPr>
          <w:ilvl w:val="1"/>
          <w:numId w:val="138"/>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prior to payment by CBS of any amount or provision of any benefit pursuant to paragraph 7(b)(ii), or 7(c)(ii) or 7(j)(ii), as applicable, within sixty (60) days following your termination of employment, (</w:t>
      </w:r>
      <w:r>
        <w:rPr>
          <w:rFonts w:ascii="Arial" w:cs="Arial" w:eastAsia="Arial" w:hAnsi="Arial"/>
          <w:sz w:val="20"/>
          <w:szCs w:val="20"/>
          <w:i w:val="1"/>
          <w:iCs w:val="1"/>
          <w:color w:val="auto"/>
        </w:rPr>
        <w:t>x</w:t>
      </w:r>
      <w:r>
        <w:rPr>
          <w:rFonts w:ascii="Arial" w:cs="Arial" w:eastAsia="Arial" w:hAnsi="Arial"/>
          <w:sz w:val="20"/>
          <w:szCs w:val="20"/>
          <w:color w:val="auto"/>
        </w:rPr>
        <w:t>) you shall have executed and delivered to CBS a general release in a form satisfactory to CBS and (</w:t>
      </w:r>
      <w:r>
        <w:rPr>
          <w:rFonts w:ascii="Arial" w:cs="Arial" w:eastAsia="Arial" w:hAnsi="Arial"/>
          <w:sz w:val="20"/>
          <w:szCs w:val="20"/>
          <w:i w:val="1"/>
          <w:iCs w:val="1"/>
          <w:color w:val="auto"/>
        </w:rPr>
        <w:t>y</w:t>
      </w:r>
      <w:r>
        <w:rPr>
          <w:rFonts w:ascii="Arial" w:cs="Arial" w:eastAsia="Arial" w:hAnsi="Arial"/>
          <w:sz w:val="20"/>
          <w:szCs w:val="20"/>
          <w:color w:val="auto"/>
        </w:rPr>
        <w:t>) such general release shall have become effective and irrevocable in its entirety (such date, the “</w:t>
      </w:r>
      <w:r>
        <w:rPr>
          <w:rFonts w:ascii="Arial" w:cs="Arial" w:eastAsia="Arial" w:hAnsi="Arial"/>
          <w:sz w:val="20"/>
          <w:szCs w:val="20"/>
          <w:b w:val="1"/>
          <w:bCs w:val="1"/>
          <w:i w:val="1"/>
          <w:iCs w:val="1"/>
          <w:color w:val="auto"/>
        </w:rPr>
        <w:t>Release Effective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at the time any cash severance payments are scheduled to be paid to you pursuant to paragraph 7(b)(ii), or 7(c)(ii) or 7(j)(ii), as applicable, you have not executed a general release that has become effective and irrevocable in its entirety, then any such cash severance payments shall be held and accumulated without interest, and shall be paid to you on the first Regular Payroll Date following the Release Effective Date and the vesting of any stock options, RSUs and other equity awards shall be suspended until the Release Effective Date. Your failure or refusal to sign and deliver the release or your revocation of an executed and delivered release in accordance with applicable laws, whether intentionally or unintentionally, will result in the forfeiture of the payments and benefits under paragraph 7(b)(ii), or 7(c)(ii) or 7(j)(ii), as applicable. Notwithstanding the foregoing, if the sixty (60) day period does not begin and end in the same calendar year, then the Release Effective Date shall occur no earlier than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calendar year following the calendar year in which your termination occurs.</w:t>
      </w:r>
    </w:p>
    <w:p>
      <w:pPr>
        <w:spacing w:after="0" w:line="177" w:lineRule="exact"/>
        <w:rPr>
          <w:rFonts w:ascii="Arial" w:cs="Arial" w:eastAsia="Arial" w:hAnsi="Arial"/>
          <w:sz w:val="20"/>
          <w:szCs w:val="20"/>
          <w:color w:val="auto"/>
        </w:rPr>
      </w:pPr>
    </w:p>
    <w:p>
      <w:pPr>
        <w:jc w:val="both"/>
        <w:ind w:left="660" w:firstLine="1293"/>
        <w:spacing w:after="0" w:line="312" w:lineRule="auto"/>
        <w:tabs>
          <w:tab w:leader="none" w:pos="2475" w:val="left"/>
        </w:tabs>
        <w:numPr>
          <w:ilvl w:val="1"/>
          <w:numId w:val="138"/>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the payments and benefits described in paragraphs 7(b)(ii), 7(c)(ii) and 7(j)(ii), as applicable, shall immediately cease, and CBS shall have no further obligations to you with respect thereto, in the event that you materially breach any provision of paragraph 6 hereof.</w:t>
      </w:r>
    </w:p>
    <w:p>
      <w:pPr>
        <w:spacing w:after="0" w:line="134" w:lineRule="exact"/>
        <w:rPr>
          <w:sz w:val="20"/>
          <w:szCs w:val="20"/>
          <w:color w:val="auto"/>
        </w:rPr>
      </w:pPr>
    </w:p>
    <w:p>
      <w:pPr>
        <w:ind w:left="1720" w:hanging="415"/>
        <w:spacing w:after="0"/>
        <w:tabs>
          <w:tab w:leader="none" w:pos="172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Payments in Connection with Certain Corporate Events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1293"/>
        <w:spacing w:after="0" w:line="263" w:lineRule="auto"/>
        <w:tabs>
          <w:tab w:leader="none" w:pos="2458"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For purposes of this Agreement, a “</w:t>
      </w:r>
      <w:r>
        <w:rPr>
          <w:rFonts w:ascii="Arial" w:cs="Arial" w:eastAsia="Arial" w:hAnsi="Arial"/>
          <w:sz w:val="22"/>
          <w:szCs w:val="22"/>
          <w:b w:val="1"/>
          <w:bCs w:val="1"/>
          <w:i w:val="1"/>
          <w:iCs w:val="1"/>
          <w:color w:val="auto"/>
        </w:rPr>
        <w:t>Corporate Event</w:t>
      </w:r>
      <w:r>
        <w:rPr>
          <w:rFonts w:ascii="Arial" w:cs="Arial" w:eastAsia="Arial" w:hAnsi="Arial"/>
          <w:sz w:val="22"/>
          <w:szCs w:val="22"/>
          <w:color w:val="auto"/>
        </w:rPr>
        <w:t>” shall be deemed to occur upon the occurrence of any of the following events:</w:t>
      </w:r>
    </w:p>
    <w:p>
      <w:pPr>
        <w:sectPr>
          <w:pgSz w:w="11900" w:h="16838" w:orient="portrait"/>
          <w:cols w:equalWidth="0" w:num="1">
            <w:col w:w="11420"/>
          </w:cols>
          <w:pgMar w:left="240" w:top="132"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960" w:firstLine="641"/>
        <w:spacing w:after="0" w:line="284" w:lineRule="auto"/>
        <w:tabs>
          <w:tab w:leader="none" w:pos="3201" w:val="left"/>
        </w:tabs>
        <w:numPr>
          <w:ilvl w:val="1"/>
          <w:numId w:val="140"/>
        </w:numPr>
        <w:rPr>
          <w:rFonts w:ascii="Arial" w:cs="Arial" w:eastAsia="Arial" w:hAnsi="Arial"/>
          <w:sz w:val="19"/>
          <w:szCs w:val="19"/>
          <w:color w:val="auto"/>
        </w:rPr>
      </w:pPr>
      <w:r>
        <w:rPr>
          <w:rFonts w:ascii="Arial" w:cs="Arial" w:eastAsia="Arial" w:hAnsi="Arial"/>
          <w:sz w:val="19"/>
          <w:szCs w:val="19"/>
          <w:color w:val="auto"/>
        </w:rPr>
        <w:t>consummation of a merger, consolidation or reorganization of CBS or any of its subsidiaries unless, immediately following such transaction, (I) all or substantially all the beneficial owners of CBS stock having general voting power immediately prior to such transaction directly or indirectly own more than fifty percent (50%) of the general voting power of the entity resulting from such transaction (the “</w:t>
      </w:r>
      <w:r>
        <w:rPr>
          <w:rFonts w:ascii="Arial" w:cs="Arial" w:eastAsia="Arial" w:hAnsi="Arial"/>
          <w:sz w:val="19"/>
          <w:szCs w:val="19"/>
          <w:b w:val="1"/>
          <w:bCs w:val="1"/>
          <w:i w:val="1"/>
          <w:iCs w:val="1"/>
          <w:color w:val="auto"/>
        </w:rPr>
        <w:t>Combined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substantially the same proportions as their beneficial ownership of such CBS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immediately prior to the transaction (excluding any general voting power of the Combined Company that such beneficial owners directly or indirectly received as a result of their beneficial ownership of the other entity involved in the transaction), (II) no person or group directly or indirectly beneficially owns stock representing more than twenty percent (20%) of the general voting power of the Combined Company </w:t>
      </w:r>
      <w:r>
        <w:rPr>
          <w:rFonts w:ascii="Arial" w:cs="Arial" w:eastAsia="Arial" w:hAnsi="Arial"/>
          <w:sz w:val="19"/>
          <w:szCs w:val="19"/>
          <w:u w:val="single" w:color="auto"/>
          <w:color w:val="auto"/>
        </w:rPr>
        <w:t>and</w:t>
      </w:r>
    </w:p>
    <w:p>
      <w:pPr>
        <w:jc w:val="both"/>
        <w:ind w:left="1960" w:hanging="7"/>
        <w:spacing w:after="0" w:line="245" w:lineRule="auto"/>
        <w:tabs>
          <w:tab w:leader="none" w:pos="237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majority of the independent directors of the Combined Company and a majority of the directors of the Combined Company, in each case, consist of individuals who were Original Independent Directors (as defined in clause (D) below) immediately prior to such transaction; or</w:t>
      </w:r>
    </w:p>
    <w:p>
      <w:pPr>
        <w:spacing w:after="0" w:line="193" w:lineRule="exact"/>
        <w:rPr>
          <w:rFonts w:ascii="Arial" w:cs="Arial" w:eastAsia="Arial" w:hAnsi="Arial"/>
          <w:sz w:val="22"/>
          <w:szCs w:val="22"/>
          <w:color w:val="auto"/>
        </w:rPr>
      </w:pPr>
    </w:p>
    <w:p>
      <w:pPr>
        <w:ind w:left="3100" w:hanging="499"/>
        <w:spacing w:after="0"/>
        <w:tabs>
          <w:tab w:leader="none" w:pos="3100" w:val="left"/>
        </w:tabs>
        <w:numPr>
          <w:ilvl w:val="1"/>
          <w:numId w:val="141"/>
        </w:numPr>
        <w:rPr>
          <w:rFonts w:ascii="Arial" w:cs="Arial" w:eastAsia="Arial" w:hAnsi="Arial"/>
          <w:sz w:val="21"/>
          <w:szCs w:val="21"/>
          <w:color w:val="auto"/>
        </w:rPr>
      </w:pPr>
      <w:r>
        <w:rPr>
          <w:rFonts w:ascii="Arial" w:cs="Arial" w:eastAsia="Arial" w:hAnsi="Arial"/>
          <w:sz w:val="21"/>
          <w:szCs w:val="21"/>
          <w:color w:val="auto"/>
        </w:rPr>
        <w:t>consummation of the sale or disposition of all or substantially all of the assets of CBS; or</w:t>
      </w:r>
    </w:p>
    <w:p>
      <w:pPr>
        <w:spacing w:after="0" w:line="231" w:lineRule="exact"/>
        <w:rPr>
          <w:rFonts w:ascii="Arial" w:cs="Arial" w:eastAsia="Arial" w:hAnsi="Arial"/>
          <w:sz w:val="21"/>
          <w:szCs w:val="21"/>
          <w:color w:val="auto"/>
        </w:rPr>
      </w:pPr>
    </w:p>
    <w:p>
      <w:pPr>
        <w:jc w:val="both"/>
        <w:ind w:left="1960" w:firstLine="641"/>
        <w:spacing w:after="0" w:line="259" w:lineRule="auto"/>
        <w:tabs>
          <w:tab w:leader="none" w:pos="3220" w:val="left"/>
        </w:tabs>
        <w:numPr>
          <w:ilvl w:val="1"/>
          <w:numId w:val="141"/>
        </w:numPr>
        <w:rPr>
          <w:rFonts w:ascii="Arial" w:cs="Arial" w:eastAsia="Arial" w:hAnsi="Arial"/>
          <w:sz w:val="21"/>
          <w:szCs w:val="21"/>
          <w:color w:val="auto"/>
        </w:rPr>
      </w:pPr>
      <w:r>
        <w:rPr>
          <w:rFonts w:ascii="Arial" w:cs="Arial" w:eastAsia="Arial" w:hAnsi="Arial"/>
          <w:sz w:val="21"/>
          <w:szCs w:val="21"/>
          <w:color w:val="auto"/>
        </w:rPr>
        <w:t>at any time after January 1, 2016, any “person” or “group” (within the meaning of Section 13(d)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and the rules and regulations promulgated thereunder), directly or indirectly acquires or then beneficially owns (within the meaning of Rules 13d-3 and 13d-5 under the Exchange Act) stock representing more than twenty percent (20%) of the general voting power of CBS at a time when the person who, on January 1, 2011, was the ultimate beneficial owner (within the meaning of Rule 13d-3(a)(1) under the Exchange Act) (the “</w:t>
      </w:r>
      <w:r>
        <w:rPr>
          <w:rFonts w:ascii="Arial" w:cs="Arial" w:eastAsia="Arial" w:hAnsi="Arial"/>
          <w:sz w:val="21"/>
          <w:szCs w:val="21"/>
          <w:b w:val="1"/>
          <w:bCs w:val="1"/>
          <w:i w:val="1"/>
          <w:iCs w:val="1"/>
          <w:color w:val="auto"/>
        </w:rPr>
        <w:t>Ultimate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Voting Beneficial Owner</w:t>
      </w:r>
      <w:r>
        <w:rPr>
          <w:rFonts w:ascii="Arial" w:cs="Arial" w:eastAsia="Arial" w:hAnsi="Arial"/>
          <w:sz w:val="21"/>
          <w:szCs w:val="21"/>
          <w:color w:val="auto"/>
        </w:rPr>
        <w:t>”) of a majority of the general voting power of CBS no longer is the Ultimate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Voting Beneficial Owner of a majority thereof; or</w:t>
      </w:r>
    </w:p>
    <w:p>
      <w:pPr>
        <w:spacing w:after="0" w:line="184" w:lineRule="exact"/>
        <w:rPr>
          <w:rFonts w:ascii="Arial" w:cs="Arial" w:eastAsia="Arial" w:hAnsi="Arial"/>
          <w:sz w:val="21"/>
          <w:szCs w:val="21"/>
          <w:color w:val="auto"/>
        </w:rPr>
      </w:pPr>
    </w:p>
    <w:p>
      <w:pPr>
        <w:jc w:val="both"/>
        <w:ind w:left="1960" w:firstLine="641"/>
        <w:spacing w:after="0" w:line="250" w:lineRule="auto"/>
        <w:tabs>
          <w:tab w:leader="none" w:pos="315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 majority of the independent directors of the CBS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ceases to consist of Original Independent Directors. “</w:t>
      </w:r>
      <w:r>
        <w:rPr>
          <w:rFonts w:ascii="Arial" w:cs="Arial" w:eastAsia="Arial" w:hAnsi="Arial"/>
          <w:sz w:val="22"/>
          <w:szCs w:val="22"/>
          <w:b w:val="1"/>
          <w:bCs w:val="1"/>
          <w:i w:val="1"/>
          <w:iCs w:val="1"/>
          <w:color w:val="auto"/>
        </w:rPr>
        <w:t>Original Independent Directors</w:t>
      </w:r>
      <w:r>
        <w:rPr>
          <w:rFonts w:ascii="Arial" w:cs="Arial" w:eastAsia="Arial" w:hAnsi="Arial"/>
          <w:sz w:val="22"/>
          <w:szCs w:val="22"/>
          <w:color w:val="auto"/>
        </w:rPr>
        <w:t>” shall mean those individuals who, as of January 1, 2016, constituted the independent directors of the Board and those successor independent directors who are elected or appointed to the Board,</w:t>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65" w:lineRule="auto"/>
        <w:rPr>
          <w:sz w:val="20"/>
          <w:szCs w:val="20"/>
          <w:color w:val="auto"/>
        </w:rPr>
      </w:pPr>
      <w:r>
        <w:rPr>
          <w:rFonts w:ascii="Arial" w:cs="Arial" w:eastAsia="Arial" w:hAnsi="Arial"/>
          <w:sz w:val="21"/>
          <w:szCs w:val="21"/>
          <w:color w:val="auto"/>
        </w:rPr>
        <w:t>either by a vote of the Board or by action of the shareholders of CBS pursuant to a recommendation by the Board, as a result of the death, voluntary retirement or resignation of an Original Independent Director (or any successor thereto pursuant to this proviso), including a voluntary determination by such Original Independent Director (or such successor) not to stand for re-election.</w:t>
      </w:r>
    </w:p>
    <w:p>
      <w:pPr>
        <w:spacing w:after="0" w:line="176" w:lineRule="exact"/>
        <w:rPr>
          <w:sz w:val="20"/>
          <w:szCs w:val="20"/>
          <w:color w:val="auto"/>
        </w:rPr>
      </w:pPr>
    </w:p>
    <w:p>
      <w:pPr>
        <w:jc w:val="both"/>
        <w:ind w:left="660" w:firstLine="1293"/>
        <w:spacing w:after="0" w:line="246" w:lineRule="auto"/>
        <w:tabs>
          <w:tab w:leader="none" w:pos="2585"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Termination Payments</w:t>
      </w:r>
      <w:r>
        <w:rPr>
          <w:rFonts w:ascii="Arial" w:cs="Arial" w:eastAsia="Arial" w:hAnsi="Arial"/>
          <w:sz w:val="22"/>
          <w:szCs w:val="22"/>
          <w:color w:val="auto"/>
        </w:rPr>
        <w:t>. In the event that (</w:t>
      </w:r>
      <w:r>
        <w:rPr>
          <w:rFonts w:ascii="Arial" w:cs="Arial" w:eastAsia="Arial" w:hAnsi="Arial"/>
          <w:sz w:val="22"/>
          <w:szCs w:val="22"/>
          <w:i w:val="1"/>
          <w:iCs w:val="1"/>
          <w:color w:val="auto"/>
        </w:rPr>
        <w:t>x</w:t>
      </w:r>
      <w:r>
        <w:rPr>
          <w:rFonts w:ascii="Arial" w:cs="Arial" w:eastAsia="Arial" w:hAnsi="Arial"/>
          <w:sz w:val="22"/>
          <w:szCs w:val="22"/>
          <w:color w:val="auto"/>
        </w:rPr>
        <w:t>) CBS terminates your employment without Cause (as defined in paragraph 7(a)(i)), whether during or after the Term; (</w:t>
      </w:r>
      <w:r>
        <w:rPr>
          <w:rFonts w:ascii="Arial" w:cs="Arial" w:eastAsia="Arial" w:hAnsi="Arial"/>
          <w:sz w:val="22"/>
          <w:szCs w:val="22"/>
          <w:i w:val="1"/>
          <w:iCs w:val="1"/>
          <w:color w:val="auto"/>
        </w:rPr>
        <w:t>y</w:t>
      </w:r>
      <w:r>
        <w:rPr>
          <w:rFonts w:ascii="Arial" w:cs="Arial" w:eastAsia="Arial" w:hAnsi="Arial"/>
          <w:sz w:val="22"/>
          <w:szCs w:val="22"/>
          <w:color w:val="auto"/>
        </w:rPr>
        <w:t>) you resign your employment with Good Reason (as defined in paragraph 7(c)(i)), whether during or after the Term; or (</w:t>
      </w:r>
      <w:r>
        <w:rPr>
          <w:rFonts w:ascii="Arial" w:cs="Arial" w:eastAsia="Arial" w:hAnsi="Arial"/>
          <w:sz w:val="22"/>
          <w:szCs w:val="22"/>
          <w:i w:val="1"/>
          <w:iCs w:val="1"/>
          <w:color w:val="auto"/>
        </w:rPr>
        <w:t>z</w:t>
      </w:r>
      <w:r>
        <w:rPr>
          <w:rFonts w:ascii="Arial" w:cs="Arial" w:eastAsia="Arial" w:hAnsi="Arial"/>
          <w:sz w:val="22"/>
          <w:szCs w:val="22"/>
          <w:color w:val="auto"/>
        </w:rPr>
        <w:t>) your employment ceases under circumstances described in paragraph 7(f)(ii) or 7(f)(iii), in each case during the twenty-four (24) month period following the date of a Corporate Event, you shall thereafter receive, less applicable withholding taxes, the Accrued Obligations, payable within thirty (30) days following your termination date, and subject to your compliance with paragraph 7(i) hereunder, the following payments and benefits:</w:t>
      </w:r>
    </w:p>
    <w:p>
      <w:pPr>
        <w:spacing w:after="0" w:line="197" w:lineRule="exact"/>
        <w:rPr>
          <w:rFonts w:ascii="Arial" w:cs="Arial" w:eastAsia="Arial" w:hAnsi="Arial"/>
          <w:sz w:val="22"/>
          <w:szCs w:val="22"/>
          <w:color w:val="auto"/>
        </w:rPr>
      </w:pPr>
    </w:p>
    <w:p>
      <w:pPr>
        <w:jc w:val="both"/>
        <w:ind w:left="1960" w:firstLine="641"/>
        <w:spacing w:after="0" w:line="281" w:lineRule="auto"/>
        <w:tabs>
          <w:tab w:leader="none" w:pos="3165"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Pro-Rata Bonus</w:t>
      </w:r>
      <w:r>
        <w:rPr>
          <w:rFonts w:ascii="Arial" w:cs="Arial" w:eastAsia="Arial" w:hAnsi="Arial"/>
          <w:sz w:val="20"/>
          <w:szCs w:val="20"/>
          <w:color w:val="auto"/>
        </w:rPr>
        <w:t>: a Bonus for the calendar year in which your employment is terminated, such Bonus to be determined based on actual performance and consistent with senior executives who remain employed with CBS, and then prorated based on the number of calendar days of such year elapsed through the date your employment is terminated (the “</w:t>
      </w:r>
      <w:r>
        <w:rPr>
          <w:rFonts w:ascii="Arial" w:cs="Arial" w:eastAsia="Arial" w:hAnsi="Arial"/>
          <w:sz w:val="20"/>
          <w:szCs w:val="20"/>
          <w:b w:val="1"/>
          <w:bCs w:val="1"/>
          <w:i w:val="1"/>
          <w:iCs w:val="1"/>
          <w:color w:val="auto"/>
        </w:rPr>
        <w:t>Pro-Rata Bonus</w:t>
      </w:r>
      <w:r>
        <w:rPr>
          <w:rFonts w:ascii="Arial" w:cs="Arial" w:eastAsia="Arial" w:hAnsi="Arial"/>
          <w:sz w:val="20"/>
          <w:szCs w:val="20"/>
          <w:color w:val="auto"/>
        </w:rPr>
        <w:t>”), payable, less applicable deductions and withholding taxes, between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and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calendar year;</w:t>
      </w:r>
    </w:p>
    <w:p>
      <w:pPr>
        <w:spacing w:after="0" w:line="71" w:lineRule="exact"/>
        <w:rPr>
          <w:rFonts w:ascii="Arial" w:cs="Arial" w:eastAsia="Arial" w:hAnsi="Arial"/>
          <w:sz w:val="20"/>
          <w:szCs w:val="20"/>
          <w:color w:val="auto"/>
        </w:rPr>
      </w:pPr>
    </w:p>
    <w:p>
      <w:pPr>
        <w:jc w:val="both"/>
        <w:ind w:left="1960" w:firstLine="641"/>
        <w:spacing w:after="0" w:line="289" w:lineRule="auto"/>
        <w:tabs>
          <w:tab w:leader="none" w:pos="3166"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Enhanced Severance Amount</w:t>
      </w:r>
      <w:r>
        <w:rPr>
          <w:rFonts w:ascii="Arial" w:cs="Arial" w:eastAsia="Arial" w:hAnsi="Arial"/>
          <w:sz w:val="19"/>
          <w:szCs w:val="19"/>
          <w:color w:val="auto"/>
        </w:rPr>
        <w:t>: an amount equal to two (2) times the sum of (i) your Salary in effect at the time of your termination (or, if your Salary has been reduced in violation of this Agreement, your highest Salary during the Term) and (ii) the average of your actual annual Bonus awards for the three years immediately preceding the year in which your employment is terminated (the “</w:t>
      </w:r>
      <w:r>
        <w:rPr>
          <w:rFonts w:ascii="Arial" w:cs="Arial" w:eastAsia="Arial" w:hAnsi="Arial"/>
          <w:sz w:val="19"/>
          <w:szCs w:val="19"/>
          <w:b w:val="1"/>
          <w:bCs w:val="1"/>
          <w:i w:val="1"/>
          <w:iCs w:val="1"/>
          <w:color w:val="auto"/>
        </w:rPr>
        <w:t>Enhanced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To the extent the Enhanced Severance Amount exceeds the sum of (</w:t>
      </w:r>
      <w:r>
        <w:rPr>
          <w:rFonts w:ascii="Arial" w:cs="Arial" w:eastAsia="Arial" w:hAnsi="Arial"/>
          <w:sz w:val="19"/>
          <w:szCs w:val="19"/>
          <w:i w:val="1"/>
          <w:iCs w:val="1"/>
          <w:color w:val="auto"/>
        </w:rPr>
        <w:t>x</w:t>
      </w:r>
      <w:r>
        <w:rPr>
          <w:rFonts w:ascii="Arial" w:cs="Arial" w:eastAsia="Arial" w:hAnsi="Arial"/>
          <w:sz w:val="19"/>
          <w:szCs w:val="19"/>
          <w:color w:val="auto"/>
        </w:rPr>
        <w:t>) the amount determined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pursuant to paragraph 7(b)(ii)(A) or 7(c)(ii)(A), as applicable, and (</w:t>
      </w:r>
      <w:r>
        <w:rPr>
          <w:rFonts w:ascii="Arial" w:cs="Arial" w:eastAsia="Arial" w:hAnsi="Arial"/>
          <w:sz w:val="19"/>
          <w:szCs w:val="19"/>
          <w:i w:val="1"/>
          <w:iCs w:val="1"/>
          <w:color w:val="auto"/>
        </w:rPr>
        <w:t>y</w:t>
      </w:r>
      <w:r>
        <w:rPr>
          <w:rFonts w:ascii="Arial" w:cs="Arial" w:eastAsia="Arial" w:hAnsi="Arial"/>
          <w:sz w:val="19"/>
          <w:szCs w:val="19"/>
          <w:color w:val="auto"/>
        </w:rPr>
        <w:t>) the amount determined pursuant to paragraph 7(b)(ii)(B) or 7(c)(ii)(B), as applicable, such excess portion shall be paid in a lump sum within thirty (30) days following your termination date. The remaining portion of the Enhanced Severance Amount that is equal to the amount determined pursuant to paragraph 7(b)(ii)(A) or 7(c)(ii)(A), as</w:t>
      </w:r>
    </w:p>
    <w:p>
      <w:pPr>
        <w:sectPr>
          <w:pgSz w:w="11900" w:h="16838" w:orient="portrait"/>
          <w:cols w:equalWidth="0" w:num="1">
            <w:col w:w="11420"/>
          </w:cols>
          <w:pgMar w:left="240" w:top="132"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5" w:lineRule="auto"/>
        <w:rPr>
          <w:sz w:val="20"/>
          <w:szCs w:val="20"/>
          <w:color w:val="auto"/>
        </w:rPr>
      </w:pPr>
      <w:r>
        <w:rPr>
          <w:rFonts w:ascii="Arial" w:cs="Arial" w:eastAsia="Arial" w:hAnsi="Arial"/>
          <w:sz w:val="19"/>
          <w:szCs w:val="19"/>
          <w:color w:val="auto"/>
        </w:rPr>
        <w:t xml:space="preserve">applicable, shall be paid in accordance with the schedule described in paragraph 7(b)(ii)(A) or 7(c)(ii)(A), as applicable; and the remaining portion of the Enhanced Severance Amount that is equal to the amount determined pursuant to paragraph 7(b)(ii)(B) or 7(c)(ii)(B), as applicable, shall be paid in accordance with the schedule described in paragraph 7(b)(ii)(B) or 7(c)(ii)(B),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remaining portions of the Enhanced Severance Amount do not constitute “deferred compensation” within the meaning of Code Section 409A, such portions shall also be paid in a lump sum within thirty (30) days following your termination date, with any remainder to be paid in accordance with the schedules described in paragraph 7(b)(ii)(A) and 7(b)(ii)(B) or paragraph 7(c)(ii)(A) and 7(c)(ii)(B),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you are a “specified employee” (within the meaning of Code Section 409A and determined pursuant to procedures adopted by CBS) at the time of your termination and any portion of the Enhanced Severance Amount that would be paid to you during the six-month period following your termination of employment constitutes “deferred compensation” within the meaning of Code Section 409A, such portion shall be paid to you in a lump sum on the Permissible Payment Date rather than as described above, and any remaining Enhanced Severance Amount shall be paid to you or your estate, as applicable, in accordance with the installment payment schedule set forth above on your Regular Payroll Dates commencing with the Regular Payroll Date that follows the Permissible Payment Date. Each payment pursuant to this paragraph 7(j)(ii)(B) shall be regarded as a separate payment and not one of a series of payments for purposes of Code Section 409A;</w:t>
      </w:r>
    </w:p>
    <w:p>
      <w:pPr>
        <w:spacing w:after="0" w:line="200" w:lineRule="exact"/>
        <w:rPr>
          <w:sz w:val="20"/>
          <w:szCs w:val="20"/>
          <w:color w:val="auto"/>
        </w:rPr>
      </w:pPr>
    </w:p>
    <w:p>
      <w:pPr>
        <w:spacing w:after="0" w:line="224" w:lineRule="exact"/>
        <w:rPr>
          <w:sz w:val="20"/>
          <w:szCs w:val="20"/>
          <w:color w:val="auto"/>
        </w:rPr>
      </w:pPr>
    </w:p>
    <w:p>
      <w:pPr>
        <w:jc w:val="both"/>
        <w:ind w:left="1960" w:firstLine="641"/>
        <w:spacing w:after="0" w:line="290" w:lineRule="auto"/>
        <w:tabs>
          <w:tab w:leader="none" w:pos="312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Health Benefits</w:t>
      </w:r>
      <w:r>
        <w:rPr>
          <w:rFonts w:ascii="Arial" w:cs="Arial" w:eastAsia="Arial" w:hAnsi="Arial"/>
          <w:sz w:val="19"/>
          <w:szCs w:val="19"/>
          <w:color w:val="auto"/>
        </w:rPr>
        <w:t xml:space="preserve">: medical and dental insurance coverage for you and your eligible dependents at no cost to you (except as hereafter described) pursuant to the CBS benefit plans in which you participated in at the time of your termination of employment (or, if different, other benefit plans generally available to senior level executives) for a period of twenty-four (24) months following the termination date, or if earlier, the date on which you become eligible for medical or dental coverage as the case may be from a third party, which period of coverage shall be considered to run concurrently with the COBRA continuation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the period that CBS provides you with this coverage, the cost of such coverage will be treated as taxable income to you and CBS may withhold taxes from your</w:t>
      </w:r>
    </w:p>
    <w:p>
      <w:pPr>
        <w:sectPr>
          <w:pgSz w:w="11900" w:h="16838" w:orient="portrait"/>
          <w:cols w:equalWidth="0" w:num="1">
            <w:col w:w="11420"/>
          </w:cols>
          <w:pgMar w:left="240" w:top="132"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47" w:lineRule="auto"/>
        <w:rPr>
          <w:sz w:val="20"/>
          <w:szCs w:val="20"/>
          <w:color w:val="auto"/>
        </w:rPr>
      </w:pPr>
      <w:r>
        <w:rPr>
          <w:rFonts w:ascii="Arial" w:cs="Arial" w:eastAsia="Arial" w:hAnsi="Arial"/>
          <w:sz w:val="22"/>
          <w:szCs w:val="22"/>
          <w:color w:val="auto"/>
        </w:rPr>
        <w:t xml:space="preserve">compensation for this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you may elect to continue your medical and dental insurance coverage under COBRA at your own expense for the balance, if any, of the period required by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to the extent CBS is unable to continue such benefits because of underwriting on the plan term or if such continuation would violate Code Section 105(h), CBS shall provide you with economically equivalent benefits determined on an after-tax basis (to the extent such benefit was non-taxable);</w:t>
      </w:r>
    </w:p>
    <w:p>
      <w:pPr>
        <w:spacing w:after="0" w:line="194" w:lineRule="exact"/>
        <w:rPr>
          <w:sz w:val="20"/>
          <w:szCs w:val="20"/>
          <w:color w:val="auto"/>
        </w:rPr>
      </w:pPr>
    </w:p>
    <w:p>
      <w:pPr>
        <w:jc w:val="both"/>
        <w:ind w:left="1960" w:firstLine="641"/>
        <w:spacing w:after="0" w:line="261" w:lineRule="auto"/>
        <w:tabs>
          <w:tab w:leader="none" w:pos="3232"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for twenty-four (24) months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shall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5" w:lineRule="exact"/>
        <w:rPr>
          <w:sz w:val="20"/>
          <w:szCs w:val="20"/>
          <w:color w:val="auto"/>
        </w:rPr>
      </w:pPr>
    </w:p>
    <w:p>
      <w:pPr>
        <w:jc w:val="both"/>
        <w:ind w:left="1960" w:firstLine="1289"/>
        <w:spacing w:after="0" w:line="312" w:lineRule="auto"/>
        <w:tabs>
          <w:tab w:leader="none" w:pos="393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All stock option awards (or portions thereof) that have not vested and become exercisable on the date of such termination shall accelerate and vest immediately on the Release Effective Date (as defined in paragraph 7(i) above), and will continue to be exercisable until their expiration date;</w:t>
      </w:r>
    </w:p>
    <w:p>
      <w:pPr>
        <w:spacing w:after="0" w:line="134" w:lineRule="exact"/>
        <w:rPr>
          <w:sz w:val="20"/>
          <w:szCs w:val="20"/>
          <w:color w:val="auto"/>
        </w:rPr>
      </w:pPr>
    </w:p>
    <w:p>
      <w:pPr>
        <w:ind w:left="1960" w:right="20" w:firstLine="1289"/>
        <w:spacing w:after="0" w:line="343" w:lineRule="auto"/>
        <w:tabs>
          <w:tab w:leader="none" w:pos="382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All stock option awards (or portions thereof) that have previously vested and become exercisable by the date of such termination shall remain exercisable until their expiration date; and</w:t>
      </w:r>
    </w:p>
    <w:p>
      <w:pPr>
        <w:spacing w:after="0" w:line="105" w:lineRule="exact"/>
        <w:rPr>
          <w:sz w:val="20"/>
          <w:szCs w:val="20"/>
          <w:color w:val="auto"/>
        </w:rPr>
      </w:pPr>
    </w:p>
    <w:p>
      <w:pPr>
        <w:jc w:val="both"/>
        <w:ind w:left="1960" w:firstLine="1289"/>
        <w:spacing w:after="0" w:line="297" w:lineRule="auto"/>
        <w:tabs>
          <w:tab w:leader="none" w:pos="388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With respect to all awards of RSUs and other equity awards (or portions thereof) that have not vested on the date your employment is terminated, such awards shall accelerate and vest immediately on the Release Effective Date and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RSU and other equity awards that remain subject to performance-based vesting conditions on your termination date, in the event and limited to the extent that</w:t>
      </w:r>
    </w:p>
    <w:p>
      <w:pPr>
        <w:sectPr>
          <w:pgSz w:w="11900" w:h="16838" w:orient="portrait"/>
          <w:cols w:equalWidth="0" w:num="1">
            <w:col w:w="11420"/>
          </w:cols>
          <w:pgMar w:left="240" w:top="132" w:right="2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6" w:lineRule="auto"/>
        <w:rPr>
          <w:sz w:val="20"/>
          <w:szCs w:val="20"/>
          <w:color w:val="auto"/>
        </w:rPr>
      </w:pPr>
      <w:r>
        <w:rPr>
          <w:rFonts w:ascii="Arial" w:cs="Arial" w:eastAsia="Arial" w:hAnsi="Arial"/>
          <w:sz w:val="19"/>
          <w:szCs w:val="19"/>
          <w:color w:val="auto"/>
        </w:rPr>
        <w:t xml:space="preserve">compliance with the performance-based compensation exception is required in order to ensure the deductibility of any such RSU or other equity award under Code Section 162(m), such award shall vest if and to the extent the Compensation Committee certifies that the performance goal relating to such award has been met, or, if later, the Release Effective Date, and shall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any RSU and other equity awards that remain subject to performance-based vesting conditions on your termination date, in the event and to the extent that compliance with the performance-based compensation exception under Code Section 162(m) is not required in order to ensure the deductibility of any such RSU or other equity award, such award shall immediately vest (with an assumption that the performance goal was achieved at target level, if and to the extent applicable) on the Release Effective Date and be settled within ten (10) business days thereafter. Notwithstanding the foregoing, to the extent that you are a “specified employee” (within the meaning of Code Section 409A and determined pursuant to procedures adopted by CBS) at the time of your termination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 and</w:t>
      </w:r>
    </w:p>
    <w:p>
      <w:pPr>
        <w:spacing w:after="0" w:line="160" w:lineRule="exact"/>
        <w:rPr>
          <w:sz w:val="20"/>
          <w:szCs w:val="20"/>
          <w:color w:val="auto"/>
        </w:rPr>
      </w:pPr>
    </w:p>
    <w:p>
      <w:pPr>
        <w:jc w:val="both"/>
        <w:ind w:left="1960" w:firstLine="641"/>
        <w:spacing w:after="0" w:line="294" w:lineRule="auto"/>
        <w:tabs>
          <w:tab w:leader="none" w:pos="3277"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CBS will make available to you, at its expense, executive level outplacement services with a leading national outplacement firm, with such outplacement services to be provided for a period of up to twelve (12) months following the date on which your employment is terminated. The outplacement program shall be designed and the outplacement firm selected by CBS. CBS will pay all expenses related to the provision of outplacement services directly to the outplacement firm by the end of the calendar year following the calendar year in which the outplacement services are provided.</w:t>
      </w:r>
    </w:p>
    <w:p>
      <w:pPr>
        <w:spacing w:after="0" w:line="149" w:lineRule="exact"/>
        <w:rPr>
          <w:rFonts w:ascii="Arial" w:cs="Arial" w:eastAsia="Arial" w:hAnsi="Arial"/>
          <w:sz w:val="19"/>
          <w:szCs w:val="19"/>
          <w:color w:val="auto"/>
        </w:rPr>
      </w:pPr>
    </w:p>
    <w:p>
      <w:pPr>
        <w:jc w:val="both"/>
        <w:ind w:left="660" w:firstLine="1293"/>
        <w:spacing w:after="0" w:line="248" w:lineRule="auto"/>
        <w:tabs>
          <w:tab w:leader="none" w:pos="2618"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You shall not be required to mitigate the amount of any payment provided for in paragraph 7(j)(ii) by seeking other employment. The payments provided for in paragraph 7(j)(ii) are in lieu of any other severance or income continuation or protection in this Agreement or in any CBS plan, program or agreement that may now or hereafter exist, unless the terms of such plan, program or agreement expressly state that the payments and benefits payable thereunder are intended to be in addition to the type of</w:t>
      </w:r>
    </w:p>
    <w:p>
      <w:pPr>
        <w:sectPr>
          <w:pgSz w:w="11900" w:h="16838" w:orient="portrait"/>
          <w:cols w:equalWidth="0" w:num="1">
            <w:col w:w="11420"/>
          </w:cols>
          <w:pgMar w:left="240" w:top="132"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payments and benefits described in paragraphs 7(j)(ii) of this Agreement.</w:t>
      </w:r>
    </w:p>
    <w:p>
      <w:pPr>
        <w:spacing w:after="0" w:line="220" w:lineRule="exact"/>
        <w:rPr>
          <w:sz w:val="20"/>
          <w:szCs w:val="20"/>
          <w:color w:val="auto"/>
        </w:rPr>
      </w:pPr>
    </w:p>
    <w:p>
      <w:pPr>
        <w:jc w:val="both"/>
        <w:ind w:left="660" w:firstLine="1293"/>
        <w:spacing w:after="0" w:line="250" w:lineRule="auto"/>
        <w:tabs>
          <w:tab w:leader="none" w:pos="2485" w:val="left"/>
        </w:tabs>
        <w:numPr>
          <w:ilvl w:val="2"/>
          <w:numId w:val="150"/>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you die prior to payment of any amount or benefit described in paragraph 7(j)(ii)(A), (B), (C) or (E) that would have been paid to you had you continued to live, all such amounts and benefits shall be paid, less applicable deductions and withholding taxes, to your beneficiary (or, if no beneficiary has been designated, your estate) in accordance with the applicable payment schedule.</w:t>
      </w:r>
    </w:p>
    <w:p>
      <w:pPr>
        <w:spacing w:after="0" w:line="188" w:lineRule="exact"/>
        <w:rPr>
          <w:rFonts w:ascii="Arial" w:cs="Arial" w:eastAsia="Arial" w:hAnsi="Arial"/>
          <w:sz w:val="22"/>
          <w:szCs w:val="22"/>
          <w:color w:val="auto"/>
        </w:rPr>
      </w:pPr>
    </w:p>
    <w:p>
      <w:pPr>
        <w:jc w:val="both"/>
        <w:ind w:left="660" w:firstLine="1293"/>
        <w:spacing w:after="0" w:line="248" w:lineRule="auto"/>
        <w:tabs>
          <w:tab w:leader="none" w:pos="2425" w:val="left"/>
        </w:tabs>
        <w:numPr>
          <w:ilvl w:val="2"/>
          <w:numId w:val="150"/>
        </w:numPr>
        <w:rPr>
          <w:rFonts w:ascii="Arial" w:cs="Arial" w:eastAsia="Arial" w:hAnsi="Arial"/>
          <w:sz w:val="22"/>
          <w:szCs w:val="22"/>
          <w:color w:val="auto"/>
        </w:rPr>
      </w:pPr>
      <w:r>
        <w:rPr>
          <w:rFonts w:ascii="Arial" w:cs="Arial" w:eastAsia="Arial" w:hAnsi="Arial"/>
          <w:sz w:val="22"/>
          <w:szCs w:val="22"/>
          <w:u w:val="single" w:color="auto"/>
          <w:color w:val="auto"/>
        </w:rPr>
        <w:t>Survival of Provisions</w:t>
      </w:r>
      <w:r>
        <w:rPr>
          <w:rFonts w:ascii="Arial" w:cs="Arial" w:eastAsia="Arial" w:hAnsi="Arial"/>
          <w:sz w:val="22"/>
          <w:szCs w:val="22"/>
          <w:color w:val="auto"/>
        </w:rPr>
        <w:t>. The provisions of this paragraph 7(j) (and any other provision in this Agreement which relates to or is necessary for the enforcement of the parties’ rights under this paragraph 7(j)) shall survive the expiration of the Term of this Agreement. For avoidance of doubt, the provisions of paragraphs 6(a) and 6(c) shall apply so long as any payments are due to you pursuant to this paragraph 7(j), even if your termination of employment occurs following the expiration of the Term of this Agreement.</w:t>
      </w:r>
    </w:p>
    <w:p>
      <w:pPr>
        <w:spacing w:after="0" w:line="192" w:lineRule="exact"/>
        <w:rPr>
          <w:rFonts w:ascii="Arial" w:cs="Arial" w:eastAsia="Arial" w:hAnsi="Arial"/>
          <w:sz w:val="22"/>
          <w:szCs w:val="22"/>
          <w:color w:val="auto"/>
        </w:rPr>
      </w:pPr>
    </w:p>
    <w:p>
      <w:pPr>
        <w:jc w:val="both"/>
        <w:ind w:firstLine="737"/>
        <w:spacing w:after="0" w:line="250" w:lineRule="auto"/>
        <w:tabs>
          <w:tab w:leader="none" w:pos="1107"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No Acceptance of Payments</w:t>
      </w:r>
      <w:r>
        <w:rPr>
          <w:rFonts w:ascii="Arial" w:cs="Arial" w:eastAsia="Arial" w:hAnsi="Arial"/>
          <w:sz w:val="22"/>
          <w:szCs w:val="22"/>
          <w:color w:val="auto"/>
        </w:rPr>
        <w:t>. You represent that you have not accepted or given nor will you accept or give, directly or indirectly, any money, services or other valuable consideration from or to anyone other than CBS for the inclusion of any matter as part of any film, television program or other production produced, distributed and/or developed by CBS, or any of CBS’s affiliated companies.</w:t>
      </w:r>
    </w:p>
    <w:p>
      <w:pPr>
        <w:spacing w:after="0" w:line="188" w:lineRule="exact"/>
        <w:rPr>
          <w:rFonts w:ascii="Arial" w:cs="Arial" w:eastAsia="Arial" w:hAnsi="Arial"/>
          <w:sz w:val="22"/>
          <w:szCs w:val="22"/>
          <w:color w:val="auto"/>
        </w:rPr>
      </w:pPr>
    </w:p>
    <w:p>
      <w:pPr>
        <w:ind w:right="320" w:firstLine="656"/>
        <w:spacing w:after="0" w:line="246" w:lineRule="auto"/>
        <w:tabs>
          <w:tab w:leader="none" w:pos="1026"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Equal Opportunity Employer; Employee Statement of Business Conduct</w:t>
      </w:r>
      <w:r>
        <w:rPr>
          <w:rFonts w:ascii="Arial" w:cs="Arial" w:eastAsia="Arial" w:hAnsi="Arial"/>
          <w:sz w:val="22"/>
          <w:szCs w:val="22"/>
          <w:color w:val="auto"/>
        </w:rPr>
        <w:t>. You recognize that CBS is an equal opportunity employer. You agree that you will comply with CBS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CBS Business Conduct Statement.</w:t>
      </w:r>
    </w:p>
    <w:p>
      <w:pPr>
        <w:spacing w:after="0" w:line="4" w:lineRule="exact"/>
        <w:rPr>
          <w:rFonts w:ascii="Arial" w:cs="Arial" w:eastAsia="Arial" w:hAnsi="Arial"/>
          <w:sz w:val="22"/>
          <w:szCs w:val="22"/>
          <w:color w:val="auto"/>
        </w:rPr>
      </w:pPr>
    </w:p>
    <w:p>
      <w:pPr>
        <w:jc w:val="both"/>
        <w:ind w:firstLine="656"/>
        <w:spacing w:after="0" w:line="244" w:lineRule="auto"/>
        <w:tabs>
          <w:tab w:leader="none" w:pos="1161"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must be given in writing, by personal delivery or by registered mail, at the parties’ respective addresses shown on this Agreement (or any other address designated in writing by either party), with a copy, in the case of CBS, to the attention of the CLO. Any notice given by registered mail shall be deemed to have been given three days following such mailing.</w:t>
      </w:r>
    </w:p>
    <w:p>
      <w:pPr>
        <w:spacing w:after="0" w:line="195" w:lineRule="exact"/>
        <w:rPr>
          <w:rFonts w:ascii="Arial" w:cs="Arial" w:eastAsia="Arial" w:hAnsi="Arial"/>
          <w:sz w:val="22"/>
          <w:szCs w:val="22"/>
          <w:color w:val="auto"/>
        </w:rPr>
      </w:pPr>
    </w:p>
    <w:p>
      <w:pPr>
        <w:ind w:firstLine="656"/>
        <w:spacing w:after="0" w:line="343" w:lineRule="auto"/>
        <w:tabs>
          <w:tab w:leader="none" w:pos="112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is an Agreement for the performance of personal services by you and may not be assigned by you or CBS except that CBS may assign this Agreement to any majority-owned subsidiary of or any successor in interest to CBS.</w:t>
      </w:r>
    </w:p>
    <w:p>
      <w:pPr>
        <w:spacing w:after="0" w:line="98" w:lineRule="exact"/>
        <w:rPr>
          <w:rFonts w:ascii="Arial" w:cs="Arial" w:eastAsia="Arial" w:hAnsi="Arial"/>
          <w:sz w:val="19"/>
          <w:szCs w:val="19"/>
          <w:color w:val="auto"/>
        </w:rPr>
      </w:pPr>
    </w:p>
    <w:p>
      <w:pPr>
        <w:ind w:firstLine="656"/>
        <w:spacing w:after="0" w:line="350" w:lineRule="auto"/>
        <w:tabs>
          <w:tab w:leader="none" w:pos="1161"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New York Law, Etc</w:t>
      </w:r>
      <w:r>
        <w:rPr>
          <w:rFonts w:ascii="Arial" w:cs="Arial" w:eastAsia="Arial" w:hAnsi="Arial"/>
          <w:sz w:val="19"/>
          <w:szCs w:val="19"/>
          <w:b w:val="1"/>
          <w:bCs w:val="1"/>
          <w:color w:val="auto"/>
        </w:rPr>
        <w:t>. You acknowledge that this Agreement has been executed, in whole or in part, in the State of New York and that a significant portion of your employment duties are performed in New York even though you</w:t>
      </w:r>
    </w:p>
    <w:p>
      <w:pPr>
        <w:sectPr>
          <w:pgSz w:w="11900" w:h="16838" w:orient="portrait"/>
          <w:cols w:equalWidth="0" w:num="1">
            <w:col w:w="11420"/>
          </w:cols>
          <w:pgMar w:left="240" w:top="132"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reside in Los Angeles. Accordingly, you agree that this Agreement and all matters or issues arising out of or relating to your CBS employment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pacing w:after="0" w:line="174" w:lineRule="exact"/>
        <w:rPr>
          <w:sz w:val="20"/>
          <w:szCs w:val="20"/>
          <w:color w:val="auto"/>
        </w:rPr>
      </w:pPr>
    </w:p>
    <w:p>
      <w:pPr>
        <w:jc w:val="both"/>
        <w:ind w:firstLine="656"/>
        <w:spacing w:after="0" w:line="302" w:lineRule="auto"/>
        <w:tabs>
          <w:tab w:leader="none" w:pos="1134"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No Implied Contract</w:t>
      </w:r>
      <w:r>
        <w:rPr>
          <w:rFonts w:ascii="Arial" w:cs="Arial" w:eastAsia="Arial" w:hAnsi="Arial"/>
          <w:sz w:val="19"/>
          <w:szCs w:val="19"/>
          <w:color w:val="auto"/>
        </w:rPr>
        <w:t>. Nothing contained in this Agreement shall be construed to impose any obligation on CBS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142" w:lineRule="exact"/>
        <w:rPr>
          <w:rFonts w:ascii="Arial" w:cs="Arial" w:eastAsia="Arial" w:hAnsi="Arial"/>
          <w:sz w:val="19"/>
          <w:szCs w:val="19"/>
          <w:color w:val="auto"/>
        </w:rPr>
      </w:pPr>
    </w:p>
    <w:p>
      <w:pPr>
        <w:ind w:firstLine="656"/>
        <w:spacing w:after="0" w:line="263" w:lineRule="auto"/>
        <w:tabs>
          <w:tab w:leader="none" w:pos="1189"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Entire Understanding</w:t>
      </w:r>
      <w:r>
        <w:rPr>
          <w:rFonts w:ascii="Arial" w:cs="Arial" w:eastAsia="Arial" w:hAnsi="Arial"/>
          <w:sz w:val="22"/>
          <w:szCs w:val="22"/>
          <w:color w:val="auto"/>
        </w:rPr>
        <w:t>. This Agreement contains the entire understanding of the parties hereto relating to the subject matter contained in this Agreement, and can be changed only by a writing signed by both parties.</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14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Void Provisions</w:t>
      </w:r>
      <w:r>
        <w:rPr>
          <w:rFonts w:ascii="Arial" w:cs="Arial" w:eastAsia="Arial" w:hAnsi="Arial"/>
          <w:sz w:val="19"/>
          <w:szCs w:val="19"/>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142" w:lineRule="exact"/>
        <w:rPr>
          <w:rFonts w:ascii="Arial" w:cs="Arial" w:eastAsia="Arial" w:hAnsi="Arial"/>
          <w:sz w:val="19"/>
          <w:szCs w:val="19"/>
          <w:color w:val="auto"/>
        </w:rPr>
      </w:pPr>
    </w:p>
    <w:p>
      <w:pPr>
        <w:jc w:val="both"/>
        <w:ind w:firstLine="656"/>
        <w:spacing w:after="0" w:line="248" w:lineRule="auto"/>
        <w:tabs>
          <w:tab w:leader="none" w:pos="1175"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Supersedes Prior Agreements</w:t>
      </w:r>
      <w:r>
        <w:rPr>
          <w:rFonts w:ascii="Arial" w:cs="Arial" w:eastAsia="Arial" w:hAnsi="Arial"/>
          <w:sz w:val="22"/>
          <w:szCs w:val="22"/>
          <w:color w:val="auto"/>
        </w:rPr>
        <w:t>. As of the Effective Date, this Agreement supersedes and cancels all prior agreements relating to your employment by CBS or any of CBS’s affiliated companies relating to the subject matter herein, including, without limitation, your prior employment agreement with CBS, dated as of January 1, 2016, and the letter dated as of January 1, 2016, but specifically excluding the CBS Senior Executive Retention Plan and the letter dated as of March 16, 2018 (including any future amendments or successor arrangements thereto).</w:t>
      </w:r>
    </w:p>
    <w:p>
      <w:pPr>
        <w:spacing w:after="0" w:line="192" w:lineRule="exact"/>
        <w:rPr>
          <w:rFonts w:ascii="Arial" w:cs="Arial" w:eastAsia="Arial" w:hAnsi="Arial"/>
          <w:sz w:val="22"/>
          <w:szCs w:val="22"/>
          <w:color w:val="auto"/>
        </w:rPr>
      </w:pPr>
    </w:p>
    <w:p>
      <w:pPr>
        <w:ind w:left="1140" w:hanging="484"/>
        <w:spacing w:after="0"/>
        <w:tabs>
          <w:tab w:leader="none" w:pos="114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Payment of Deferred Compensation – Code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24"/>
        <w:spacing w:after="0" w:line="247" w:lineRule="auto"/>
        <w:tabs>
          <w:tab w:leader="none" w:pos="177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17 or otherwise) shall CBS or any of its affiliates be liable for any tax, interest or penalties that may be imposed on you under Code Section 409A. Neither CBS nor any of its affiliates have any obligation to indemnify or otherwise hold you harmless from any or all such taxes, interest or penalties, or liability for any damages related thereto. You</w:t>
      </w:r>
    </w:p>
    <w:p>
      <w:pPr>
        <w:sectPr>
          <w:pgSz w:w="11900" w:h="16838" w:orient="portrait"/>
          <w:cols w:equalWidth="0" w:num="1">
            <w:col w:w="11420"/>
          </w:cols>
          <w:pgMar w:left="240" w:top="132" w:right="2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acknowledge that you have been advised to obtain independent legal, tax or other counsel in connection with Code Section 409A.</w:t>
      </w:r>
    </w:p>
    <w:p>
      <w:pPr>
        <w:spacing w:after="0" w:line="254" w:lineRule="exact"/>
        <w:rPr>
          <w:sz w:val="20"/>
          <w:szCs w:val="20"/>
          <w:color w:val="auto"/>
        </w:rPr>
      </w:pPr>
    </w:p>
    <w:p>
      <w:pPr>
        <w:jc w:val="both"/>
        <w:ind w:firstLine="1224"/>
        <w:spacing w:after="0" w:line="253" w:lineRule="auto"/>
        <w:tabs>
          <w:tab w:leader="none" w:pos="1759" w:val="left"/>
        </w:tabs>
        <w:numPr>
          <w:ilvl w:val="1"/>
          <w:numId w:val="154"/>
        </w:numPr>
        <w:rPr>
          <w:rFonts w:ascii="Arial" w:cs="Arial" w:eastAsia="Arial" w:hAnsi="Arial"/>
          <w:sz w:val="22"/>
          <w:szCs w:val="22"/>
          <w:color w:val="auto"/>
        </w:rPr>
      </w:pPr>
      <w:r>
        <w:rPr>
          <w:rFonts w:ascii="Arial" w:cs="Arial" w:eastAsia="Arial" w:hAnsi="Arial"/>
          <w:sz w:val="22"/>
          <w:szCs w:val="22"/>
          <w:color w:val="auto"/>
        </w:rPr>
        <w:t>Your right to any in-kind benefit or reimbursement benefits pursuant to any provisions of this Agreement or pursuant to any plan or arrangement of CBS covered by this Agreement shall not be subject to liquidation or exchange for cash or another benefit.</w:t>
      </w:r>
    </w:p>
    <w:p>
      <w:pPr>
        <w:spacing w:after="0" w:line="185" w:lineRule="exact"/>
        <w:rPr>
          <w:rFonts w:ascii="Arial" w:cs="Arial" w:eastAsia="Arial" w:hAnsi="Arial"/>
          <w:sz w:val="22"/>
          <w:szCs w:val="22"/>
          <w:color w:val="auto"/>
        </w:rPr>
      </w:pPr>
    </w:p>
    <w:p>
      <w:pPr>
        <w:jc w:val="both"/>
        <w:ind w:firstLine="656"/>
        <w:spacing w:after="0" w:line="285" w:lineRule="auto"/>
        <w:tabs>
          <w:tab w:leader="none" w:pos="1202"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any disagreement or dispute whatsoever shall arise between the parties concerning, arising out of or relating to this Agreement (including the documents referenced herein) or your employment with CBS, the parties hereto agree that such disagreement or dispute shall be submitted to binding arbitration before the American Arbitration Association (the “</w:t>
      </w:r>
      <w:r>
        <w:rPr>
          <w:rFonts w:ascii="Arial" w:cs="Arial" w:eastAsia="Arial" w:hAnsi="Arial"/>
          <w:sz w:val="19"/>
          <w:szCs w:val="19"/>
          <w:b w:val="1"/>
          <w:bCs w:val="1"/>
          <w:i w:val="1"/>
          <w:iCs w:val="1"/>
          <w:color w:val="auto"/>
        </w:rPr>
        <w:t>AAA</w:t>
      </w:r>
      <w:r>
        <w:rPr>
          <w:rFonts w:ascii="Arial" w:cs="Arial" w:eastAsia="Arial" w:hAnsi="Arial"/>
          <w:sz w:val="19"/>
          <w:szCs w:val="19"/>
          <w:color w:val="auto"/>
        </w:rPr>
        <w:t>”), and that a neutral arbitrator will be selected in a manner consistent with its Employment Arbitration Rules and Mediation Procedures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xml:space="preserve">”). Such arbitration shall be confidential and private and conducted in accordance with the Rules. Any such arbitration proceeding shall take place in Los Angeles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you are the prevailing party (as determined by the arbitrator in his or her sole discretion) in a dispute concerning the enforcement of the provisions of this Agreement in relation to paragraph 7(j), you shall be entitled to recover all of your costs (including attorney’s fees) reasonably incurred in connection with such dispute. Following the arbitrator’s issuance of a final non-appealable award setting forth that you are the prevailing party, CBS shall reimburse you for such costs within thirty (30) days following its receipt of reasonable written evidence substantiating such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sole discretion, the costs that shall be reimbursed to you by CBS. Judgment upon the final award(s) rendered by such arbitrator, after giving effect to the AAA internal appeals process, may be entered in any court having jurisdiction thereof. Notwithstanding anything herein to the contrary, CBS shall be entitled to seek injunctive, provisional and equitable relief in a court proceeding as a result of your alleged violation of the terms of paragraph 6 of this Agreement, and you hereby consent and agree to exclusive personal jurisdiction in any state or federal court located in the City of New York, Borough of Manhattan.</w:t>
      </w:r>
    </w:p>
    <w:p>
      <w:pPr>
        <w:spacing w:after="0" w:line="159" w:lineRule="exact"/>
        <w:rPr>
          <w:rFonts w:ascii="Arial" w:cs="Arial" w:eastAsia="Arial" w:hAnsi="Arial"/>
          <w:sz w:val="19"/>
          <w:szCs w:val="19"/>
          <w:color w:val="auto"/>
        </w:rPr>
      </w:pPr>
    </w:p>
    <w:p>
      <w:pPr>
        <w:ind w:left="1140" w:hanging="484"/>
        <w:spacing w:after="0"/>
        <w:tabs>
          <w:tab w:leader="none" w:pos="114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p>
    <w:p>
      <w:pPr>
        <w:spacing w:after="0" w:line="260" w:lineRule="exact"/>
        <w:rPr>
          <w:rFonts w:ascii="Arial" w:cs="Arial" w:eastAsia="Arial" w:hAnsi="Arial"/>
          <w:sz w:val="22"/>
          <w:szCs w:val="22"/>
          <w:color w:val="auto"/>
        </w:rPr>
      </w:pPr>
    </w:p>
    <w:p>
      <w:pPr>
        <w:ind w:firstLine="1305"/>
        <w:spacing w:after="0" w:line="263" w:lineRule="auto"/>
        <w:tabs>
          <w:tab w:leader="none" w:pos="1908"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In the event that the payments and benefits provided for in this Agreement or other payments and benefits payable or provided to you (i) constitute</w:t>
      </w:r>
    </w:p>
    <w:p>
      <w:pPr>
        <w:sectPr>
          <w:pgSz w:w="11900" w:h="16838" w:orient="portrait"/>
          <w:cols w:equalWidth="0" w:num="1">
            <w:col w:w="11420"/>
          </w:cols>
          <w:pgMar w:left="240" w:top="132" w:right="2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“parachute payments” within the meaning of Section 280G of the Code and (ii) but for this paragraph 19, would be subject to the excise tax imposed by Section 4999 of the Code, then your payments and benefits under this Agreement or other payments or benefits (the “</w:t>
      </w:r>
      <w:r>
        <w:rPr>
          <w:rFonts w:ascii="Arial" w:cs="Arial" w:eastAsia="Arial" w:hAnsi="Arial"/>
          <w:sz w:val="22"/>
          <w:szCs w:val="22"/>
          <w:b w:val="1"/>
          <w:bCs w:val="1"/>
          <w:i w:val="1"/>
          <w:iCs w:val="1"/>
          <w:color w:val="auto"/>
        </w:rPr>
        <w:t>280G Amounts</w:t>
      </w:r>
      <w:r>
        <w:rPr>
          <w:rFonts w:ascii="Arial" w:cs="Arial" w:eastAsia="Arial" w:hAnsi="Arial"/>
          <w:sz w:val="22"/>
          <w:szCs w:val="22"/>
          <w:color w:val="auto"/>
        </w:rPr>
        <w:t>”) will be either:</w:t>
      </w:r>
    </w:p>
    <w:p>
      <w:pPr>
        <w:spacing w:after="0" w:line="186" w:lineRule="exact"/>
        <w:rPr>
          <w:sz w:val="20"/>
          <w:szCs w:val="20"/>
          <w:color w:val="auto"/>
        </w:rPr>
      </w:pPr>
    </w:p>
    <w:p>
      <w:pPr>
        <w:ind w:left="1780" w:hanging="475"/>
        <w:spacing w:after="0"/>
        <w:tabs>
          <w:tab w:leader="none" w:pos="17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19" w:lineRule="exact"/>
        <w:rPr>
          <w:rFonts w:ascii="Arial" w:cs="Arial" w:eastAsia="Arial" w:hAnsi="Arial"/>
          <w:sz w:val="22"/>
          <w:szCs w:val="22"/>
          <w:color w:val="auto"/>
        </w:rPr>
      </w:pPr>
    </w:p>
    <w:p>
      <w:pPr>
        <w:ind w:left="660" w:firstLine="645"/>
        <w:spacing w:after="0" w:line="263" w:lineRule="auto"/>
        <w:tabs>
          <w:tab w:leader="none" w:pos="192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delivered as to such lesser extent that would result in no portion of the 280G Amounts being subject to the excise tax under Section 4999 of the Code;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of the Code, results in the receipt by you on an after-tax basis of the greatest amount of 280G Amounts, notwithstanding that all or some portion of the 280G Amounts may be taxable under Section 4999 of the Code.</w:t>
      </w:r>
    </w:p>
    <w:p>
      <w:pPr>
        <w:spacing w:after="0" w:line="174" w:lineRule="exact"/>
        <w:rPr>
          <w:sz w:val="20"/>
          <w:szCs w:val="20"/>
          <w:color w:val="auto"/>
        </w:rPr>
      </w:pPr>
    </w:p>
    <w:p>
      <w:pPr>
        <w:jc w:val="both"/>
        <w:ind w:firstLine="1305"/>
        <w:spacing w:after="0" w:line="253" w:lineRule="auto"/>
        <w:tabs>
          <w:tab w:leader="none" w:pos="189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the event that a reduction of 280G Amounts is made in accordance with this paragraph 19, the reduction will occur, with respect to the 280G Amounts considered parachute payments within the meaning of Section 280G of the Code, in the following order:</w:t>
      </w:r>
    </w:p>
    <w:p>
      <w:pPr>
        <w:spacing w:after="0" w:line="185" w:lineRule="exact"/>
        <w:rPr>
          <w:rFonts w:ascii="Arial" w:cs="Arial" w:eastAsia="Arial" w:hAnsi="Arial"/>
          <w:sz w:val="22"/>
          <w:szCs w:val="22"/>
          <w:color w:val="auto"/>
        </w:rPr>
      </w:pPr>
    </w:p>
    <w:p>
      <w:pPr>
        <w:ind w:left="660" w:firstLine="1293"/>
        <w:spacing w:after="0" w:line="343" w:lineRule="auto"/>
        <w:tabs>
          <w:tab w:leader="none" w:pos="251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reduction of cash payments in reverse chronological order (</w:t>
      </w:r>
      <w:r>
        <w:rPr>
          <w:rFonts w:ascii="Arial" w:cs="Arial" w:eastAsia="Arial" w:hAnsi="Arial"/>
          <w:sz w:val="19"/>
          <w:szCs w:val="19"/>
          <w:i w:val="1"/>
          <w:iCs w:val="1"/>
          <w:color w:val="auto"/>
        </w:rPr>
        <w:t>i.e.,</w:t>
      </w:r>
      <w:r>
        <w:rPr>
          <w:rFonts w:ascii="Arial" w:cs="Arial" w:eastAsia="Arial" w:hAnsi="Arial"/>
          <w:sz w:val="19"/>
          <w:szCs w:val="19"/>
          <w:color w:val="auto"/>
        </w:rPr>
        <w:t xml:space="preserve"> the cash payment owed on the latest date following the occurrence of the event triggering the excise tax will be the first cash payment to be reduced);</w:t>
      </w:r>
    </w:p>
    <w:p>
      <w:pPr>
        <w:spacing w:after="0" w:line="104" w:lineRule="exact"/>
        <w:rPr>
          <w:rFonts w:ascii="Arial" w:cs="Arial" w:eastAsia="Arial" w:hAnsi="Arial"/>
          <w:sz w:val="19"/>
          <w:szCs w:val="19"/>
          <w:color w:val="auto"/>
        </w:rPr>
      </w:pPr>
    </w:p>
    <w:p>
      <w:pPr>
        <w:jc w:val="both"/>
        <w:ind w:left="660" w:firstLine="1293"/>
        <w:spacing w:after="0" w:line="253" w:lineRule="auto"/>
        <w:tabs>
          <w:tab w:leader="none" w:pos="2626"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cancellation of equity awards that were granted “contingent on a change in ownership or control” within the meaning of Code Section 280G, in the reverse order of date of grant of the awards (i.e., the most recently granted equity awards will be cancelled first);</w:t>
      </w:r>
    </w:p>
    <w:p>
      <w:pPr>
        <w:spacing w:after="0" w:line="185" w:lineRule="exact"/>
        <w:rPr>
          <w:rFonts w:ascii="Arial" w:cs="Arial" w:eastAsia="Arial" w:hAnsi="Arial"/>
          <w:sz w:val="22"/>
          <w:szCs w:val="22"/>
          <w:color w:val="auto"/>
        </w:rPr>
      </w:pPr>
    </w:p>
    <w:p>
      <w:pPr>
        <w:ind w:left="660" w:right="20" w:firstLine="1293"/>
        <w:spacing w:after="0" w:line="263" w:lineRule="auto"/>
        <w:tabs>
          <w:tab w:leader="none" w:pos="269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reduction of the accelerated vesting of equity awards in the reverse order of date of grant of the awards (i.e., the vesting of the most recently granted equity awards will be cancelled first); and</w:t>
      </w:r>
    </w:p>
    <w:p>
      <w:pPr>
        <w:spacing w:after="0" w:line="174" w:lineRule="exact"/>
        <w:rPr>
          <w:rFonts w:ascii="Arial" w:cs="Arial" w:eastAsia="Arial" w:hAnsi="Arial"/>
          <w:sz w:val="22"/>
          <w:szCs w:val="22"/>
          <w:color w:val="auto"/>
        </w:rPr>
      </w:pPr>
    </w:p>
    <w:p>
      <w:pPr>
        <w:ind w:left="660" w:firstLine="1293"/>
        <w:spacing w:after="0" w:line="287" w:lineRule="auto"/>
        <w:tabs>
          <w:tab w:leader="none" w:pos="2562" w:val="left"/>
        </w:tabs>
        <w:numPr>
          <w:ilvl w:val="1"/>
          <w:numId w:val="157"/>
        </w:numPr>
        <w:rPr>
          <w:rFonts w:ascii="Arial" w:cs="Arial" w:eastAsia="Arial" w:hAnsi="Arial"/>
          <w:sz w:val="21"/>
          <w:szCs w:val="21"/>
          <w:color w:val="auto"/>
        </w:rPr>
      </w:pPr>
      <w:r>
        <w:rPr>
          <w:rFonts w:ascii="Arial" w:cs="Arial" w:eastAsia="Arial" w:hAnsi="Arial"/>
          <w:sz w:val="21"/>
          <w:szCs w:val="21"/>
          <w:color w:val="auto"/>
        </w:rPr>
        <w:t>reduction of employee benefits in reverse chronological order (i.e., the benefit owed on the latest date following the occurrence of the event triggering the excise tax will be the first benefit to be reduced).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In no event will you have any discretion with respect to the ordering of payment reductions.</w:t>
      </w:r>
    </w:p>
    <w:p>
      <w:pPr>
        <w:spacing w:after="0" w:line="260" w:lineRule="exact"/>
        <w:rPr>
          <w:sz w:val="20"/>
          <w:szCs w:val="20"/>
          <w:color w:val="auto"/>
        </w:rPr>
      </w:pPr>
    </w:p>
    <w:p>
      <w:pPr>
        <w:ind w:firstLine="1305"/>
        <w:spacing w:after="0" w:line="287" w:lineRule="auto"/>
        <w:tabs>
          <w:tab w:leader="none" w:pos="1877" w:val="left"/>
        </w:tabs>
        <w:numPr>
          <w:ilvl w:val="0"/>
          <w:numId w:val="158"/>
        </w:numPr>
        <w:rPr>
          <w:rFonts w:ascii="Arial" w:cs="Arial" w:eastAsia="Arial" w:hAnsi="Arial"/>
          <w:sz w:val="21"/>
          <w:szCs w:val="21"/>
          <w:color w:val="auto"/>
        </w:rPr>
      </w:pPr>
      <w:r>
        <w:rPr>
          <w:rFonts w:ascii="Arial" w:cs="Arial" w:eastAsia="Arial" w:hAnsi="Arial"/>
          <w:sz w:val="21"/>
          <w:szCs w:val="21"/>
          <w:color w:val="auto"/>
        </w:rPr>
        <w:t>Unless you and CBS otherwise agree in writing, any determination required under this paragraph 19 will be made in writing by a nationally recognized accounting or valuation firm (the “</w:t>
      </w:r>
      <w:r>
        <w:rPr>
          <w:rFonts w:ascii="Arial" w:cs="Arial" w:eastAsia="Arial" w:hAnsi="Arial"/>
          <w:sz w:val="21"/>
          <w:szCs w:val="21"/>
          <w:b w:val="1"/>
          <w:bCs w:val="1"/>
          <w:i w:val="1"/>
          <w:iCs w:val="1"/>
          <w:color w:val="auto"/>
        </w:rPr>
        <w:t>Firm</w:t>
      </w:r>
      <w:r>
        <w:rPr>
          <w:rFonts w:ascii="Arial" w:cs="Arial" w:eastAsia="Arial" w:hAnsi="Arial"/>
          <w:sz w:val="21"/>
          <w:szCs w:val="21"/>
          <w:color w:val="auto"/>
        </w:rPr>
        <w:t>”) selected by CBS, whose</w:t>
      </w:r>
    </w:p>
    <w:p>
      <w:pPr>
        <w:sectPr>
          <w:pgSz w:w="11900" w:h="16838" w:orient="portrait"/>
          <w:cols w:equalWidth="0" w:num="1">
            <w:col w:w="11420"/>
          </w:cols>
          <w:pgMar w:left="240" w:top="132"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determination will be conclusive and binding upon you and CBS for all purposes. For purposes of making the calculations required by this paragraph 19, the Firm may make reasonable assumptions and approximations concerning applicable taxes and may rely on reasonable, good faith interpretations concerning the application of Sections 280G and 4999 of the Code. CBS and you will furnish to the Firm such information and documents as the Firm may reasonably request in order to make a determination under this paragraph 19. CBS will bear all costs for payment of the Firm’s services in connection with any calculations contemplated by this paragraph 19.</w:t>
      </w:r>
    </w:p>
    <w:p>
      <w:pPr>
        <w:spacing w:after="0" w:line="194" w:lineRule="exact"/>
        <w:rPr>
          <w:sz w:val="20"/>
          <w:szCs w:val="20"/>
          <w:color w:val="auto"/>
        </w:rPr>
      </w:pPr>
    </w:p>
    <w:p>
      <w:pPr>
        <w:jc w:val="both"/>
        <w:ind w:firstLine="656"/>
        <w:spacing w:after="0" w:line="265" w:lineRule="auto"/>
        <w:tabs>
          <w:tab w:leader="none" w:pos="1134"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Any compensation provided to you, whether under this Agreement or otherwise, with regard to your employment with CBS and/or its subsidiaries, as applicable, shall be subject to the applicable provisions of any clawback policy implemented by CBS from time to time, including any policy implemented pursuant to the Dodd-Frank Wall Street Reform and Consumer Protection Act and any rules or regulations promulgated thereunder.</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202"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132"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our understanding, please sign, date and return all four (4) copies of this Agreement to the undersigned for execution on behalf of CBS; after this Agreement has been executed by CBS and a fully-executed copy returned to you, it shall constitute a binding agreement between us.</w:t>
      </w:r>
    </w:p>
    <w:p>
      <w:pPr>
        <w:spacing w:after="0" w:line="200" w:lineRule="exact"/>
        <w:rPr>
          <w:sz w:val="20"/>
          <w:szCs w:val="20"/>
          <w:color w:val="auto"/>
        </w:rPr>
      </w:pPr>
    </w:p>
    <w:p>
      <w:pPr>
        <w:spacing w:after="0" w:line="391"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CBS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Anthony G. Ambrosio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35331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58"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Anthony G. Ambrosio</w:t>
      </w:r>
    </w:p>
    <w:p>
      <w:pPr>
        <w:spacing w:after="0" w:line="79" w:lineRule="exact"/>
        <w:rPr>
          <w:sz w:val="20"/>
          <w:szCs w:val="20"/>
          <w:color w:val="auto"/>
        </w:rPr>
      </w:pPr>
    </w:p>
    <w:p>
      <w:pPr>
        <w:sectPr>
          <w:pgSz w:w="11900" w:h="16838" w:orient="portrait"/>
          <w:cols w:equalWidth="0" w:num="2">
            <w:col w:w="6440" w:space="420"/>
            <w:col w:w="4560"/>
          </w:cols>
          <w:pgMar w:left="240" w:top="132" w:right="239" w:bottom="1440" w:gutter="0" w:footer="0" w:header="0"/>
          <w:type w:val="continuous"/>
        </w:sectPr>
      </w:pPr>
    </w:p>
    <w:p>
      <w:pPr>
        <w:ind w:left="586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Executive Vice President,</w:t>
      </w:r>
    </w:p>
    <w:p>
      <w:pPr>
        <w:spacing w:after="0" w:line="78" w:lineRule="exact"/>
        <w:rPr>
          <w:sz w:val="20"/>
          <w:szCs w:val="20"/>
          <w:color w:val="auto"/>
        </w:rPr>
      </w:pPr>
    </w:p>
    <w:p>
      <w:pPr>
        <w:sectPr>
          <w:pgSz w:w="11900" w:h="16838" w:orient="portrait"/>
          <w:cols w:equalWidth="0" w:num="2">
            <w:col w:w="6320" w:space="540"/>
            <w:col w:w="4560"/>
          </w:cols>
          <w:pgMar w:left="240" w:top="132" w:right="239" w:bottom="1440" w:gutter="0" w:footer="0" w:header="0"/>
          <w:type w:val="continuous"/>
        </w:sectPr>
      </w:pPr>
    </w:p>
    <w:p>
      <w:pPr>
        <w:ind w:left="6860"/>
        <w:spacing w:after="0"/>
        <w:rPr>
          <w:sz w:val="20"/>
          <w:szCs w:val="20"/>
          <w:color w:val="auto"/>
        </w:rPr>
      </w:pPr>
      <w:r>
        <w:rPr>
          <w:rFonts w:ascii="Arial" w:cs="Arial" w:eastAsia="Arial" w:hAnsi="Arial"/>
          <w:sz w:val="19"/>
          <w:szCs w:val="19"/>
          <w:color w:val="auto"/>
        </w:rPr>
        <w:t>Chief Administrative Officer and</w:t>
      </w:r>
    </w:p>
    <w:p>
      <w:pPr>
        <w:spacing w:after="0" w:line="79"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Chief Human Resources Officer</w:t>
      </w:r>
    </w:p>
    <w:p>
      <w:pPr>
        <w:sectPr>
          <w:pgSz w:w="11900" w:h="16838" w:orient="portrait"/>
          <w:cols w:equalWidth="0" w:num="1">
            <w:col w:w="11420"/>
          </w:cols>
          <w:pgMar w:left="240" w:top="1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Jonathan Anschell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70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Jonathan Anschell</w:t>
      </w:r>
    </w:p>
    <w:p>
      <w:pPr>
        <w:spacing w:after="0" w:line="36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Dated:</w:t>
        <w:tab/>
        <w:t>6/14/18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2752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037590" cy="523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51 West 52</w:t>
      </w:r>
      <w:r>
        <w:rPr>
          <w:rFonts w:ascii="Arial" w:cs="Arial" w:eastAsia="Arial" w:hAnsi="Arial"/>
          <w:sz w:val="8"/>
          <w:szCs w:val="8"/>
          <w:color w:val="auto"/>
        </w:rPr>
        <w:t>nd</w:t>
      </w:r>
      <w:r>
        <w:rPr>
          <w:rFonts w:ascii="Arial" w:cs="Arial" w:eastAsia="Arial" w:hAnsi="Arial"/>
          <w:sz w:val="14"/>
          <w:szCs w:val="14"/>
          <w:color w:val="auto"/>
        </w:rPr>
        <w:t xml:space="preserve"> Street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CBS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10019</w:t>
      </w:r>
    </w:p>
    <w:p>
      <w:pPr>
        <w:spacing w:after="0" w:line="350" w:lineRule="exact"/>
        <w:rPr>
          <w:sz w:val="20"/>
          <w:szCs w:val="20"/>
          <w:color w:val="auto"/>
        </w:rPr>
      </w:pPr>
    </w:p>
    <w:p>
      <w:pPr>
        <w:ind w:left="40"/>
        <w:spacing w:after="0"/>
        <w:tabs>
          <w:tab w:leader="none" w:pos="9540" w:val="left"/>
        </w:tabs>
        <w:rPr>
          <w:sz w:val="20"/>
          <w:szCs w:val="20"/>
          <w:color w:val="auto"/>
        </w:rPr>
      </w:pPr>
      <w:r>
        <w:rPr>
          <w:rFonts w:ascii="Arial" w:cs="Arial" w:eastAsia="Arial" w:hAnsi="Arial"/>
          <w:sz w:val="22"/>
          <w:szCs w:val="22"/>
          <w:color w:val="auto"/>
        </w:rPr>
        <w:t>Dear Jonathan:</w:t>
      </w:r>
      <w:r>
        <w:rPr>
          <w:sz w:val="20"/>
          <w:szCs w:val="20"/>
          <w:color w:val="auto"/>
        </w:rPr>
        <w:tab/>
      </w:r>
      <w:r>
        <w:rPr>
          <w:rFonts w:ascii="Arial" w:cs="Arial" w:eastAsia="Arial" w:hAnsi="Arial"/>
          <w:sz w:val="19"/>
          <w:szCs w:val="19"/>
          <w:color w:val="auto"/>
        </w:rPr>
        <w:t>as of January 1, 2019</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 am delivering, subsequent to the full execution of your employment agreement with CBS Corporation (the “</w:t>
      </w:r>
      <w:r>
        <w:rPr>
          <w:rFonts w:ascii="Arial" w:cs="Arial" w:eastAsia="Arial" w:hAnsi="Arial"/>
          <w:sz w:val="22"/>
          <w:szCs w:val="22"/>
          <w:b w:val="1"/>
          <w:bCs w:val="1"/>
          <w:i w:val="1"/>
          <w:iCs w:val="1"/>
          <w:color w:val="auto"/>
        </w:rPr>
        <w:t>CBS</w:t>
      </w:r>
      <w:r>
        <w:rPr>
          <w:rFonts w:ascii="Arial" w:cs="Arial" w:eastAsia="Arial" w:hAnsi="Arial"/>
          <w:sz w:val="22"/>
          <w:szCs w:val="22"/>
          <w:color w:val="auto"/>
        </w:rPr>
        <w:t>”) dated as of January 1, 2019 (the “</w:t>
      </w:r>
      <w:r>
        <w:rPr>
          <w:rFonts w:ascii="Arial" w:cs="Arial" w:eastAsia="Arial" w:hAnsi="Arial"/>
          <w:sz w:val="22"/>
          <w:szCs w:val="22"/>
          <w:b w:val="1"/>
          <w:bCs w:val="1"/>
          <w:i w:val="1"/>
          <w:iCs w:val="1"/>
          <w:color w:val="auto"/>
        </w:rPr>
        <w:t>2019 Employment Agreement</w:t>
      </w:r>
      <w:r>
        <w:rPr>
          <w:rFonts w:ascii="Arial" w:cs="Arial" w:eastAsia="Arial" w:hAnsi="Arial"/>
          <w:sz w:val="22"/>
          <w:szCs w:val="22"/>
          <w:color w:val="auto"/>
        </w:rPr>
        <w:t>”), this summary of our conversations regarding certain provisions in the 2019 Employment Agreement in order to clarify and provide direction for both parties regarding the circumstances in which you are permitted to resign your employment without Good Reason during the Term thereof and such resignation not be deemed a termination for Cause. Capitalized terms used in this letter and not otherwise defined herein shall have the meanings ascribed thereto in the 2019 Employment Agreement.</w:t>
      </w:r>
    </w:p>
    <w:p>
      <w:pPr>
        <w:spacing w:after="0" w:line="194" w:lineRule="exact"/>
        <w:rPr>
          <w:sz w:val="20"/>
          <w:szCs w:val="20"/>
          <w:color w:val="auto"/>
        </w:rPr>
      </w:pPr>
    </w:p>
    <w:p>
      <w:pPr>
        <w:jc w:val="both"/>
        <w:ind w:left="340" w:hanging="332"/>
        <w:spacing w:after="0" w:line="253" w:lineRule="auto"/>
        <w:tabs>
          <w:tab w:leader="none" w:pos="3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paragraph 3(b)(ii) of your employment agreement with CBS dated as of January 1, 2016, CBS agrees that your bonus for calendar year 2018 shall be determined based on a blended target, which blended target shall be equal to the sum of (</w:t>
      </w:r>
      <w:r>
        <w:rPr>
          <w:rFonts w:ascii="Arial" w:cs="Arial" w:eastAsia="Arial" w:hAnsi="Arial"/>
          <w:sz w:val="22"/>
          <w:szCs w:val="22"/>
          <w:i w:val="1"/>
          <w:iCs w:val="1"/>
          <w:color w:val="auto"/>
        </w:rPr>
        <w:t>x</w:t>
      </w:r>
      <w:r>
        <w:rPr>
          <w:rFonts w:ascii="Arial" w:cs="Arial" w:eastAsia="Arial" w:hAnsi="Arial"/>
          <w:sz w:val="22"/>
          <w:szCs w:val="22"/>
          <w:color w:val="auto"/>
        </w:rPr>
        <w:t>) and (</w:t>
      </w:r>
      <w:r>
        <w:rPr>
          <w:rFonts w:ascii="Arial" w:cs="Arial" w:eastAsia="Arial" w:hAnsi="Arial"/>
          <w:sz w:val="22"/>
          <w:szCs w:val="22"/>
          <w:i w:val="1"/>
          <w:iCs w:val="1"/>
          <w:color w:val="auto"/>
        </w:rPr>
        <w:t>y</w:t>
      </w:r>
      <w:r>
        <w:rPr>
          <w:rFonts w:ascii="Arial" w:cs="Arial" w:eastAsia="Arial" w:hAnsi="Arial"/>
          <w:sz w:val="22"/>
          <w:szCs w:val="22"/>
          <w:color w:val="auto"/>
        </w:rPr>
        <w:t>), where:</w:t>
      </w:r>
    </w:p>
    <w:p>
      <w:pPr>
        <w:spacing w:after="0" w:line="185" w:lineRule="exact"/>
        <w:rPr>
          <w:rFonts w:ascii="Arial" w:cs="Arial" w:eastAsia="Arial" w:hAnsi="Arial"/>
          <w:sz w:val="22"/>
          <w:szCs w:val="22"/>
          <w:color w:val="auto"/>
        </w:rPr>
      </w:pPr>
    </w:p>
    <w:p>
      <w:pPr>
        <w:ind w:left="660" w:hanging="324"/>
        <w:spacing w:after="0" w:line="253"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x</w:t>
      </w:r>
      <w:r>
        <w:rPr>
          <w:rFonts w:ascii="Arial" w:cs="Arial" w:eastAsia="Arial" w:hAnsi="Arial"/>
          <w:sz w:val="22"/>
          <w:szCs w:val="22"/>
          <w:color w:val="auto"/>
        </w:rPr>
        <w:t>) equals 90% of your base salary in effect on November 1, 2018 multiplied by a fraction, the numerator of which is the number of calendar days in 2018 through and including the date on which you execute the 2019 Employment Agreement and the denominator of which is 365; and</w:t>
      </w:r>
    </w:p>
    <w:p>
      <w:pPr>
        <w:spacing w:after="0" w:line="185" w:lineRule="exact"/>
        <w:rPr>
          <w:rFonts w:ascii="Arial" w:cs="Arial" w:eastAsia="Arial" w:hAnsi="Arial"/>
          <w:sz w:val="22"/>
          <w:szCs w:val="22"/>
          <w:color w:val="auto"/>
        </w:rPr>
      </w:pPr>
    </w:p>
    <w:p>
      <w:pPr>
        <w:ind w:left="660" w:hanging="324"/>
        <w:spacing w:after="0" w:line="253"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y</w:t>
      </w:r>
      <w:r>
        <w:rPr>
          <w:rFonts w:ascii="Arial" w:cs="Arial" w:eastAsia="Arial" w:hAnsi="Arial"/>
          <w:sz w:val="22"/>
          <w:szCs w:val="22"/>
          <w:color w:val="auto"/>
        </w:rPr>
        <w:t>) equals 100% of your base salary in effect on November 1, 2018 multiplied by a fraction, the numerator of which is the number of calendar days remaining in 2018 after the date on which you execute the 2019 Employment Agreement and the denominator of which is 365.</w:t>
      </w:r>
    </w:p>
    <w:p>
      <w:pPr>
        <w:spacing w:after="0" w:line="199" w:lineRule="exact"/>
        <w:rPr>
          <w:rFonts w:ascii="Arial" w:cs="Arial" w:eastAsia="Arial" w:hAnsi="Arial"/>
          <w:sz w:val="22"/>
          <w:szCs w:val="22"/>
          <w:color w:val="auto"/>
        </w:rPr>
      </w:pPr>
    </w:p>
    <w:p>
      <w:pPr>
        <w:ind w:left="340" w:right="20" w:hanging="332"/>
        <w:spacing w:after="0" w:line="263" w:lineRule="auto"/>
        <w:tabs>
          <w:tab w:leader="none" w:pos="3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As exceptions to the provisions of paragraphs 1, 6(a), 7(a)(i) and 7(f)(i) of the 2019 Employment Agreement, you and CBS have agreed as follows:</w:t>
      </w:r>
    </w:p>
    <w:p>
      <w:pPr>
        <w:spacing w:after="0" w:line="174"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During the Term, you may entertain, pursue and/or accept outside employment opportunities that are specifically and explicitly for you to become the General Counsel (</w:t>
      </w:r>
      <w:r>
        <w:rPr>
          <w:rFonts w:ascii="Arial" w:cs="Arial" w:eastAsia="Arial" w:hAnsi="Arial"/>
          <w:sz w:val="21"/>
          <w:szCs w:val="21"/>
          <w:i w:val="1"/>
          <w:iCs w:val="1"/>
          <w:color w:val="auto"/>
        </w:rPr>
        <w:t>i.e.</w:t>
      </w:r>
      <w:r>
        <w:rPr>
          <w:rFonts w:ascii="Arial" w:cs="Arial" w:eastAsia="Arial" w:hAnsi="Arial"/>
          <w:sz w:val="21"/>
          <w:szCs w:val="21"/>
          <w:color w:val="auto"/>
        </w:rPr>
        <w:t xml:space="preserve">, the chief legal officer) of a publicly-traded corporation in the entertainment or media industry (including, but not limited to, broadcast, theatrical, online and social media);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publicly-traded corporation is a direct or indirect subsidiary of a publicly-held parent company, you will only be permitted to entertain and pursue employment opportunities with the publicly-held parent</w:t>
      </w:r>
    </w:p>
    <w:p>
      <w:pPr>
        <w:sectPr>
          <w:pgSz w:w="11900" w:h="16838" w:orient="portrait"/>
          <w:cols w:equalWidth="0" w:num="1">
            <w:col w:w="11420"/>
          </w:cols>
          <w:pgMar w:left="240" w:top="639"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29"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company. By way of example and for avoidance of doubt, the position of General Counsel of NBCU under its current ownership structure would not qualify under this provision, whereas the position of General Counsel of Comcast Corporation would qualify.</w:t>
      </w:r>
    </w:p>
    <w:p>
      <w:pPr>
        <w:spacing w:after="0" w:line="226" w:lineRule="exact"/>
        <w:rPr>
          <w:sz w:val="20"/>
          <w:szCs w:val="20"/>
          <w:color w:val="auto"/>
        </w:rPr>
      </w:pPr>
    </w:p>
    <w:p>
      <w:pPr>
        <w:jc w:val="both"/>
        <w:ind w:left="660" w:hanging="328"/>
        <w:spacing w:after="0" w:line="297" w:lineRule="auto"/>
        <w:tabs>
          <w:tab w:leader="none" w:pos="6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during the Term, CBS hires a new General Counsel / Chief Legal Officer with overall responsibility for the legal affairs of CBS Corporation, or, in the event of a merger with Viacom Inc., the post-merger corporation hires a new corporate General Counsel / Chief Legal Officer who is not the incumbent General Counsel / Chief Legal officer with overall responsibility for the legal affairs of the post-merger corporation upon the closing of the merger, you may entertain, pursue and accept outside employment opportunities without the restrictions set forth in paragraph A above.</w:t>
      </w:r>
    </w:p>
    <w:p>
      <w:pPr>
        <w:spacing w:after="0" w:line="187"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the event that you determine that you will accept a qualifying position under paragraph A or B above, you will make all reasonable and good faith efforts to notify CBS as early as possible and to negotiate with any potential new employer to ensure a gradual, rather than expedited, transition from your duties and responsibilities under the 2019 Employment Agreement.</w:t>
      </w:r>
    </w:p>
    <w:p>
      <w:pPr>
        <w:spacing w:after="0" w:line="228" w:lineRule="exact"/>
        <w:rPr>
          <w:rFonts w:ascii="Arial" w:cs="Arial" w:eastAsia="Arial" w:hAnsi="Arial"/>
          <w:sz w:val="22"/>
          <w:szCs w:val="22"/>
          <w:color w:val="auto"/>
        </w:rPr>
      </w:pPr>
    </w:p>
    <w:p>
      <w:pPr>
        <w:jc w:val="both"/>
        <w:ind w:left="660" w:hanging="328"/>
        <w:spacing w:after="0" w:line="271" w:lineRule="auto"/>
        <w:tabs>
          <w:tab w:leader="none" w:pos="66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In the event that you accept a qualifying position under paragraph A or B above, CBS will accept your resignation. You acknowledge that, in such event, no severance shall be due or payable to you, other than accrued obligations (including, but not limited to, any vested stock options, RSUs and/or retirement/pension benefits).</w:t>
      </w:r>
    </w:p>
    <w:p>
      <w:pPr>
        <w:spacing w:after="0" w:line="31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CBS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0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Anthony G. Ambrosio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24765</wp:posOffset>
            </wp:positionV>
            <wp:extent cx="34645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5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Anthony G. Ambrosio</w:t>
      </w:r>
    </w:p>
    <w:p>
      <w:pPr>
        <w:spacing w:after="0" w:line="79" w:lineRule="exact"/>
        <w:rPr>
          <w:sz w:val="20"/>
          <w:szCs w:val="20"/>
          <w:color w:val="auto"/>
        </w:rPr>
      </w:pPr>
    </w:p>
    <w:p>
      <w:pPr>
        <w:sectPr>
          <w:pgSz w:w="11900" w:h="16838" w:orient="portrait"/>
          <w:cols w:equalWidth="0" w:num="2">
            <w:col w:w="6560" w:space="400"/>
            <w:col w:w="4460"/>
          </w:cols>
          <w:pgMar w:left="240" w:top="132" w:right="239" w:bottom="1440" w:gutter="0" w:footer="0" w:header="0"/>
          <w:type w:val="continuous"/>
        </w:sectPr>
      </w:pPr>
    </w:p>
    <w:p>
      <w:pPr>
        <w:ind w:left="60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Executive Vice President,</w:t>
      </w:r>
    </w:p>
    <w:p>
      <w:pPr>
        <w:spacing w:after="0" w:line="78" w:lineRule="exact"/>
        <w:rPr>
          <w:sz w:val="20"/>
          <w:szCs w:val="20"/>
          <w:color w:val="auto"/>
        </w:rPr>
      </w:pPr>
    </w:p>
    <w:p>
      <w:pPr>
        <w:sectPr>
          <w:pgSz w:w="11900" w:h="16838" w:orient="portrait"/>
          <w:cols w:equalWidth="0" w:num="2">
            <w:col w:w="6460" w:space="500"/>
            <w:col w:w="4460"/>
          </w:cols>
          <w:pgMar w:left="240" w:top="132" w:right="239" w:bottom="1440" w:gutter="0" w:footer="0" w:header="0"/>
          <w:type w:val="continuous"/>
        </w:sectPr>
      </w:pPr>
    </w:p>
    <w:p>
      <w:pPr>
        <w:ind w:left="6960"/>
        <w:spacing w:after="0"/>
        <w:rPr>
          <w:sz w:val="20"/>
          <w:szCs w:val="20"/>
          <w:color w:val="auto"/>
        </w:rPr>
      </w:pPr>
      <w:r>
        <w:rPr>
          <w:rFonts w:ascii="Arial" w:cs="Arial" w:eastAsia="Arial" w:hAnsi="Arial"/>
          <w:sz w:val="19"/>
          <w:szCs w:val="19"/>
          <w:color w:val="auto"/>
        </w:rPr>
        <w:t>Chief Administrative Officer and</w:t>
      </w:r>
    </w:p>
    <w:p>
      <w:pPr>
        <w:spacing w:after="0" w:line="79" w:lineRule="exact"/>
        <w:rPr>
          <w:sz w:val="20"/>
          <w:szCs w:val="20"/>
          <w:color w:val="auto"/>
        </w:rPr>
      </w:pPr>
    </w:p>
    <w:p>
      <w:pPr>
        <w:ind w:left="6960"/>
        <w:spacing w:after="0"/>
        <w:rPr>
          <w:sz w:val="20"/>
          <w:szCs w:val="20"/>
          <w:color w:val="auto"/>
        </w:rPr>
      </w:pPr>
      <w:r>
        <w:rPr>
          <w:rFonts w:ascii="Arial" w:cs="Arial" w:eastAsia="Arial" w:hAnsi="Arial"/>
          <w:sz w:val="19"/>
          <w:szCs w:val="19"/>
          <w:color w:val="auto"/>
        </w:rPr>
        <w:t>Chief Human Resources Officer</w:t>
      </w:r>
    </w:p>
    <w:p>
      <w:pPr>
        <w:sectPr>
          <w:pgSz w:w="11900" w:h="16838" w:orient="portrait"/>
          <w:cols w:equalWidth="0" w:num="1">
            <w:col w:w="11420"/>
          </w:cols>
          <w:pgMar w:left="240" w:top="132" w:right="239"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037590" cy="523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51 West 52</w:t>
      </w:r>
      <w:r>
        <w:rPr>
          <w:rFonts w:ascii="Arial" w:cs="Arial" w:eastAsia="Arial" w:hAnsi="Arial"/>
          <w:sz w:val="8"/>
          <w:szCs w:val="8"/>
          <w:color w:val="auto"/>
        </w:rPr>
        <w:t>nd</w:t>
      </w:r>
      <w:r>
        <w:rPr>
          <w:rFonts w:ascii="Arial" w:cs="Arial" w:eastAsia="Arial" w:hAnsi="Arial"/>
          <w:sz w:val="14"/>
          <w:szCs w:val="14"/>
          <w:color w:val="auto"/>
        </w:rPr>
        <w:t xml:space="preserve"> Street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Richard M. Jones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 CBS Corporation</w:t>
      </w:r>
    </w:p>
    <w:p>
      <w:pPr>
        <w:spacing w:after="0" w:line="203" w:lineRule="auto"/>
        <w:rPr>
          <w:sz w:val="20"/>
          <w:szCs w:val="20"/>
          <w:color w:val="auto"/>
        </w:rPr>
      </w:pPr>
      <w:r>
        <w:rPr>
          <w:rFonts w:ascii="Arial" w:cs="Arial" w:eastAsia="Arial" w:hAnsi="Arial"/>
          <w:sz w:val="22"/>
          <w:szCs w:val="22"/>
          <w:color w:val="auto"/>
        </w:rPr>
        <w:t>51 W.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10019</w:t>
      </w:r>
    </w:p>
    <w:p>
      <w:pPr>
        <w:spacing w:after="0" w:line="391" w:lineRule="exact"/>
        <w:rPr>
          <w:sz w:val="20"/>
          <w:szCs w:val="20"/>
          <w:color w:val="auto"/>
        </w:rPr>
      </w:pPr>
    </w:p>
    <w:p>
      <w:pPr>
        <w:ind w:left="40"/>
        <w:spacing w:after="0"/>
        <w:tabs>
          <w:tab w:leader="none" w:pos="9540" w:val="left"/>
        </w:tabs>
        <w:rPr>
          <w:sz w:val="20"/>
          <w:szCs w:val="20"/>
          <w:color w:val="auto"/>
        </w:rPr>
      </w:pPr>
      <w:r>
        <w:rPr>
          <w:rFonts w:ascii="Arial" w:cs="Arial" w:eastAsia="Arial" w:hAnsi="Arial"/>
          <w:sz w:val="22"/>
          <w:szCs w:val="22"/>
          <w:color w:val="auto"/>
        </w:rPr>
        <w:t>Dear Rich:</w:t>
      </w:r>
      <w:r>
        <w:rPr>
          <w:sz w:val="20"/>
          <w:szCs w:val="20"/>
          <w:color w:val="auto"/>
        </w:rPr>
        <w:tab/>
      </w:r>
      <w:r>
        <w:rPr>
          <w:rFonts w:ascii="Arial" w:cs="Arial" w:eastAsia="Arial" w:hAnsi="Arial"/>
          <w:sz w:val="19"/>
          <w:szCs w:val="19"/>
          <w:color w:val="auto"/>
        </w:rPr>
        <w:t>as of January 1, 2019</w:t>
      </w:r>
    </w:p>
    <w:p>
      <w:pPr>
        <w:spacing w:after="0" w:line="276"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CBS Corporation (“</w:t>
      </w:r>
      <w:r>
        <w:rPr>
          <w:rFonts w:ascii="Arial" w:cs="Arial" w:eastAsia="Arial" w:hAnsi="Arial"/>
          <w:sz w:val="22"/>
          <w:szCs w:val="22"/>
          <w:b w:val="1"/>
          <w:bCs w:val="1"/>
          <w:i w:val="1"/>
          <w:iCs w:val="1"/>
          <w:color w:val="auto"/>
        </w:rPr>
        <w:t>CBS</w:t>
      </w:r>
      <w:r>
        <w:rPr>
          <w:rFonts w:ascii="Arial" w:cs="Arial" w:eastAsia="Arial" w:hAnsi="Arial"/>
          <w:sz w:val="22"/>
          <w:szCs w:val="22"/>
          <w:color w:val="auto"/>
        </w:rPr>
        <w:t>”), having an address at 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New York, New York 10019, agrees to employ you and you agree to accept such employment upon the following terms and conditions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99" w:lineRule="exact"/>
        <w:rPr>
          <w:sz w:val="20"/>
          <w:szCs w:val="20"/>
          <w:color w:val="auto"/>
        </w:rPr>
      </w:pPr>
    </w:p>
    <w:p>
      <w:pPr>
        <w:jc w:val="both"/>
        <w:ind w:firstLine="656"/>
        <w:spacing w:after="0" w:line="250" w:lineRule="auto"/>
        <w:tabs>
          <w:tab w:leader="none" w:pos="1107"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your employment under this Agreement shall commence on January 1,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unless earlier terminated under this Agreement, shall expire on December 31, 2021 (the “</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The period from the Effective Date through the Expiration Date is referred to herein as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notwithstanding any earlier termination of your employment for any reason.</w:t>
      </w:r>
    </w:p>
    <w:p>
      <w:pPr>
        <w:spacing w:after="0" w:line="188" w:lineRule="exact"/>
        <w:rPr>
          <w:rFonts w:ascii="Arial" w:cs="Arial" w:eastAsia="Arial" w:hAnsi="Arial"/>
          <w:sz w:val="22"/>
          <w:szCs w:val="22"/>
          <w:color w:val="auto"/>
        </w:rPr>
      </w:pPr>
    </w:p>
    <w:p>
      <w:pPr>
        <w:jc w:val="both"/>
        <w:ind w:firstLine="656"/>
        <w:spacing w:after="0" w:line="247" w:lineRule="auto"/>
        <w:tabs>
          <w:tab w:leader="none" w:pos="104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You agree to devote your entire business time, attention and energies to the business of CBS. You will serve as Executive Vice President, General Tax Counsel and Chief Veteran Officer, and you will report to the Chief Operating Officer (the “</w:t>
      </w:r>
      <w:r>
        <w:rPr>
          <w:rFonts w:ascii="Arial" w:cs="Arial" w:eastAsia="Arial" w:hAnsi="Arial"/>
          <w:sz w:val="22"/>
          <w:szCs w:val="22"/>
          <w:b w:val="1"/>
          <w:bCs w:val="1"/>
          <w:i w:val="1"/>
          <w:iCs w:val="1"/>
          <w:color w:val="auto"/>
        </w:rPr>
        <w:t>COO</w:t>
      </w:r>
      <w:r>
        <w:rPr>
          <w:rFonts w:ascii="Arial" w:cs="Arial" w:eastAsia="Arial" w:hAnsi="Arial"/>
          <w:sz w:val="22"/>
          <w:szCs w:val="22"/>
          <w:color w:val="auto"/>
        </w:rPr>
        <w:t xml:space="preserve">”). You agree to perform all duties reasonable and consistent with that office as the COO or other individual designated by the COO may assign to you from time to time. Your principal place of employment will be CBS’s executive offices in the New York metropolitan area;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you may be required to render services in the Los Angeles metropolitan area and elsewhere upon request for business reasons.</w:t>
      </w:r>
    </w:p>
    <w:p>
      <w:pPr>
        <w:spacing w:after="0" w:line="193" w:lineRule="exact"/>
        <w:rPr>
          <w:rFonts w:ascii="Arial" w:cs="Arial" w:eastAsia="Arial" w:hAnsi="Arial"/>
          <w:sz w:val="22"/>
          <w:szCs w:val="22"/>
          <w:color w:val="auto"/>
        </w:rPr>
      </w:pPr>
    </w:p>
    <w:p>
      <w:pPr>
        <w:ind w:left="1040" w:hanging="384"/>
        <w:spacing w:after="0"/>
        <w:tabs>
          <w:tab w:leader="none" w:pos="104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8" w:lineRule="auto"/>
        <w:tabs>
          <w:tab w:leader="none" w:pos="1766"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For all the services rendered by you in any capacity under this Agreement, CBS agrees to pay you base salary (“</w:t>
      </w:r>
      <w:r>
        <w:rPr>
          <w:rFonts w:ascii="Arial" w:cs="Arial" w:eastAsia="Arial" w:hAnsi="Arial"/>
          <w:sz w:val="22"/>
          <w:szCs w:val="22"/>
          <w:b w:val="1"/>
          <w:bCs w:val="1"/>
          <w:i w:val="1"/>
          <w:iCs w:val="1"/>
          <w:color w:val="auto"/>
        </w:rPr>
        <w:t>Salary</w:t>
      </w:r>
      <w:r>
        <w:rPr>
          <w:rFonts w:ascii="Arial" w:cs="Arial" w:eastAsia="Arial" w:hAnsi="Arial"/>
          <w:sz w:val="22"/>
          <w:szCs w:val="22"/>
          <w:color w:val="auto"/>
        </w:rPr>
        <w:t>”) at the rate of Six Hundred Seventy-Five Thousand Dollars ($675,000) per annum, less applicable deductions and withholding taxes, in accordance with CBS’s payroll practices as they may exist from time to time. During the Term of this Agreement, your Salary may be increased, and such increase, if any, shall be made at a time, and in an amount, that CBS shall determine in its discretion.</w:t>
      </w:r>
    </w:p>
    <w:p>
      <w:pPr>
        <w:sectPr>
          <w:pgSz w:w="11900" w:h="16838" w:orient="portrait"/>
          <w:cols w:equalWidth="0" w:num="1">
            <w:col w:w="11420"/>
          </w:cols>
          <w:pgMar w:left="240" w:top="553"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1305"/>
        <w:spacing w:after="0" w:line="263" w:lineRule="auto"/>
        <w:tabs>
          <w:tab w:leader="none" w:pos="1778" w:val="left"/>
        </w:tabs>
        <w:numPr>
          <w:ilvl w:val="1"/>
          <w:numId w:val="163"/>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You also shall be eligible to receive annual bonus compensation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during your employment with CBS under this Agreement, determined and payable as follows:</w:t>
      </w:r>
    </w:p>
    <w:p>
      <w:pPr>
        <w:spacing w:after="0" w:line="174" w:lineRule="exact"/>
        <w:rPr>
          <w:rFonts w:ascii="Arial" w:cs="Arial" w:eastAsia="Arial" w:hAnsi="Arial"/>
          <w:sz w:val="22"/>
          <w:szCs w:val="22"/>
          <w:color w:val="auto"/>
        </w:rPr>
      </w:pPr>
    </w:p>
    <w:p>
      <w:pPr>
        <w:jc w:val="both"/>
        <w:ind w:left="660" w:firstLine="1293"/>
        <w:spacing w:after="0" w:line="253" w:lineRule="auto"/>
        <w:tabs>
          <w:tab w:leader="none" w:pos="2448" w:val="left"/>
        </w:tabs>
        <w:numPr>
          <w:ilvl w:val="2"/>
          <w:numId w:val="163"/>
        </w:numPr>
        <w:rPr>
          <w:rFonts w:ascii="Arial" w:cs="Arial" w:eastAsia="Arial" w:hAnsi="Arial"/>
          <w:sz w:val="22"/>
          <w:szCs w:val="22"/>
          <w:color w:val="auto"/>
        </w:rPr>
      </w:pPr>
      <w:r>
        <w:rPr>
          <w:rFonts w:ascii="Arial" w:cs="Arial" w:eastAsia="Arial" w:hAnsi="Arial"/>
          <w:sz w:val="22"/>
          <w:szCs w:val="22"/>
          <w:color w:val="auto"/>
        </w:rPr>
        <w:t>Your Bonus for each calendar year during your employment with CBS under this Agreement will be determined in accordance with the guidelines of the CBS short-term incentive program (the “</w:t>
      </w:r>
      <w:r>
        <w:rPr>
          <w:rFonts w:ascii="Arial" w:cs="Arial" w:eastAsia="Arial" w:hAnsi="Arial"/>
          <w:sz w:val="22"/>
          <w:szCs w:val="22"/>
          <w:b w:val="1"/>
          <w:bCs w:val="1"/>
          <w:i w:val="1"/>
          <w:iCs w:val="1"/>
          <w:color w:val="auto"/>
        </w:rPr>
        <w:t>STIP</w:t>
      </w:r>
      <w:r>
        <w:rPr>
          <w:rFonts w:ascii="Arial" w:cs="Arial" w:eastAsia="Arial" w:hAnsi="Arial"/>
          <w:sz w:val="22"/>
          <w:szCs w:val="22"/>
          <w:color w:val="auto"/>
        </w:rPr>
        <w:t>”), as such guidelines may be amended from time to time without notice in the discretion of CBS.</w:t>
      </w:r>
    </w:p>
    <w:p>
      <w:pPr>
        <w:spacing w:after="0" w:line="185" w:lineRule="exact"/>
        <w:rPr>
          <w:rFonts w:ascii="Arial" w:cs="Arial" w:eastAsia="Arial" w:hAnsi="Arial"/>
          <w:sz w:val="22"/>
          <w:szCs w:val="22"/>
          <w:color w:val="auto"/>
        </w:rPr>
      </w:pPr>
    </w:p>
    <w:p>
      <w:pPr>
        <w:jc w:val="both"/>
        <w:ind w:left="660" w:firstLine="1293"/>
        <w:spacing w:after="0" w:line="228" w:lineRule="auto"/>
        <w:tabs>
          <w:tab w:leader="none" w:pos="2483" w:val="left"/>
        </w:tabs>
        <w:numPr>
          <w:ilvl w:val="2"/>
          <w:numId w:val="163"/>
        </w:numPr>
        <w:rPr>
          <w:rFonts w:ascii="Arial" w:cs="Arial" w:eastAsia="Arial" w:hAnsi="Arial"/>
          <w:sz w:val="22"/>
          <w:szCs w:val="22"/>
          <w:color w:val="auto"/>
        </w:rPr>
      </w:pPr>
      <w:r>
        <w:rPr>
          <w:rFonts w:ascii="Arial" w:cs="Arial" w:eastAsia="Arial" w:hAnsi="Arial"/>
          <w:sz w:val="22"/>
          <w:szCs w:val="22"/>
          <w:color w:val="auto"/>
        </w:rPr>
        <w:t>Your target bonus (“</w:t>
      </w:r>
      <w:r>
        <w:rPr>
          <w:rFonts w:ascii="Arial" w:cs="Arial" w:eastAsia="Arial" w:hAnsi="Arial"/>
          <w:sz w:val="22"/>
          <w:szCs w:val="22"/>
          <w:b w:val="1"/>
          <w:bCs w:val="1"/>
          <w:i w:val="1"/>
          <w:iCs w:val="1"/>
          <w:color w:val="auto"/>
        </w:rPr>
        <w:t>Target Bonus</w:t>
      </w:r>
      <w:r>
        <w:rPr>
          <w:rFonts w:ascii="Arial" w:cs="Arial" w:eastAsia="Arial" w:hAnsi="Arial"/>
          <w:sz w:val="22"/>
          <w:szCs w:val="22"/>
          <w:color w:val="auto"/>
        </w:rPr>
        <w:t>”) for each calendar year during your employment with CBS under this Agreement shall be 100% of your Salary in effect on November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such calendar year or the last day of your employment, if earlier.</w:t>
      </w:r>
    </w:p>
    <w:p>
      <w:pPr>
        <w:spacing w:after="0" w:line="199" w:lineRule="exact"/>
        <w:rPr>
          <w:rFonts w:ascii="Arial" w:cs="Arial" w:eastAsia="Arial" w:hAnsi="Arial"/>
          <w:sz w:val="22"/>
          <w:szCs w:val="22"/>
          <w:color w:val="auto"/>
        </w:rPr>
      </w:pPr>
    </w:p>
    <w:p>
      <w:pPr>
        <w:ind w:left="660" w:firstLine="1293"/>
        <w:spacing w:after="0" w:line="273" w:lineRule="auto"/>
        <w:tabs>
          <w:tab w:leader="none" w:pos="2531" w:val="left"/>
        </w:tabs>
        <w:numPr>
          <w:ilvl w:val="2"/>
          <w:numId w:val="163"/>
        </w:numPr>
        <w:rPr>
          <w:rFonts w:ascii="Arial" w:cs="Arial" w:eastAsia="Arial" w:hAnsi="Arial"/>
          <w:sz w:val="22"/>
          <w:szCs w:val="22"/>
          <w:color w:val="auto"/>
        </w:rPr>
      </w:pPr>
      <w:r>
        <w:rPr>
          <w:rFonts w:ascii="Arial" w:cs="Arial" w:eastAsia="Arial" w:hAnsi="Arial"/>
          <w:sz w:val="22"/>
          <w:szCs w:val="22"/>
          <w:color w:val="auto"/>
        </w:rPr>
        <w:t>Your Bonus for any calendar year shall be payable, less applicable deductions and withholding taxes, between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and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following calendar year.</w:t>
      </w:r>
    </w:p>
    <w:p>
      <w:pPr>
        <w:spacing w:after="0" w:line="75" w:lineRule="exact"/>
        <w:rPr>
          <w:rFonts w:ascii="Arial" w:cs="Arial" w:eastAsia="Arial" w:hAnsi="Arial"/>
          <w:sz w:val="22"/>
          <w:szCs w:val="22"/>
          <w:color w:val="auto"/>
        </w:rPr>
      </w:pPr>
    </w:p>
    <w:p>
      <w:pPr>
        <w:jc w:val="both"/>
        <w:ind w:left="660" w:firstLine="1293"/>
        <w:spacing w:after="0" w:line="302" w:lineRule="auto"/>
        <w:tabs>
          <w:tab w:leader="none" w:pos="2603" w:val="left"/>
        </w:tabs>
        <w:numPr>
          <w:ilvl w:val="2"/>
          <w:numId w:val="163"/>
        </w:numPr>
        <w:rPr>
          <w:rFonts w:ascii="Arial" w:cs="Arial" w:eastAsia="Arial" w:hAnsi="Arial"/>
          <w:sz w:val="19"/>
          <w:szCs w:val="19"/>
          <w:color w:val="auto"/>
        </w:rPr>
      </w:pPr>
      <w:r>
        <w:rPr>
          <w:rFonts w:ascii="Arial" w:cs="Arial" w:eastAsia="Arial" w:hAnsi="Arial"/>
          <w:sz w:val="19"/>
          <w:szCs w:val="19"/>
          <w:color w:val="auto"/>
        </w:rPr>
        <w:t>Except as otherwise set forth herein, you must be employed on the last day of a calendar year to receive a Bonus for such calendar year. However, if, prior to the last day of a calendar year, your employment with CBS terminates, CBS may, in its discretion, choose to pay you a prorated Bonus, in which case such prorated Bonus will be determined in accordance with the guidelines of the STIP and payable in accordance with paragraph 3(b)(iii).</w:t>
      </w:r>
    </w:p>
    <w:p>
      <w:pPr>
        <w:spacing w:after="0" w:line="142" w:lineRule="exact"/>
        <w:rPr>
          <w:rFonts w:ascii="Arial" w:cs="Arial" w:eastAsia="Arial" w:hAnsi="Arial"/>
          <w:sz w:val="19"/>
          <w:szCs w:val="19"/>
          <w:color w:val="auto"/>
        </w:rPr>
      </w:pPr>
    </w:p>
    <w:p>
      <w:pPr>
        <w:jc w:val="both"/>
        <w:ind w:firstLine="1305"/>
        <w:spacing w:after="0" w:line="292" w:lineRule="auto"/>
        <w:tabs>
          <w:tab w:leader="none" w:pos="1766"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your employment under this Agreement, beginning with calendar year 2019, you shall be eligible to receive annual grants of long-term incentive compensation under the CBS Corporation 2009 Long-Term Incentive Plan (or any successor plan thereto) (the “</w:t>
      </w:r>
      <w:r>
        <w:rPr>
          <w:rFonts w:ascii="Arial" w:cs="Arial" w:eastAsia="Arial" w:hAnsi="Arial"/>
          <w:sz w:val="19"/>
          <w:szCs w:val="19"/>
          <w:b w:val="1"/>
          <w:bCs w:val="1"/>
          <w:i w:val="1"/>
          <w:iCs w:val="1"/>
          <w:color w:val="auto"/>
        </w:rPr>
        <w:t>LTIP</w:t>
      </w:r>
      <w:r>
        <w:rPr>
          <w:rFonts w:ascii="Arial" w:cs="Arial" w:eastAsia="Arial" w:hAnsi="Arial"/>
          <w:sz w:val="19"/>
          <w:szCs w:val="19"/>
          <w:color w:val="auto"/>
        </w:rPr>
        <w:t>”), as may be amended from time to time without notice in the discretion of CBS. You shall have a target long-term incentive value equal to Seven Hundred Fifty Thousand Dollars ($750,000). The precise amount, form (including equity and equity-based awards, which for purposes of this Agreement are collectively referred to as “equity awards”) and timing of any such long-term incentive award, if any, shall be determined in the discretion of the Compensation Committee of the CBS Board of Directors (the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656"/>
        <w:spacing w:after="0" w:line="250" w:lineRule="auto"/>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You shall be eligible to participate in all CBS vacation, medical, dental, life insurance, long-term disability insurance, retirement, long-term incentive and other benefit plans and programs applicable generally to other senior executives of CBS and its subsidiaries as CBS may have or establish from time to time and in which you would be eligible to participate under the terms of the plans, as may</w:t>
      </w:r>
    </w:p>
    <w:p>
      <w:pPr>
        <w:sectPr>
          <w:pgSz w:w="11900" w:h="16838" w:orient="portrait"/>
          <w:cols w:equalWidth="0" w:num="1">
            <w:col w:w="11420"/>
          </w:cols>
          <w:pgMar w:left="240" w:top="132" w:right="2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 amended from time to time. This provision shall not be construed to either require CBS to establish any welfare, compensation or long-term incentive plans, or to prevent the modification or termination of any plan once established, and no action or inaction with respect to any plan shall affect this Agreement.</w:t>
      </w:r>
    </w:p>
    <w:p>
      <w:pPr>
        <w:spacing w:after="0" w:line="186" w:lineRule="exact"/>
        <w:rPr>
          <w:sz w:val="20"/>
          <w:szCs w:val="20"/>
          <w:color w:val="auto"/>
        </w:rPr>
      </w:pPr>
    </w:p>
    <w:p>
      <w:pPr>
        <w:jc w:val="both"/>
        <w:ind w:firstLine="656"/>
        <w:spacing w:after="0" w:line="234" w:lineRule="auto"/>
        <w:tabs>
          <w:tab w:leader="none" w:pos="104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Business Expenses, Etc.</w:t>
      </w:r>
      <w:r>
        <w:rPr>
          <w:rFonts w:ascii="Arial" w:cs="Arial" w:eastAsia="Arial" w:hAnsi="Arial"/>
          <w:sz w:val="22"/>
          <w:szCs w:val="22"/>
          <w:color w:val="auto"/>
        </w:rPr>
        <w:t xml:space="preserve"> During your employment under this Agreement, CBS shall reimburse you for such reasonable travel and other expenses incurred in the performance of your duties as are customarily reimbursed to CBS executives at comparable levels. Such travel and other expenses shall be reimbursed by CBS as soon as practicable in accordance with CBS’s established guidelines, as may be amended from time to time, but in no event later than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following the calendar year in which you incur the related expenses.</w:t>
      </w:r>
    </w:p>
    <w:p>
      <w:pPr>
        <w:spacing w:after="0" w:line="198" w:lineRule="exact"/>
        <w:rPr>
          <w:rFonts w:ascii="Arial" w:cs="Arial" w:eastAsia="Arial" w:hAnsi="Arial"/>
          <w:sz w:val="22"/>
          <w:szCs w:val="22"/>
          <w:color w:val="auto"/>
        </w:rPr>
      </w:pPr>
    </w:p>
    <w:p>
      <w:pPr>
        <w:ind w:left="1040" w:hanging="384"/>
        <w:spacing w:after="0"/>
        <w:tabs>
          <w:tab w:leader="none" w:pos="104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Non-Competition, Confidential Information, Etc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87" w:lineRule="auto"/>
        <w:tabs>
          <w:tab w:leader="none" w:pos="1779"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You agree that your employment with CBS is on an exclusive basis and that, while you are employed by CBS or any of its subsidiaries, you will not engage in any other business activity which is in conflict with your duties and obligations (including your commitment of time) under this Agreement. You further agree that, during the Non-Compete Period (as defined below), you shall not directly or indirectly engage in or participate in (or negotiate or sign any agreement to engage in or participate in), whether as an owner, partner, stockholder, officer, employee, director, agent of or consultant for, any business which at such time is competitive with any business of CBS, or any of its subsidiaries, without the written consent of CBS;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provision shall not prevent you from investing as less than a one (1%) percent stockholder in the securities of any company listed on a national securities exchange or quoted on an automated quotation system. The Non-Compete Period shall cover the period during your employment with CBS and shall continue following the termination of your employment for any reason, other than by the expiration of the Term, for the greater of: (i) six (6) months; or (ii) for so long as any payments are due to you pursuant to paragraph 7(b), 7(c) or 7(j) of this Agreement, unless you request and CBS accepts a written request pursuant to paragraph 6(j) of this Agreement, if any.</w:t>
      </w:r>
    </w:p>
    <w:p>
      <w:pPr>
        <w:spacing w:after="0" w:line="159" w:lineRule="exact"/>
        <w:rPr>
          <w:rFonts w:ascii="Arial" w:cs="Arial" w:eastAsia="Arial" w:hAnsi="Arial"/>
          <w:sz w:val="19"/>
          <w:szCs w:val="19"/>
          <w:color w:val="auto"/>
        </w:rPr>
      </w:pPr>
    </w:p>
    <w:p>
      <w:pPr>
        <w:jc w:val="both"/>
        <w:ind w:firstLine="1305"/>
        <w:spacing w:after="0" w:line="292" w:lineRule="auto"/>
        <w:tabs>
          <w:tab w:leader="none" w:pos="1805"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agree that, during the Term and at any time thereafter, (i) you shall not use for any purpose other than the duly authorized business of CBS, or disclose to any third party, any information relating to CBS, or any of CBS’s affiliated companies which is non-public, confidential or proprietary to CBS or any of CBS’s affiliated companies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including any trade secret or any written (including in any electronic form) or oral communication incorporating Confidential Information in any way (except as may be required by law or in the performance of your duties under this Agreement consistent with CBS’s policies); and (ii) you will comply with any and all confidentiality obligations of CBS to a third party, whether arising under a written agreement or otherwise. Information shall not be</w:t>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deemed Confidential Information which (</w:t>
      </w:r>
      <w:r>
        <w:rPr>
          <w:rFonts w:ascii="Arial" w:cs="Arial" w:eastAsia="Arial" w:hAnsi="Arial"/>
          <w:sz w:val="22"/>
          <w:szCs w:val="22"/>
          <w:i w:val="1"/>
          <w:iCs w:val="1"/>
          <w:color w:val="auto"/>
        </w:rPr>
        <w:t>x</w:t>
      </w:r>
      <w:r>
        <w:rPr>
          <w:rFonts w:ascii="Arial" w:cs="Arial" w:eastAsia="Arial" w:hAnsi="Arial"/>
          <w:sz w:val="22"/>
          <w:szCs w:val="22"/>
          <w:color w:val="auto"/>
        </w:rPr>
        <w:t>) is or becomes generally available to the public other than as a result of a disclosure by you or at your direction or by any other person who directly or indirectly receives such information from you, or (</w:t>
      </w:r>
      <w:r>
        <w:rPr>
          <w:rFonts w:ascii="Arial" w:cs="Arial" w:eastAsia="Arial" w:hAnsi="Arial"/>
          <w:sz w:val="22"/>
          <w:szCs w:val="22"/>
          <w:i w:val="1"/>
          <w:iCs w:val="1"/>
          <w:color w:val="auto"/>
        </w:rPr>
        <w:t>y</w:t>
      </w:r>
      <w:r>
        <w:rPr>
          <w:rFonts w:ascii="Arial" w:cs="Arial" w:eastAsia="Arial" w:hAnsi="Arial"/>
          <w:sz w:val="22"/>
          <w:szCs w:val="22"/>
          <w:color w:val="auto"/>
        </w:rPr>
        <w:t>) is or becomes available to you on a non-confidential basis from a source which is entitled to disclose it to you. For purposes of this paragraph 6(b), the term “third party” shall be defined to mean any person other than CBS and its subsidiaries or any of their respective directors and senior officers.</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CBS.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w:t>
      </w:r>
    </w:p>
    <w:p>
      <w:pPr>
        <w:spacing w:after="0" w:line="4" w:lineRule="exact"/>
        <w:rPr>
          <w:sz w:val="20"/>
          <w:szCs w:val="20"/>
          <w:color w:val="auto"/>
        </w:rPr>
      </w:pPr>
    </w:p>
    <w:p>
      <w:pPr>
        <w:jc w:val="both"/>
        <w:ind w:firstLine="8"/>
        <w:spacing w:after="0" w:line="244" w:lineRule="auto"/>
        <w:tabs>
          <w:tab w:leader="none" w:pos="32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95" w:lineRule="exact"/>
        <w:rPr>
          <w:rFonts w:ascii="Arial" w:cs="Arial" w:eastAsia="Arial" w:hAnsi="Arial"/>
          <w:sz w:val="22"/>
          <w:szCs w:val="22"/>
          <w:color w:val="auto"/>
        </w:rPr>
      </w:pPr>
    </w:p>
    <w:p>
      <w:pPr>
        <w:jc w:val="both"/>
        <w:ind w:firstLine="1305"/>
        <w:spacing w:after="0" w:line="253" w:lineRule="auto"/>
        <w:tabs>
          <w:tab w:leader="none" w:pos="1887"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No Solicitation, Etc</w:t>
      </w:r>
      <w:r>
        <w:rPr>
          <w:rFonts w:ascii="Arial" w:cs="Arial" w:eastAsia="Arial" w:hAnsi="Arial"/>
          <w:sz w:val="22"/>
          <w:szCs w:val="22"/>
          <w:color w:val="auto"/>
        </w:rPr>
        <w:t>. You agree that, while employed by CBS and for the greater of twelve (12) months thereafter or for so long as payments are due to you pursuant to paragraph 7(b), 7(c) or 7(j) of this Agreement, you shall not, directly or indirectly:</w:t>
      </w:r>
    </w:p>
    <w:p>
      <w:pPr>
        <w:spacing w:after="0" w:line="185" w:lineRule="exact"/>
        <w:rPr>
          <w:rFonts w:ascii="Arial" w:cs="Arial" w:eastAsia="Arial" w:hAnsi="Arial"/>
          <w:sz w:val="22"/>
          <w:szCs w:val="22"/>
          <w:color w:val="auto"/>
        </w:rPr>
      </w:pPr>
    </w:p>
    <w:p>
      <w:pPr>
        <w:ind w:left="660" w:right="20" w:firstLine="1293"/>
        <w:spacing w:after="0" w:line="263" w:lineRule="auto"/>
        <w:tabs>
          <w:tab w:leader="none" w:pos="2464" w:val="left"/>
        </w:tabs>
        <w:numPr>
          <w:ilvl w:val="2"/>
          <w:numId w:val="166"/>
        </w:numPr>
        <w:rPr>
          <w:rFonts w:ascii="Arial" w:cs="Arial" w:eastAsia="Arial" w:hAnsi="Arial"/>
          <w:sz w:val="22"/>
          <w:szCs w:val="22"/>
          <w:color w:val="auto"/>
        </w:rPr>
      </w:pPr>
      <w:r>
        <w:rPr>
          <w:rFonts w:ascii="Arial" w:cs="Arial" w:eastAsia="Arial" w:hAnsi="Arial"/>
          <w:sz w:val="22"/>
          <w:szCs w:val="22"/>
          <w:color w:val="auto"/>
        </w:rPr>
        <w:t>employ or solicit the employment of any person who is then or has been within twelve (12) months prior thereto, an employee of CBS or any of CBS’s affiliated companies; or</w:t>
      </w:r>
    </w:p>
    <w:p>
      <w:pPr>
        <w:spacing w:after="0" w:line="174" w:lineRule="exact"/>
        <w:rPr>
          <w:rFonts w:ascii="Arial" w:cs="Arial" w:eastAsia="Arial" w:hAnsi="Arial"/>
          <w:sz w:val="22"/>
          <w:szCs w:val="22"/>
          <w:color w:val="auto"/>
        </w:rPr>
      </w:pPr>
    </w:p>
    <w:p>
      <w:pPr>
        <w:jc w:val="both"/>
        <w:ind w:left="660" w:firstLine="1293"/>
        <w:spacing w:after="0" w:line="271" w:lineRule="auto"/>
        <w:tabs>
          <w:tab w:leader="none" w:pos="2439" w:val="left"/>
        </w:tabs>
        <w:numPr>
          <w:ilvl w:val="2"/>
          <w:numId w:val="166"/>
        </w:numPr>
        <w:rPr>
          <w:rFonts w:ascii="Arial" w:cs="Arial" w:eastAsia="Arial" w:hAnsi="Arial"/>
          <w:sz w:val="21"/>
          <w:szCs w:val="21"/>
          <w:color w:val="auto"/>
        </w:rPr>
      </w:pPr>
      <w:r>
        <w:rPr>
          <w:rFonts w:ascii="Arial" w:cs="Arial" w:eastAsia="Arial" w:hAnsi="Arial"/>
          <w:sz w:val="21"/>
          <w:szCs w:val="21"/>
          <w:color w:val="auto"/>
        </w:rPr>
        <w:t>do any act or thing to cause, bring about, or induce any interference with, disturbance to, or interruption of any of the then-existing relationships (whether or not such relationships have been reduced to formal contracts) of CBS or any of CBS’s affiliated companies with any customer, employee, consultant or supplier.</w:t>
      </w:r>
    </w:p>
    <w:p>
      <w:pPr>
        <w:spacing w:after="0" w:line="167" w:lineRule="exact"/>
        <w:rPr>
          <w:rFonts w:ascii="Arial" w:cs="Arial" w:eastAsia="Arial" w:hAnsi="Arial"/>
          <w:sz w:val="21"/>
          <w:szCs w:val="21"/>
          <w:color w:val="auto"/>
        </w:rPr>
      </w:pPr>
    </w:p>
    <w:p>
      <w:pPr>
        <w:jc w:val="both"/>
        <w:ind w:firstLine="1305"/>
        <w:spacing w:after="0" w:line="253" w:lineRule="auto"/>
        <w:tabs>
          <w:tab w:leader="none" w:pos="1981"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CBS Ownership</w:t>
      </w:r>
      <w:r>
        <w:rPr>
          <w:rFonts w:ascii="Arial" w:cs="Arial" w:eastAsia="Arial" w:hAnsi="Arial"/>
          <w:sz w:val="22"/>
          <w:szCs w:val="22"/>
          <w:color w:val="auto"/>
        </w:rPr>
        <w:t>. The results and proceeds of your services under this Agreement, including, without limitation, any works of authorship resulting from your services during your employment with CBS and/or any of CBS’s affiliated companies and any works in progress resulting from such services, shall be works-made-</w:t>
      </w:r>
    </w:p>
    <w:p>
      <w:pPr>
        <w:sectPr>
          <w:pgSz w:w="11900" w:h="16838" w:orient="portrait"/>
          <w:cols w:equalWidth="0" w:num="1">
            <w:col w:w="11420"/>
          </w:cols>
          <w:pgMar w:left="240" w:top="132"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for-hire and CBS shall be deemed the sole owner throughout the universe of any and all rights of every nature in such works, whether such rights are now known or hereafter defined or discovered, with the right to use the works in perpetuity in any manner CBS determines, in its discretion, without any further payment to you. If, for any reason, any of such results and proceeds are not legally deemed a work-made-for-hire and/or there are any rights in such results and proceeds which do not accrue to CBS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CBS shall have the right to use the work in perpetuity throughout the universe in any manner CBS determines, in its discretion, without any further payment to you. You shall, as may be requested by CBS from time to time, do any and all things which CBS may deem useful or desirable to establish or document CBS’s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Senior Executive Vice President, Chief Legal Officer, of CBS Corporation (the “</w:t>
      </w:r>
      <w:r>
        <w:rPr>
          <w:rFonts w:ascii="Arial" w:cs="Arial" w:eastAsia="Arial" w:hAnsi="Arial"/>
          <w:sz w:val="19"/>
          <w:szCs w:val="19"/>
          <w:b w:val="1"/>
          <w:bCs w:val="1"/>
          <w:i w:val="1"/>
          <w:iCs w:val="1"/>
          <w:color w:val="auto"/>
        </w:rPr>
        <w:t>CLO</w:t>
      </w:r>
      <w:r>
        <w:rPr>
          <w:rFonts w:ascii="Arial" w:cs="Arial" w:eastAsia="Arial" w:hAnsi="Arial"/>
          <w:sz w:val="19"/>
          <w:szCs w:val="19"/>
          <w:color w:val="auto"/>
        </w:rPr>
        <w:t>”) or his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CBS of any ownership rights to which CBS may be entitled by operation of law by virtue of being your employer.</w:t>
      </w:r>
    </w:p>
    <w:p>
      <w:pPr>
        <w:spacing w:after="0" w:line="170" w:lineRule="exact"/>
        <w:rPr>
          <w:sz w:val="20"/>
          <w:szCs w:val="20"/>
          <w:color w:val="auto"/>
        </w:rPr>
      </w:pPr>
    </w:p>
    <w:p>
      <w:pPr>
        <w:ind w:left="1760" w:hanging="455"/>
        <w:spacing w:after="0"/>
        <w:tabs>
          <w:tab w:leader="none" w:pos="17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90" w:lineRule="auto"/>
        <w:tabs>
          <w:tab w:leader="none" w:pos="239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You agree that during the Term and for six (6) months thereafter or, if later, during the pendency of any litigation or other proceeding, (</w:t>
      </w:r>
      <w:r>
        <w:rPr>
          <w:rFonts w:ascii="Arial" w:cs="Arial" w:eastAsia="Arial" w:hAnsi="Arial"/>
          <w:sz w:val="19"/>
          <w:szCs w:val="19"/>
          <w:i w:val="1"/>
          <w:iCs w:val="1"/>
          <w:color w:val="auto"/>
        </w:rPr>
        <w:t>x</w:t>
      </w:r>
      <w:r>
        <w:rPr>
          <w:rFonts w:ascii="Arial" w:cs="Arial" w:eastAsia="Arial" w:hAnsi="Arial"/>
          <w:sz w:val="19"/>
          <w:szCs w:val="19"/>
          <w:color w:val="auto"/>
        </w:rPr>
        <w:t>)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CBS, or any of CBS’s affiliated companies, other than any litigation or other proceeding in which you are a party-in-opposition, without giving prior notice to CBS or its counsel; and (</w:t>
      </w:r>
      <w:r>
        <w:rPr>
          <w:rFonts w:ascii="Arial" w:cs="Arial" w:eastAsia="Arial" w:hAnsi="Arial"/>
          <w:sz w:val="19"/>
          <w:szCs w:val="19"/>
          <w:i w:val="1"/>
          <w:iCs w:val="1"/>
          <w:color w:val="auto"/>
        </w:rPr>
        <w:t>y</w:t>
      </w:r>
      <w:r>
        <w:rPr>
          <w:rFonts w:ascii="Arial" w:cs="Arial" w:eastAsia="Arial" w:hAnsi="Arial"/>
          <w:sz w:val="19"/>
          <w:szCs w:val="19"/>
          <w:color w:val="auto"/>
        </w:rPr>
        <w:t>) in the event that any other party attempts to obtain information or documents from you with respect to such matters, either through formal legal process such as a subpoena or by informal means such as interviews, you shall promptly notify CBS’s counsel before providing any information or documents.</w:t>
      </w:r>
    </w:p>
    <w:p>
      <w:pPr>
        <w:spacing w:after="0" w:line="156" w:lineRule="exact"/>
        <w:rPr>
          <w:rFonts w:ascii="Arial" w:cs="Arial" w:eastAsia="Arial" w:hAnsi="Arial"/>
          <w:sz w:val="19"/>
          <w:szCs w:val="19"/>
          <w:color w:val="auto"/>
        </w:rPr>
      </w:pPr>
    </w:p>
    <w:p>
      <w:pPr>
        <w:ind w:left="660" w:firstLine="1293"/>
        <w:spacing w:after="0" w:line="343" w:lineRule="auto"/>
        <w:tabs>
          <w:tab w:leader="none" w:pos="2558" w:val="left"/>
        </w:tabs>
        <w:numPr>
          <w:ilvl w:val="1"/>
          <w:numId w:val="167"/>
        </w:numPr>
        <w:rPr>
          <w:rFonts w:ascii="Arial" w:cs="Arial" w:eastAsia="Arial" w:hAnsi="Arial"/>
          <w:sz w:val="19"/>
          <w:szCs w:val="19"/>
          <w:color w:val="auto"/>
        </w:rPr>
      </w:pPr>
      <w:r>
        <w:rPr>
          <w:rFonts w:ascii="Arial" w:cs="Arial" w:eastAsia="Arial" w:hAnsi="Arial"/>
          <w:sz w:val="19"/>
          <w:szCs w:val="19"/>
          <w:color w:val="auto"/>
        </w:rPr>
        <w:t>You agree to cooperate with CBS and its attorneys, both during and after the termination of your employment, in connection with any litigation or other proceeding arising out of or relating to matters in which you</w:t>
      </w:r>
    </w:p>
    <w:p>
      <w:pPr>
        <w:sectPr>
          <w:pgSz w:w="11900" w:h="16838" w:orient="portrait"/>
          <w:cols w:equalWidth="0" w:num="1">
            <w:col w:w="11420"/>
          </w:cols>
          <w:pgMar w:left="240" w:top="132"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were involved or had knowledge of prior to the termination of your employment. Your cooperation shall include, without limitation, providing assistance to CBS’s counsel, experts or consultants, providing truthful testimony in pretrial and trial or hearing proceedings and any travel related to your attendance at such proceedings. In the event that your cooperation is requested after the termination of your employment, CBS will (</w:t>
      </w:r>
      <w:r>
        <w:rPr>
          <w:rFonts w:ascii="Arial" w:cs="Arial" w:eastAsia="Arial" w:hAnsi="Arial"/>
          <w:sz w:val="19"/>
          <w:szCs w:val="19"/>
          <w:i w:val="1"/>
          <w:iCs w:val="1"/>
          <w:color w:val="auto"/>
        </w:rPr>
        <w:t>x</w:t>
      </w:r>
      <w:r>
        <w:rPr>
          <w:rFonts w:ascii="Arial" w:cs="Arial" w:eastAsia="Arial" w:hAnsi="Arial"/>
          <w:sz w:val="19"/>
          <w:szCs w:val="19"/>
          <w:color w:val="auto"/>
        </w:rPr>
        <w:t>) seek to minimize interruptions to your schedule to the extent consistent with its interests in the matter; and (</w:t>
      </w:r>
      <w:r>
        <w:rPr>
          <w:rFonts w:ascii="Arial" w:cs="Arial" w:eastAsia="Arial" w:hAnsi="Arial"/>
          <w:sz w:val="19"/>
          <w:szCs w:val="19"/>
          <w:i w:val="1"/>
          <w:iCs w:val="1"/>
          <w:color w:val="auto"/>
        </w:rPr>
        <w:t>y</w:t>
      </w:r>
      <w:r>
        <w:rPr>
          <w:rFonts w:ascii="Arial" w:cs="Arial" w:eastAsia="Arial" w:hAnsi="Arial"/>
          <w:sz w:val="19"/>
          <w:szCs w:val="19"/>
          <w:color w:val="auto"/>
        </w:rPr>
        <w:t>) reimburse you for all reasonable and appropriate out-of-pocket expenses actually incurred by you in connection with such cooperation upon reasonable substantiation of such expenses. Reimbursement shall be made within 60 calendar days following the date on which CBS receives appropriate documentation with respect to such expenses, but in no event shall payment be made later than December 31 of the calendar year following the calendar year in which you incur the related expenses.</w:t>
      </w:r>
    </w:p>
    <w:p>
      <w:pPr>
        <w:spacing w:after="0" w:line="158" w:lineRule="exact"/>
        <w:rPr>
          <w:sz w:val="20"/>
          <w:szCs w:val="20"/>
          <w:color w:val="auto"/>
        </w:rPr>
      </w:pPr>
    </w:p>
    <w:p>
      <w:pPr>
        <w:jc w:val="both"/>
        <w:ind w:left="660" w:firstLine="1293"/>
        <w:spacing w:after="0" w:line="263" w:lineRule="auto"/>
        <w:tabs>
          <w:tab w:leader="none" w:pos="2538" w:val="left"/>
        </w:tabs>
        <w:numPr>
          <w:ilvl w:val="1"/>
          <w:numId w:val="168"/>
        </w:numPr>
        <w:rPr>
          <w:rFonts w:ascii="Arial" w:cs="Arial" w:eastAsia="Arial" w:hAnsi="Arial"/>
          <w:sz w:val="21"/>
          <w:szCs w:val="21"/>
          <w:color w:val="auto"/>
        </w:rPr>
      </w:pPr>
      <w:r>
        <w:rPr>
          <w:rFonts w:ascii="Arial" w:cs="Arial" w:eastAsia="Arial" w:hAnsi="Arial"/>
          <w:sz w:val="21"/>
          <w:szCs w:val="21"/>
          <w:color w:val="auto"/>
        </w:rPr>
        <w:t>You agree that during the Term and at any time thereafter, to the fullest extent permitted by law, you will not testify voluntarily in any lawsuit or other proceeding which directly or indirectly involves CBS, or any of CBS’s affiliated companies, or which may create the impression that such testimony is endorsed or approved by CBS, or any of CBS’s affiliated companies, without advance notice (including the general nature of the testimony) to and, if such testimony is without subpoena or other compulsory legal process, the approval of the CLO.</w:t>
      </w:r>
    </w:p>
    <w:p>
      <w:pPr>
        <w:spacing w:after="0" w:line="175" w:lineRule="exact"/>
        <w:rPr>
          <w:rFonts w:ascii="Arial" w:cs="Arial" w:eastAsia="Arial" w:hAnsi="Arial"/>
          <w:sz w:val="21"/>
          <w:szCs w:val="21"/>
          <w:color w:val="auto"/>
        </w:rPr>
      </w:pPr>
    </w:p>
    <w:p>
      <w:pPr>
        <w:jc w:val="both"/>
        <w:ind w:firstLine="1305"/>
        <w:spacing w:after="0" w:line="265" w:lineRule="auto"/>
        <w:tabs>
          <w:tab w:leader="none" w:pos="1742"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No Right to Give Interviews or Write Books, Articles, Etc</w:t>
      </w:r>
      <w:r>
        <w:rPr>
          <w:rFonts w:ascii="Arial" w:cs="Arial" w:eastAsia="Arial" w:hAnsi="Arial"/>
          <w:sz w:val="21"/>
          <w:szCs w:val="21"/>
          <w:color w:val="auto"/>
        </w:rPr>
        <w:t>. During the Term, except as authorized by CBS, you shall not (i) give any interviews or speeches, or (ii) prepare or assist any person or entity in the preparation of any books, articles, television or motion picture productions or other creations, in either case, concerning CBS, or any of CBS’s affiliated companies or any of their respective officers, directors, agents, employees, suppliers or customers.</w:t>
      </w:r>
    </w:p>
    <w:p>
      <w:pPr>
        <w:spacing w:after="0" w:line="175" w:lineRule="exact"/>
        <w:rPr>
          <w:rFonts w:ascii="Arial" w:cs="Arial" w:eastAsia="Arial" w:hAnsi="Arial"/>
          <w:sz w:val="21"/>
          <w:szCs w:val="21"/>
          <w:color w:val="auto"/>
        </w:rPr>
      </w:pPr>
    </w:p>
    <w:p>
      <w:pPr>
        <w:jc w:val="both"/>
        <w:ind w:firstLine="1305"/>
        <w:spacing w:after="0" w:line="289" w:lineRule="auto"/>
        <w:tabs>
          <w:tab w:leader="none" w:pos="1954"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All documents, data, recordings, or other property, whether tangible or intangible, including all information stored in electronic form, obtained or prepared by or for you and utilized by you in the course of your employment with CBS shall remain the exclusive property of CBS. In the event of the termination of your employment for any reason, CBS reserves the right, to the extent permitted by law and in addition to any other remedy CBS may have, to deduct from any monies otherwise payable to you the following: (i) all amounts you may owe to CBS, or any of CBS’s subsidiaries at the time of or subsequent to the termination of your employment with CBS; and (ii) the value of the CBS property which you retain in your possession after the termination of your employment with CBS. In the event that the law of any state or other jurisdiction requires the consent of an employee for such deductions, this Agreement shall serve as such consent. Notwithstanding anything in this Section 6(g) to the contrary, CBS will not exercise such right to deduct from any</w:t>
      </w:r>
    </w:p>
    <w:p>
      <w:pPr>
        <w:sectPr>
          <w:pgSz w:w="11900" w:h="16838" w:orient="portrait"/>
          <w:cols w:equalWidth="0" w:num="1">
            <w:col w:w="11420"/>
          </w:cols>
          <w:pgMar w:left="240" w:top="132" w:right="2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monies otherwise payable to you that constitute “deferred compensation” within the meaning of Internal Revenue Code Section 409A (“</w:t>
      </w:r>
      <w:r>
        <w:rPr>
          <w:rFonts w:ascii="Arial" w:cs="Arial" w:eastAsia="Arial" w:hAnsi="Arial"/>
          <w:sz w:val="22"/>
          <w:szCs w:val="22"/>
          <w:b w:val="1"/>
          <w:bCs w:val="1"/>
          <w:i w:val="1"/>
          <w:iCs w:val="1"/>
          <w:color w:val="auto"/>
        </w:rPr>
        <w:t>Code Section 409A</w:t>
      </w:r>
      <w:r>
        <w:rPr>
          <w:rFonts w:ascii="Arial" w:cs="Arial" w:eastAsia="Arial" w:hAnsi="Arial"/>
          <w:sz w:val="22"/>
          <w:szCs w:val="22"/>
          <w:color w:val="auto"/>
        </w:rPr>
        <w:t>”).</w:t>
      </w:r>
    </w:p>
    <w:p>
      <w:pPr>
        <w:spacing w:after="0" w:line="175" w:lineRule="exact"/>
        <w:rPr>
          <w:sz w:val="20"/>
          <w:szCs w:val="20"/>
          <w:color w:val="auto"/>
        </w:rPr>
      </w:pPr>
    </w:p>
    <w:p>
      <w:pPr>
        <w:jc w:val="both"/>
        <w:ind w:firstLine="1305"/>
        <w:spacing w:after="0" w:line="250" w:lineRule="auto"/>
        <w:tabs>
          <w:tab w:leader="none" w:pos="1778"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during the Term and for a period of one (1) year thereafter, you shall not, in any communications with the press or other media or any customer, client or supplier of CBS or any of CBS’s affiliated companies, criticize, ridicule or make any statement which disparages or is derogatory of CBS or any of CBS’s affiliated companies, or any of their respective directors or senior officers.</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1811"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CBS has entered into this Agreement in order to obtain the benefit of your unique skills, talent, and experience. You acknowledge and agree that any violation of paragraphs 6(a) through (h) of this Agreement will result in irreparable damage to CBS and, accordingly, CBS may obtain injunctive and other equitable relief for any breach or threatened breach of such paragraphs, in addition to any other remedies available to CBS.</w:t>
      </w:r>
    </w:p>
    <w:p>
      <w:pPr>
        <w:spacing w:after="0" w:line="188" w:lineRule="exact"/>
        <w:rPr>
          <w:rFonts w:ascii="Arial" w:cs="Arial" w:eastAsia="Arial" w:hAnsi="Arial"/>
          <w:sz w:val="22"/>
          <w:szCs w:val="22"/>
          <w:color w:val="auto"/>
        </w:rPr>
      </w:pPr>
    </w:p>
    <w:p>
      <w:pPr>
        <w:jc w:val="both"/>
        <w:ind w:firstLine="1305"/>
        <w:spacing w:after="0" w:line="286" w:lineRule="auto"/>
        <w:tabs>
          <w:tab w:leader="none" w:pos="1757"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Survival; Modification of Terms</w:t>
      </w:r>
      <w:r>
        <w:rPr>
          <w:rFonts w:ascii="Arial" w:cs="Arial" w:eastAsia="Arial" w:hAnsi="Arial"/>
          <w:sz w:val="19"/>
          <w:szCs w:val="19"/>
          <w:color w:val="auto"/>
        </w:rPr>
        <w:t xml:space="preserve">. Your obligations under paragraphs 6(a) through (i) shall remain in full force and effect for the entire period provided therein notwithstanding the termination of your employment under this Agreement for any reason or the expiration of the Term;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your obligations under paragraph 6(a) (but not under any other provision of this Agreement) shall cease if: </w:t>
      </w:r>
      <w:r>
        <w:rPr>
          <w:rFonts w:ascii="Arial" w:cs="Arial" w:eastAsia="Arial" w:hAnsi="Arial"/>
          <w:sz w:val="19"/>
          <w:szCs w:val="19"/>
          <w:i w:val="1"/>
          <w:iCs w:val="1"/>
          <w:color w:val="auto"/>
        </w:rPr>
        <w:t>(x)</w:t>
      </w:r>
      <w:r>
        <w:rPr>
          <w:rFonts w:ascii="Arial" w:cs="Arial" w:eastAsia="Arial" w:hAnsi="Arial"/>
          <w:sz w:val="19"/>
          <w:szCs w:val="19"/>
          <w:color w:val="auto"/>
        </w:rPr>
        <w:t xml:space="preserve"> CBS terminates your employment without Cause or you resign with Good Reason; (</w:t>
      </w:r>
      <w:r>
        <w:rPr>
          <w:rFonts w:ascii="Arial" w:cs="Arial" w:eastAsia="Arial" w:hAnsi="Arial"/>
          <w:sz w:val="19"/>
          <w:szCs w:val="19"/>
          <w:i w:val="1"/>
          <w:iCs w:val="1"/>
          <w:color w:val="auto"/>
        </w:rPr>
        <w:t>y</w:t>
      </w:r>
      <w:r>
        <w:rPr>
          <w:rFonts w:ascii="Arial" w:cs="Arial" w:eastAsia="Arial" w:hAnsi="Arial"/>
          <w:sz w:val="19"/>
          <w:szCs w:val="19"/>
          <w:color w:val="auto"/>
        </w:rPr>
        <w:t xml:space="preserve">) you provide CBS a written notice indicating your desire to waive your right to receive, or to continue to receive, termination payments and benefits under paragraphs 7(b)(ii)(A) through (D), paragraphs 7(c)(ii)(A) through (D), or paragraphs 7(j)(ii)(A), (B), (C), (D) and (F), as applicable; and </w:t>
      </w:r>
      <w:r>
        <w:rPr>
          <w:rFonts w:ascii="Arial" w:cs="Arial" w:eastAsia="Arial" w:hAnsi="Arial"/>
          <w:sz w:val="19"/>
          <w:szCs w:val="19"/>
          <w:i w:val="1"/>
          <w:iCs w:val="1"/>
          <w:color w:val="auto"/>
        </w:rPr>
        <w:t>(z)</w:t>
      </w:r>
      <w:r>
        <w:rPr>
          <w:rFonts w:ascii="Arial" w:cs="Arial" w:eastAsia="Arial" w:hAnsi="Arial"/>
          <w:sz w:val="19"/>
          <w:szCs w:val="19"/>
          <w:color w:val="auto"/>
        </w:rPr>
        <w:t xml:space="preserve"> CBS notifies you that it has, in its discretion, accepted your request. You and CBS agree that the restrictions and remedies contained in paragraphs 6(a) through (i) are reasonable and that it is your intention and the intention of CBS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CBS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CBS and its affiliated companies.</w:t>
      </w:r>
    </w:p>
    <w:p>
      <w:pPr>
        <w:sectPr>
          <w:pgSz w:w="11900" w:h="16838" w:orient="portrait"/>
          <w:cols w:equalWidth="0" w:num="1">
            <w:col w:w="11420"/>
          </w:cols>
          <w:pgMar w:left="240" w:top="132"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40" w:hanging="384"/>
        <w:spacing w:after="0"/>
        <w:tabs>
          <w:tab w:leader="none" w:pos="104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1"/>
          <w:numId w:val="171"/>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86" w:lineRule="auto"/>
        <w:tabs>
          <w:tab w:leader="none" w:pos="2404" w:val="left"/>
        </w:tabs>
        <w:numPr>
          <w:ilvl w:val="2"/>
          <w:numId w:val="171"/>
        </w:numPr>
        <w:rPr>
          <w:rFonts w:ascii="Arial" w:cs="Arial" w:eastAsia="Arial" w:hAnsi="Arial"/>
          <w:sz w:val="19"/>
          <w:szCs w:val="19"/>
          <w:color w:val="auto"/>
        </w:rPr>
      </w:pPr>
      <w:r>
        <w:rPr>
          <w:rFonts w:ascii="Arial" w:cs="Arial" w:eastAsia="Arial" w:hAnsi="Arial"/>
          <w:sz w:val="19"/>
          <w:szCs w:val="19"/>
          <w:color w:val="auto"/>
        </w:rPr>
        <w:t>CBS may, at its option, terminate your employment under this Agreement for Cause at any time during the Term. 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(A) embezzlement, fraud or other conduct which would constitute a felony or a misdemeanor involving fraud or perjury; (B) willful unauthorized disclosure of Confidential Information; (C) your failure to obey a material lawful directive that is appropriate to your position from an executive(s) in your reporting line; (D) your failure to comply with the written policies of CBS, including the CBS Business Conduct Statement or successor conduct statement as they apply from time to time; (E) your material breach of this Agreement (including any representations herein); (F) your failure (except in the event of your Disability) or refusal to substantially perform your material obligations under this Agreement; (G) your terminating your employment without Good Reason (as defined below) other than for death or Disability pursuant to paragraph 7(e) (it being understood that your terminating your employment during the Term without Good Reason prior to the end of the Term shall constitute Cause); (H) willful failure to cooperate with a bona fide internal investigation or investigation by regulatory or law enforcement authorities or the destruction or failure to preserve documents or other material reasonably likely to be relevant to such an investigation, or the inducement of others to fail to cooperate or to destroy or fail to produce documents or other material; or (I) conduct which is considered an offense involving moral turpitude under federal, state or local laws, or which might bring you to public disrepute, scandal or ridicule or reflect unfavorably upon any of CBS’s businesses or those who conduct business with CBS and its affiliated entities.</w:t>
      </w:r>
    </w:p>
    <w:p>
      <w:pPr>
        <w:spacing w:after="0" w:line="200" w:lineRule="exact"/>
        <w:rPr>
          <w:sz w:val="20"/>
          <w:szCs w:val="20"/>
          <w:color w:val="auto"/>
        </w:rPr>
      </w:pPr>
    </w:p>
    <w:p>
      <w:pPr>
        <w:spacing w:after="0" w:line="21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 xml:space="preserve">Prior to terminating your employment for Cause, CBS will give you written notice of termination regarding any alleged act, failure or breach in reasonable detail and, except in the case of clause (A), (B) or (G) or any other conduct, failure, breach or refusal which, by its nature, CBS determines cannot reasonably be expected to be cured, the conduct required to cure. Except for conduct described in clause (A), (B) or (G) or any other conduct, failure, breach or refusal which, by its nature, CBS determines cannot reasonably be expected to be cured, you shall have ten (10) business days from the giving of such notice within which to cure any conduct, failure, breach or refusal under clause (C), (D), (E), (F), (H) or (I) of this paragraph 7(a)(i);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CBS reasonably expects irreparable injury from a delay of ten (10) business days, CBS may give you notice of such shorter period within which to cure as is reasonable under the circumstances.</w:t>
      </w:r>
    </w:p>
    <w:p>
      <w:pPr>
        <w:sectPr>
          <w:pgSz w:w="11900" w:h="16838" w:orient="portrait"/>
          <w:cols w:equalWidth="0" w:num="1">
            <w:col w:w="11420"/>
          </w:cols>
          <w:pgMar w:left="240" w:top="132"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firstLine="1293"/>
        <w:spacing w:after="0" w:line="253" w:lineRule="auto"/>
        <w:tabs>
          <w:tab w:leader="none" w:pos="2457" w:val="left"/>
        </w:tabs>
        <w:numPr>
          <w:ilvl w:val="1"/>
          <w:numId w:val="172"/>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7(a)(i) during the Term, CBS shall have no further obligations under this Agreement, including, without limitation, any obligation to pay Salary or Bonus or provide benefits, except to the extent required by applicable law.</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20" w:firstLine="1293"/>
        <w:spacing w:after="0" w:line="263" w:lineRule="auto"/>
        <w:tabs>
          <w:tab w:leader="none" w:pos="2391" w:val="left"/>
        </w:tabs>
        <w:numPr>
          <w:ilvl w:val="1"/>
          <w:numId w:val="173"/>
        </w:numPr>
        <w:rPr>
          <w:rFonts w:ascii="Arial" w:cs="Arial" w:eastAsia="Arial" w:hAnsi="Arial"/>
          <w:sz w:val="22"/>
          <w:szCs w:val="22"/>
          <w:color w:val="auto"/>
        </w:rPr>
      </w:pPr>
      <w:r>
        <w:rPr>
          <w:rFonts w:ascii="Arial" w:cs="Arial" w:eastAsia="Arial" w:hAnsi="Arial"/>
          <w:sz w:val="22"/>
          <w:szCs w:val="22"/>
          <w:color w:val="auto"/>
        </w:rPr>
        <w:t>CBS may terminate your employment under this Agreement without Cause at any time during the Term by providing written notice of termination to you.</w:t>
      </w:r>
    </w:p>
    <w:p>
      <w:pPr>
        <w:spacing w:after="0" w:line="175" w:lineRule="exact"/>
        <w:rPr>
          <w:sz w:val="20"/>
          <w:szCs w:val="20"/>
          <w:color w:val="auto"/>
        </w:rPr>
      </w:pPr>
    </w:p>
    <w:p>
      <w:pPr>
        <w:jc w:val="both"/>
        <w:ind w:left="660" w:firstLine="1293"/>
        <w:spacing w:after="0" w:line="294" w:lineRule="auto"/>
        <w:tabs>
          <w:tab w:leader="none" w:pos="24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In the event that your employment terminates under paragraph 7(b)(i) during the Term hereof, you shall thereafter receive, less applicable withholding taxes, (</w:t>
      </w:r>
      <w:r>
        <w:rPr>
          <w:rFonts w:ascii="Arial" w:cs="Arial" w:eastAsia="Arial" w:hAnsi="Arial"/>
          <w:sz w:val="19"/>
          <w:szCs w:val="19"/>
          <w:i w:val="1"/>
          <w:iCs w:val="1"/>
          <w:color w:val="auto"/>
        </w:rPr>
        <w:t>x</w:t>
      </w:r>
      <w:r>
        <w:rPr>
          <w:rFonts w:ascii="Arial" w:cs="Arial" w:eastAsia="Arial" w:hAnsi="Arial"/>
          <w:sz w:val="19"/>
          <w:szCs w:val="19"/>
          <w:color w:val="auto"/>
        </w:rPr>
        <w:t>) any unpaid Salary through and including the date of termination, any unpaid Bonus earned for the calendar year prior to the calendar year in which you are terminated, any business expense reimbursements incurred but not yet approved and/or paid and such other amounts as are required to be paid or provided by law (the “</w:t>
      </w:r>
      <w:r>
        <w:rPr>
          <w:rFonts w:ascii="Arial" w:cs="Arial" w:eastAsia="Arial" w:hAnsi="Arial"/>
          <w:sz w:val="19"/>
          <w:szCs w:val="19"/>
          <w:b w:val="1"/>
          <w:bCs w:val="1"/>
          <w:i w:val="1"/>
          <w:iCs w:val="1"/>
          <w:color w:val="auto"/>
        </w:rPr>
        <w:t>Accrued Obligations</w:t>
      </w:r>
      <w:r>
        <w:rPr>
          <w:rFonts w:ascii="Arial" w:cs="Arial" w:eastAsia="Arial" w:hAnsi="Arial"/>
          <w:sz w:val="19"/>
          <w:szCs w:val="19"/>
          <w:color w:val="auto"/>
        </w:rPr>
        <w:t>”), payable within thirty (30) days following your termination date, and (</w:t>
      </w:r>
      <w:r>
        <w:rPr>
          <w:rFonts w:ascii="Arial" w:cs="Arial" w:eastAsia="Arial" w:hAnsi="Arial"/>
          <w:sz w:val="19"/>
          <w:szCs w:val="19"/>
          <w:i w:val="1"/>
          <w:iCs w:val="1"/>
          <w:color w:val="auto"/>
        </w:rPr>
        <w:t>y</w:t>
      </w:r>
      <w:r>
        <w:rPr>
          <w:rFonts w:ascii="Arial" w:cs="Arial" w:eastAsia="Arial" w:hAnsi="Arial"/>
          <w:sz w:val="19"/>
          <w:szCs w:val="19"/>
          <w:color w:val="auto"/>
        </w:rPr>
        <w:t>) subject to your compliance with paragraph 7(i) hereunder, the following payments and benefits:</w:t>
      </w:r>
    </w:p>
    <w:p>
      <w:pPr>
        <w:spacing w:after="0" w:line="149" w:lineRule="exact"/>
        <w:rPr>
          <w:rFonts w:ascii="Arial" w:cs="Arial" w:eastAsia="Arial" w:hAnsi="Arial"/>
          <w:sz w:val="19"/>
          <w:szCs w:val="19"/>
          <w:color w:val="auto"/>
        </w:rPr>
      </w:pPr>
    </w:p>
    <w:p>
      <w:pPr>
        <w:jc w:val="both"/>
        <w:ind w:left="1960" w:firstLine="641"/>
        <w:spacing w:after="0" w:line="253" w:lineRule="auto"/>
        <w:tabs>
          <w:tab w:leader="none" w:pos="3205" w:val="left"/>
        </w:tabs>
        <w:numPr>
          <w:ilvl w:val="1"/>
          <w:numId w:val="174"/>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a severance amount equal to eighteen (18) months of your then current base Salary described in paragraph 3(a), payable in accordance with CBS’s then effective payroll practices (your “</w:t>
      </w:r>
      <w:r>
        <w:rPr>
          <w:rFonts w:ascii="Arial" w:cs="Arial" w:eastAsia="Arial" w:hAnsi="Arial"/>
          <w:sz w:val="22"/>
          <w:szCs w:val="22"/>
          <w:b w:val="1"/>
          <w:bCs w:val="1"/>
          <w:i w:val="1"/>
          <w:iCs w:val="1"/>
          <w:color w:val="auto"/>
        </w:rPr>
        <w:t>Regular Payroll Amount</w:t>
      </w:r>
      <w:r>
        <w:rPr>
          <w:rFonts w:ascii="Arial" w:cs="Arial" w:eastAsia="Arial" w:hAnsi="Arial"/>
          <w:sz w:val="22"/>
          <w:szCs w:val="22"/>
          <w:color w:val="auto"/>
        </w:rPr>
        <w:t>”) as follows:</w:t>
      </w:r>
    </w:p>
    <w:p>
      <w:pPr>
        <w:spacing w:after="0" w:line="185" w:lineRule="exact"/>
        <w:rPr>
          <w:rFonts w:ascii="Arial" w:cs="Arial" w:eastAsia="Arial" w:hAnsi="Arial"/>
          <w:sz w:val="22"/>
          <w:szCs w:val="22"/>
          <w:color w:val="auto"/>
        </w:rPr>
      </w:pPr>
    </w:p>
    <w:p>
      <w:pPr>
        <w:jc w:val="both"/>
        <w:ind w:left="1960" w:firstLine="1289"/>
        <w:spacing w:after="0" w:line="312" w:lineRule="auto"/>
        <w:tabs>
          <w:tab w:leader="none" w:pos="3791" w:val="left"/>
        </w:tabs>
        <w:numPr>
          <w:ilvl w:val="2"/>
          <w:numId w:val="174"/>
        </w:numPr>
        <w:rPr>
          <w:rFonts w:ascii="Arial" w:cs="Arial" w:eastAsia="Arial" w:hAnsi="Arial"/>
          <w:sz w:val="19"/>
          <w:szCs w:val="19"/>
          <w:color w:val="auto"/>
        </w:rPr>
      </w:pPr>
      <w:r>
        <w:rPr>
          <w:rFonts w:ascii="Arial" w:cs="Arial" w:eastAsia="Arial" w:hAnsi="Arial"/>
          <w:sz w:val="19"/>
          <w:szCs w:val="19"/>
          <w:color w:val="auto"/>
        </w:rPr>
        <w:t>beginning on the regular payroll date (“</w:t>
      </w:r>
      <w:r>
        <w:rPr>
          <w:rFonts w:ascii="Arial" w:cs="Arial" w:eastAsia="Arial" w:hAnsi="Arial"/>
          <w:sz w:val="19"/>
          <w:szCs w:val="19"/>
          <w:b w:val="1"/>
          <w:bCs w:val="1"/>
          <w:i w:val="1"/>
          <w:iCs w:val="1"/>
          <w:color w:val="auto"/>
        </w:rPr>
        <w:t>Regular Payroll Dates</w:t>
      </w:r>
      <w:r>
        <w:rPr>
          <w:rFonts w:ascii="Arial" w:cs="Arial" w:eastAsia="Arial" w:hAnsi="Arial"/>
          <w:sz w:val="19"/>
          <w:szCs w:val="19"/>
          <w:color w:val="auto"/>
        </w:rPr>
        <w:t>”) next following your termination date, you will receive your Regular Payroll Amount on the Regular Payroll Dates that occur on or before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w:t>
      </w:r>
    </w:p>
    <w:p>
      <w:pPr>
        <w:spacing w:after="0" w:line="33" w:lineRule="exact"/>
        <w:rPr>
          <w:sz w:val="20"/>
          <w:szCs w:val="20"/>
          <w:color w:val="auto"/>
        </w:rPr>
      </w:pPr>
    </w:p>
    <w:p>
      <w:pPr>
        <w:jc w:val="both"/>
        <w:ind w:left="1960" w:firstLine="1289"/>
        <w:spacing w:after="0" w:line="250" w:lineRule="auto"/>
        <w:tabs>
          <w:tab w:leader="none" w:pos="3889" w:val="left"/>
        </w:tabs>
        <w:numPr>
          <w:ilvl w:val="0"/>
          <w:numId w:val="175"/>
        </w:numPr>
        <w:rPr>
          <w:rFonts w:ascii="Arial" w:cs="Arial" w:eastAsia="Arial" w:hAnsi="Arial"/>
          <w:sz w:val="21"/>
          <w:szCs w:val="21"/>
          <w:color w:val="auto"/>
        </w:rPr>
      </w:pPr>
      <w:r>
        <w:rPr>
          <w:rFonts w:ascii="Arial" w:cs="Arial" w:eastAsia="Arial" w:hAnsi="Arial"/>
          <w:sz w:val="21"/>
          <w:szCs w:val="21"/>
          <w:color w:val="auto"/>
        </w:rPr>
        <w:t>beginning with the first Regular Payroll Date after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calendar year following the calendar year in which your employment terminates, you will receive your Regular Payroll Amount, if any remains due, until you have received an amount equal to the maximum amount permitted to be paid pursuant to Treasury Regulation Section 1.409A-1(b)(9)(iii)(A) (</w:t>
      </w:r>
      <w:r>
        <w:rPr>
          <w:rFonts w:ascii="Arial" w:cs="Arial" w:eastAsia="Arial" w:hAnsi="Arial"/>
          <w:sz w:val="21"/>
          <w:szCs w:val="21"/>
          <w:i w:val="1"/>
          <w:iCs w:val="1"/>
          <w:color w:val="auto"/>
        </w:rPr>
        <w:t>i.e.,</w:t>
      </w:r>
      <w:r>
        <w:rPr>
          <w:rFonts w:ascii="Arial" w:cs="Arial" w:eastAsia="Arial" w:hAnsi="Arial"/>
          <w:sz w:val="21"/>
          <w:szCs w:val="21"/>
          <w:color w:val="auto"/>
        </w:rPr>
        <w:t xml:space="preserve"> the lesser of (</w:t>
      </w:r>
      <w:r>
        <w:rPr>
          <w:rFonts w:ascii="Arial" w:cs="Arial" w:eastAsia="Arial" w:hAnsi="Arial"/>
          <w:sz w:val="21"/>
          <w:szCs w:val="21"/>
          <w:i w:val="1"/>
          <w:iCs w:val="1"/>
          <w:color w:val="auto"/>
        </w:rPr>
        <w:t>x</w:t>
      </w:r>
      <w:r>
        <w:rPr>
          <w:rFonts w:ascii="Arial" w:cs="Arial" w:eastAsia="Arial" w:hAnsi="Arial"/>
          <w:sz w:val="21"/>
          <w:szCs w:val="21"/>
          <w:color w:val="auto"/>
        </w:rPr>
        <w:t>) two times your “annualized compensation” within the meaning of Code Section 409A or (</w:t>
      </w:r>
      <w:r>
        <w:rPr>
          <w:rFonts w:ascii="Arial" w:cs="Arial" w:eastAsia="Arial" w:hAnsi="Arial"/>
          <w:sz w:val="21"/>
          <w:szCs w:val="21"/>
          <w:i w:val="1"/>
          <w:iCs w:val="1"/>
          <w:color w:val="auto"/>
        </w:rPr>
        <w:t>y</w:t>
      </w:r>
      <w:r>
        <w:rPr>
          <w:rFonts w:ascii="Arial" w:cs="Arial" w:eastAsia="Arial" w:hAnsi="Arial"/>
          <w:sz w:val="21"/>
          <w:szCs w:val="21"/>
          <w:color w:val="auto"/>
        </w:rPr>
        <w:t>) two times the limit under Section 401(a)(17) of the Internal Revenue Code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xml:space="preserve">”) for the calendar year in which your termination occurs, which is $550,000 for 2018); </w:t>
      </w:r>
      <w:r>
        <w:rPr>
          <w:rFonts w:ascii="Arial" w:cs="Arial" w:eastAsia="Arial" w:hAnsi="Arial"/>
          <w:sz w:val="21"/>
          <w:szCs w:val="21"/>
          <w:u w:val="single" w:color="auto"/>
          <w:color w:val="auto"/>
        </w:rPr>
        <w:t>provided</w:t>
      </w:r>
      <w:r>
        <w:rPr>
          <w:rFonts w:ascii="Arial" w:cs="Arial" w:eastAsia="Arial" w:hAnsi="Arial"/>
          <w:sz w:val="21"/>
          <w:szCs w:val="21"/>
          <w:color w:val="auto"/>
        </w:rPr>
        <w:t>,</w:t>
      </w:r>
    </w:p>
    <w:p>
      <w:pPr>
        <w:sectPr>
          <w:pgSz w:w="11900" w:h="16838" w:orient="portrait"/>
          <w:cols w:equalWidth="0" w:num="1">
            <w:col w:w="11420"/>
          </w:cols>
          <w:pgMar w:left="240" w:top="132"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spacing w:after="0" w:line="287" w:lineRule="auto"/>
        <w:rPr>
          <w:sz w:val="20"/>
          <w:szCs w:val="20"/>
          <w:color w:val="auto"/>
        </w:rPr>
      </w:pP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payment be made to you pursuant to this paragraph 7(b)(ii)(A)(II) later than December 31st of the second calendar year following your termination of employment; and</w:t>
      </w:r>
    </w:p>
    <w:p>
      <w:pPr>
        <w:spacing w:after="0" w:line="152" w:lineRule="exact"/>
        <w:rPr>
          <w:sz w:val="20"/>
          <w:szCs w:val="20"/>
          <w:color w:val="auto"/>
        </w:rPr>
      </w:pPr>
    </w:p>
    <w:p>
      <w:pPr>
        <w:jc w:val="both"/>
        <w:ind w:left="1960" w:firstLine="1289"/>
        <w:spacing w:after="0" w:line="271" w:lineRule="auto"/>
        <w:tabs>
          <w:tab w:leader="none" w:pos="384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balance of your Regular Payroll Amount, if any remains due, will be paid to you by payment of your Regular Payroll Amount on your Regular Payroll Dates beginning with the regular payroll date that follows the date of the last payment pursuant to paragraph 7(b)(ii)(A)(II);</w:t>
      </w:r>
    </w:p>
    <w:p>
      <w:pPr>
        <w:spacing w:after="0" w:line="168" w:lineRule="exact"/>
        <w:rPr>
          <w:sz w:val="20"/>
          <w:szCs w:val="20"/>
          <w:color w:val="auto"/>
        </w:rPr>
      </w:pPr>
    </w:p>
    <w:p>
      <w:pPr>
        <w:jc w:val="both"/>
        <w:ind w:left="1960"/>
        <w:spacing w:after="0" w:line="25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you are a “specified employee” (within the meaning of Code Section 409A and determined pursuant to procedures adopted by CBS) at the time of your termination and any portion of your Regular Payroll Amount that would be paid to you during the six-month period following your termination of employment constitutes “deferred compensation” within the meaning of Code Section 409A, such portion shall be paid to you in a lump sum on the earlier of (</w:t>
      </w:r>
      <w:r>
        <w:rPr>
          <w:rFonts w:ascii="Arial" w:cs="Arial" w:eastAsia="Arial" w:hAnsi="Arial"/>
          <w:sz w:val="21"/>
          <w:szCs w:val="21"/>
          <w:i w:val="1"/>
          <w:iCs w:val="1"/>
          <w:color w:val="auto"/>
        </w:rPr>
        <w:t>x</w:t>
      </w:r>
      <w:r>
        <w:rPr>
          <w:rFonts w:ascii="Arial" w:cs="Arial" w:eastAsia="Arial" w:hAnsi="Arial"/>
          <w:sz w:val="21"/>
          <w:szCs w:val="21"/>
          <w:color w:val="auto"/>
        </w:rPr>
        <w:t>) the first business day of the seventh calendar month following the calendar month in which your termination of employment occurs or (</w:t>
      </w:r>
      <w:r>
        <w:rPr>
          <w:rFonts w:ascii="Arial" w:cs="Arial" w:eastAsia="Arial" w:hAnsi="Arial"/>
          <w:sz w:val="21"/>
          <w:szCs w:val="21"/>
          <w:i w:val="1"/>
          <w:iCs w:val="1"/>
          <w:color w:val="auto"/>
        </w:rPr>
        <w:t>y</w:t>
      </w:r>
      <w:r>
        <w:rPr>
          <w:rFonts w:ascii="Arial" w:cs="Arial" w:eastAsia="Arial" w:hAnsi="Arial"/>
          <w:sz w:val="21"/>
          <w:szCs w:val="21"/>
          <w:color w:val="auto"/>
        </w:rPr>
        <w:t>) your death (the applicable date, the “</w:t>
      </w:r>
      <w:r>
        <w:rPr>
          <w:rFonts w:ascii="Arial" w:cs="Arial" w:eastAsia="Arial" w:hAnsi="Arial"/>
          <w:sz w:val="21"/>
          <w:szCs w:val="21"/>
          <w:b w:val="1"/>
          <w:bCs w:val="1"/>
          <w:i w:val="1"/>
          <w:iCs w:val="1"/>
          <w:color w:val="auto"/>
        </w:rPr>
        <w:t>Permissible Payment Date</w:t>
      </w:r>
      <w:r>
        <w:rPr>
          <w:rFonts w:ascii="Arial" w:cs="Arial" w:eastAsia="Arial" w:hAnsi="Arial"/>
          <w:sz w:val="21"/>
          <w:szCs w:val="21"/>
          <w:color w:val="auto"/>
        </w:rPr>
        <w:t>”) rather than as described in paragraph 7(b)(ii)(A)(I), (II) or (III), as applicable, and any remaining Salary shall be paid to you or your estate, as applicable, by payment of your Regular Payroll Amount on your Regular Payroll Dates commencing with the Regular Payroll Date that follows the Permissible Payment Date. Each payment pursuant to this paragraph 7(b)(ii)(A) shall be regarded as a separate payment and not one of a series of payments for purposes of Code Section 409A.</w:t>
      </w:r>
    </w:p>
    <w:p>
      <w:pPr>
        <w:spacing w:after="0" w:line="180" w:lineRule="exact"/>
        <w:rPr>
          <w:sz w:val="20"/>
          <w:szCs w:val="20"/>
          <w:color w:val="auto"/>
        </w:rPr>
      </w:pPr>
    </w:p>
    <w:p>
      <w:pPr>
        <w:jc w:val="both"/>
        <w:ind w:left="1960" w:firstLine="641"/>
        <w:spacing w:after="0" w:line="302" w:lineRule="auto"/>
        <w:tabs>
          <w:tab w:leader="none" w:pos="324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an additional severance amount equal to 1.5 times your “</w:t>
      </w:r>
      <w:r>
        <w:rPr>
          <w:rFonts w:ascii="Arial" w:cs="Arial" w:eastAsia="Arial" w:hAnsi="Arial"/>
          <w:sz w:val="19"/>
          <w:szCs w:val="19"/>
          <w:b w:val="1"/>
          <w:bCs w:val="1"/>
          <w:i w:val="1"/>
          <w:iCs w:val="1"/>
          <w:color w:val="auto"/>
        </w:rPr>
        <w:t>Severance Bonus</w:t>
      </w:r>
      <w:r>
        <w:rPr>
          <w:rFonts w:ascii="Arial" w:cs="Arial" w:eastAsia="Arial" w:hAnsi="Arial"/>
          <w:sz w:val="19"/>
          <w:szCs w:val="19"/>
          <w:color w:val="auto"/>
        </w:rPr>
        <w:t>”. For purposes of this Agreement, “Severance Bonus” is defined as your Target Bonus in effect on the date of your termination of employment, ignoring any reduction in your Target Bonus prior to such date that constituted Good Reason. The additional severance amount described above shall be determined and paid as follows:</w:t>
      </w:r>
    </w:p>
    <w:p>
      <w:pPr>
        <w:spacing w:after="0" w:line="142" w:lineRule="exact"/>
        <w:rPr>
          <w:rFonts w:ascii="Arial" w:cs="Arial" w:eastAsia="Arial" w:hAnsi="Arial"/>
          <w:sz w:val="19"/>
          <w:szCs w:val="19"/>
          <w:color w:val="auto"/>
        </w:rPr>
      </w:pPr>
    </w:p>
    <w:p>
      <w:pPr>
        <w:jc w:val="both"/>
        <w:ind w:left="1960" w:firstLine="1289"/>
        <w:spacing w:after="0" w:line="262" w:lineRule="auto"/>
        <w:tabs>
          <w:tab w:leader="none" w:pos="3793"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an amount equal to your Severance Bonus, prorated for the number of calendar days remaining in the calendar year in which your employment terminates, and payable between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and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calendar year in which your employment terminates;</w:t>
      </w:r>
    </w:p>
    <w:p>
      <w:pPr>
        <w:sectPr>
          <w:pgSz w:w="11900" w:h="16838" w:orient="portrait"/>
          <w:cols w:equalWidth="0" w:num="1">
            <w:col w:w="11420"/>
          </w:cols>
          <w:pgMar w:left="240" w:top="132"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4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w:t>
      </w:r>
      <w:r>
        <w:rPr>
          <w:rFonts w:ascii="Arial" w:cs="Arial" w:eastAsia="Arial" w:hAnsi="Arial"/>
          <w:sz w:val="22"/>
          <w:szCs w:val="22"/>
          <w:i w:val="1"/>
          <w:iCs w:val="1"/>
          <w:color w:val="auto"/>
        </w:rPr>
        <w:t>x</w:t>
      </w:r>
      <w:r>
        <w:rPr>
          <w:rFonts w:ascii="Arial" w:cs="Arial" w:eastAsia="Arial" w:hAnsi="Arial"/>
          <w:sz w:val="22"/>
          <w:szCs w:val="22"/>
          <w:color w:val="auto"/>
        </w:rPr>
        <w:t>) you are a “specified employee” (within the meaning of Code Section 409A and determined pursuant to procedures adopted by CBS) at the time of your termination, (</w:t>
      </w:r>
      <w:r>
        <w:rPr>
          <w:rFonts w:ascii="Arial" w:cs="Arial" w:eastAsia="Arial" w:hAnsi="Arial"/>
          <w:sz w:val="22"/>
          <w:szCs w:val="22"/>
          <w:i w:val="1"/>
          <w:iCs w:val="1"/>
          <w:color w:val="auto"/>
        </w:rPr>
        <w:t>y</w:t>
      </w:r>
      <w:r>
        <w:rPr>
          <w:rFonts w:ascii="Arial" w:cs="Arial" w:eastAsia="Arial" w:hAnsi="Arial"/>
          <w:sz w:val="22"/>
          <w:szCs w:val="22"/>
          <w:color w:val="auto"/>
        </w:rPr>
        <w:t>) your date of termination pursuant to paragraph 7(b)(i) occurs after June 30th of the calendar year, and (</w:t>
      </w:r>
      <w:r>
        <w:rPr>
          <w:rFonts w:ascii="Arial" w:cs="Arial" w:eastAsia="Arial" w:hAnsi="Arial"/>
          <w:sz w:val="22"/>
          <w:szCs w:val="22"/>
          <w:i w:val="1"/>
          <w:iCs w:val="1"/>
          <w:color w:val="auto"/>
        </w:rPr>
        <w:t>z</w:t>
      </w:r>
      <w:r>
        <w:rPr>
          <w:rFonts w:ascii="Arial" w:cs="Arial" w:eastAsia="Arial" w:hAnsi="Arial"/>
          <w:sz w:val="22"/>
          <w:szCs w:val="22"/>
          <w:color w:val="auto"/>
        </w:rPr>
        <w:t>) the prorated amount described in this paragraph 7(b)(ii)(B)(I) is determined to constitute “deferred compensation” within the meaning of Code Section 409A, then such prorated bonus shall not be paid to you until the earlier of (a) the first business day of the seventh calendar month following the calendar month in which your termination of employment occurs or (b) your death. Each payment pursuant to this paragraph 7(b)(ii)(B) shall be regarded as a separate payment and not one of a series of payments for purposes of Code Section 409A;</w:t>
      </w:r>
    </w:p>
    <w:p>
      <w:pPr>
        <w:spacing w:after="0" w:line="181" w:lineRule="exact"/>
        <w:rPr>
          <w:sz w:val="20"/>
          <w:szCs w:val="20"/>
          <w:color w:val="auto"/>
        </w:rPr>
      </w:pPr>
    </w:p>
    <w:p>
      <w:pPr>
        <w:jc w:val="both"/>
        <w:ind w:left="1960" w:firstLine="1289"/>
        <w:spacing w:after="0" w:line="206" w:lineRule="auto"/>
        <w:tabs>
          <w:tab w:leader="none" w:pos="378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an amount equal to your Severance Bonus, and payable between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and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second calendar year following the calendar year in which your employment terminates;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month anniversary of the date of your termination of employment (the “</w:t>
      </w:r>
      <w:r>
        <w:rPr>
          <w:rFonts w:ascii="Arial" w:cs="Arial" w:eastAsia="Arial" w:hAnsi="Arial"/>
          <w:sz w:val="22"/>
          <w:szCs w:val="22"/>
          <w:b w:val="1"/>
          <w:bCs w:val="1"/>
          <w:i w:val="1"/>
          <w:iCs w:val="1"/>
          <w:color w:val="auto"/>
        </w:rPr>
        <w:t>18</w:t>
      </w:r>
      <w:r>
        <w:rPr>
          <w:rFonts w:ascii="Arial" w:cs="Arial" w:eastAsia="Arial" w:hAnsi="Arial"/>
          <w:sz w:val="28"/>
          <w:szCs w:val="28"/>
          <w:b w:val="1"/>
          <w:bCs w:val="1"/>
          <w:i w:val="1"/>
          <w:iCs w:val="1"/>
          <w:color w:val="auto"/>
          <w:vertAlign w:val="superscript"/>
        </w:rPr>
        <w:t>th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Month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Anniversary</w:t>
      </w:r>
      <w:r>
        <w:rPr>
          <w:rFonts w:ascii="Arial" w:cs="Arial" w:eastAsia="Arial" w:hAnsi="Arial"/>
          <w:sz w:val="22"/>
          <w:szCs w:val="22"/>
          <w:color w:val="auto"/>
        </w:rPr>
        <w:t>”) occurs in the calendar year following the calendar year in which your employment terminates,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then the Severance Bonus shall be prorated for the number of calendar days in the calendar year following the calendar year in which your employment terminates that occur on or before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Month Anniversary; and</w:t>
      </w:r>
    </w:p>
    <w:p>
      <w:pPr>
        <w:spacing w:after="0" w:line="196" w:lineRule="exact"/>
        <w:rPr>
          <w:sz w:val="20"/>
          <w:szCs w:val="20"/>
          <w:color w:val="auto"/>
        </w:rPr>
      </w:pPr>
    </w:p>
    <w:p>
      <w:pPr>
        <w:jc w:val="both"/>
        <w:ind w:left="1960" w:firstLine="1289"/>
        <w:spacing w:after="0" w:line="283" w:lineRule="auto"/>
        <w:tabs>
          <w:tab w:leader="none" w:pos="402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if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occurs in the second calendar year following the calendar year in which your employment terminates, an amount equal to your Severance Bonus, prorated for the number of calendar days in the second calendar year following the calendar year in which your employment terminates that occur on or before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third calendar year following the calendar year in which your employment terminates.</w:t>
      </w:r>
    </w:p>
    <w:p>
      <w:pPr>
        <w:spacing w:after="0" w:line="59" w:lineRule="exact"/>
        <w:rPr>
          <w:rFonts w:ascii="Arial" w:cs="Arial" w:eastAsia="Arial" w:hAnsi="Arial"/>
          <w:sz w:val="19"/>
          <w:szCs w:val="19"/>
          <w:color w:val="auto"/>
        </w:rPr>
      </w:pPr>
    </w:p>
    <w:p>
      <w:pPr>
        <w:jc w:val="both"/>
        <w:ind w:left="1960" w:firstLine="641"/>
        <w:spacing w:after="0" w:line="248" w:lineRule="auto"/>
        <w:tabs>
          <w:tab w:leader="none" w:pos="3126"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Health Benefits</w:t>
      </w:r>
      <w:r>
        <w:rPr>
          <w:rFonts w:ascii="Arial" w:cs="Arial" w:eastAsia="Arial" w:hAnsi="Arial"/>
          <w:sz w:val="22"/>
          <w:szCs w:val="22"/>
          <w:color w:val="auto"/>
        </w:rPr>
        <w:t>: medical and dental insurance coverage for you and your eligible dependents at no cost to you (except as hereafter described) pursuant to the CBS benefit plans in which you participated in at the time of your termination of employment (or, if different, other benefit plans generally available to senior level executives) for a period of eighteen (18) months following the termination date, or if earlier, the date on</w:t>
      </w:r>
    </w:p>
    <w:p>
      <w:pPr>
        <w:sectPr>
          <w:pgSz w:w="11900" w:h="16838" w:orient="portrait"/>
          <w:cols w:equalWidth="0" w:num="1">
            <w:col w:w="11420"/>
          </w:cols>
          <w:pgMar w:left="240" w:top="132"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9" w:lineRule="auto"/>
        <w:rPr>
          <w:sz w:val="20"/>
          <w:szCs w:val="20"/>
          <w:color w:val="auto"/>
        </w:rPr>
      </w:pPr>
      <w:r>
        <w:rPr>
          <w:rFonts w:ascii="Arial" w:cs="Arial" w:eastAsia="Arial" w:hAnsi="Arial"/>
          <w:sz w:val="19"/>
          <w:szCs w:val="19"/>
          <w:color w:val="auto"/>
        </w:rPr>
        <w:t xml:space="preserve">which you become eligible for medical or dental coverage as the case may be from a third party, which period of coverage shall be considered to run concurrently with the COBRA continuation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period that CBS provides you with this coverage, the cost of such coverage will be treated as taxable income to you and CBS may withhold taxes from your compensation for this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you may elect to continue your medical and dental insurance coverage under COBRA at your own expense for the balance, if any, of the period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CBS is unable to continue such benefits because of underwriting on the plan term or if such continuation would violate Code Section 105(h), CBS will provide you with economically equivalent benefits determined on an after-tax basis (to the extent such benefit was non-taxable).</w:t>
      </w:r>
    </w:p>
    <w:p>
      <w:pPr>
        <w:spacing w:after="0" w:line="158" w:lineRule="exact"/>
        <w:rPr>
          <w:sz w:val="20"/>
          <w:szCs w:val="20"/>
          <w:color w:val="auto"/>
        </w:rPr>
      </w:pPr>
    </w:p>
    <w:p>
      <w:pPr>
        <w:jc w:val="both"/>
        <w:ind w:left="1960" w:firstLine="641"/>
        <w:spacing w:after="0" w:line="261" w:lineRule="auto"/>
        <w:tabs>
          <w:tab w:leader="none" w:pos="3165"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until the end of the Term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will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4" w:lineRule="exact"/>
        <w:rPr>
          <w:rFonts w:ascii="Arial" w:cs="Arial" w:eastAsia="Arial" w:hAnsi="Arial"/>
          <w:sz w:val="22"/>
          <w:szCs w:val="22"/>
          <w:color w:val="auto"/>
        </w:rPr>
      </w:pPr>
    </w:p>
    <w:p>
      <w:pPr>
        <w:jc w:val="both"/>
        <w:ind w:left="1960" w:firstLine="1289"/>
        <w:spacing w:after="0" w:line="261" w:lineRule="auto"/>
        <w:tabs>
          <w:tab w:leader="none" w:pos="393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 xml:space="preserve">All stock option awards (or portions thereof) that have not vested and become exercisable on the date of such termination, but which would otherwise vest on or before the end of an eighteen (18) month period thereafter, shall accelerate and vest immediately on the Release Effective Date, and will continue to be exercisable until the greater of eighteen (18) months following the termination date or the period provided in accordance with the terms of the grant;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exercise period extend beyond their expiration date.</w:t>
      </w:r>
    </w:p>
    <w:p>
      <w:pPr>
        <w:spacing w:after="0" w:line="180" w:lineRule="exact"/>
        <w:rPr>
          <w:sz w:val="20"/>
          <w:szCs w:val="20"/>
          <w:color w:val="auto"/>
        </w:rPr>
      </w:pPr>
    </w:p>
    <w:p>
      <w:pPr>
        <w:ind w:left="3820" w:hanging="571"/>
        <w:spacing w:after="0"/>
        <w:tabs>
          <w:tab w:leader="none" w:pos="382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All stock option awards (or portions thereof) that have previously vested and become</w:t>
      </w:r>
    </w:p>
    <w:p>
      <w:pPr>
        <w:spacing w:after="0" w:line="5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exercisable by</w:t>
      </w:r>
    </w:p>
    <w:p>
      <w:pPr>
        <w:sectPr>
          <w:pgSz w:w="11900" w:h="16838" w:orient="portrait"/>
          <w:cols w:equalWidth="0" w:num="1">
            <w:col w:w="11420"/>
          </w:cols>
          <w:pgMar w:left="240" w:top="132"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 xml:space="preserve">the date of such termination shall remain exercisable until the greater of eighteen (18) months following the termination date or the period provided in accordance with the terms of the grant;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the exercise period extend beyond their expiration date.</w:t>
      </w:r>
    </w:p>
    <w:p>
      <w:pPr>
        <w:spacing w:after="0" w:line="186" w:lineRule="exact"/>
        <w:rPr>
          <w:sz w:val="20"/>
          <w:szCs w:val="20"/>
          <w:color w:val="auto"/>
        </w:rPr>
      </w:pPr>
    </w:p>
    <w:p>
      <w:pPr>
        <w:jc w:val="both"/>
        <w:ind w:left="1960" w:firstLine="1289"/>
        <w:spacing w:after="0" w:line="285" w:lineRule="auto"/>
        <w:tabs>
          <w:tab w:leader="none" w:pos="397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All outstanding restricted share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awards and other equity awards (or portions thereof) that would otherwise vest on or before the end of an eighteen (18) month period following the termination date (the “</w:t>
      </w:r>
      <w:r>
        <w:rPr>
          <w:rFonts w:ascii="Arial" w:cs="Arial" w:eastAsia="Arial" w:hAnsi="Arial"/>
          <w:sz w:val="19"/>
          <w:szCs w:val="19"/>
          <w:b w:val="1"/>
          <w:bCs w:val="1"/>
          <w:i w:val="1"/>
          <w:iCs w:val="1"/>
          <w:color w:val="auto"/>
        </w:rPr>
        <w:t>Accelerated Share Awards</w:t>
      </w:r>
      <w:r>
        <w:rPr>
          <w:rFonts w:ascii="Arial" w:cs="Arial" w:eastAsia="Arial" w:hAnsi="Arial"/>
          <w:sz w:val="19"/>
          <w:szCs w:val="19"/>
          <w:color w:val="auto"/>
        </w:rPr>
        <w:t xml:space="preserve">”) shall accelerate and vest immediately on the Release Effective Date and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Accelerated Share Awards that remain subject to performance-based vesting conditions on your termination date, in the event and limited to the extent that compliance with the performance-based compensation exception is required in order to ensure the deductibility of any such Accelerated Share Award under Internal Revenue Code Section 162(m) (“</w:t>
      </w:r>
      <w:r>
        <w:rPr>
          <w:rFonts w:ascii="Arial" w:cs="Arial" w:eastAsia="Arial" w:hAnsi="Arial"/>
          <w:sz w:val="19"/>
          <w:szCs w:val="19"/>
          <w:b w:val="1"/>
          <w:bCs w:val="1"/>
          <w:i w:val="1"/>
          <w:iCs w:val="1"/>
          <w:color w:val="auto"/>
        </w:rPr>
        <w:t>Code Section 162(m)</w:t>
      </w:r>
      <w:r>
        <w:rPr>
          <w:rFonts w:ascii="Arial" w:cs="Arial" w:eastAsia="Arial" w:hAnsi="Arial"/>
          <w:sz w:val="19"/>
          <w:szCs w:val="19"/>
          <w:color w:val="auto"/>
        </w:rPr>
        <w:t xml:space="preserve">”), such Accelerated Share Award shall vest if and to the extent the Committee certifies that the performance goal relating to such Accelerated Share Award has been met, or, if later, the Release Effective Date, and shall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Accelerated Share Awards that remain subject to performance-based vesting conditions on your termination date, in the event and to the extent that compliance with the performance-based compensation exception under Code Section 162(m) is not required in order to ensure the deductibility of any such Accelerated Share Award, such Accelerated Share Award shall immediately vest (with an assumption that the performance goal was achieved at target level, if and to the extent applicable) on the Release Effective Date and be settled within ten (10) business days thereafter.</w:t>
      </w:r>
    </w:p>
    <w:p>
      <w:pPr>
        <w:spacing w:after="0" w:line="170" w:lineRule="exact"/>
        <w:rPr>
          <w:sz w:val="20"/>
          <w:szCs w:val="20"/>
          <w:color w:val="auto"/>
        </w:rPr>
      </w:pPr>
    </w:p>
    <w:p>
      <w:pPr>
        <w:jc w:val="both"/>
        <w:ind w:left="1960"/>
        <w:spacing w:after="0" w:line="297" w:lineRule="auto"/>
        <w:rPr>
          <w:sz w:val="20"/>
          <w:szCs w:val="20"/>
          <w:color w:val="auto"/>
        </w:rPr>
      </w:pPr>
      <w:r>
        <w:rPr>
          <w:rFonts w:ascii="Arial" w:cs="Arial" w:eastAsia="Arial" w:hAnsi="Arial"/>
          <w:sz w:val="19"/>
          <w:szCs w:val="19"/>
          <w:color w:val="auto"/>
        </w:rPr>
        <w:t>Notwithstanding the foregoing, to the extent that you are a “specified employee” (within the meaning of Code Section 409A and determined pursuant to procedures adopted by CBS) at the time of your termination and any portion of your Accelerated Share Awards that would otherwise be settled during the six-month period following your termination of employment constitutes “deferred compensation” within the meaning of Code Section 409A, such portion shall instead be settled on the Permissible Payment Date.</w:t>
      </w:r>
    </w:p>
    <w:p>
      <w:pPr>
        <w:sectPr>
          <w:pgSz w:w="11900" w:h="16838" w:orient="portrait"/>
          <w:cols w:equalWidth="0" w:num="1">
            <w:col w:w="11420"/>
          </w:cols>
          <w:pgMar w:left="240" w:top="13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firstLine="1293"/>
        <w:spacing w:after="0" w:line="258" w:lineRule="auto"/>
        <w:tabs>
          <w:tab w:leader="none" w:pos="2581" w:val="left"/>
        </w:tabs>
        <w:numPr>
          <w:ilvl w:val="1"/>
          <w:numId w:val="184"/>
        </w:numPr>
        <w:rPr>
          <w:rFonts w:ascii="Arial" w:cs="Arial" w:eastAsia="Arial" w:hAnsi="Arial"/>
          <w:sz w:val="21"/>
          <w:szCs w:val="21"/>
          <w:color w:val="auto"/>
        </w:rPr>
      </w:pPr>
      <w:r>
        <w:rPr>
          <w:rFonts w:ascii="Arial" w:cs="Arial" w:eastAsia="Arial" w:hAnsi="Arial"/>
          <w:sz w:val="21"/>
          <w:szCs w:val="21"/>
          <w:color w:val="auto"/>
        </w:rPr>
        <w:t xml:space="preserve">You shall be required to mitigate the amount of any payment provided for in paragraph 7(b)(ii) by seeking other employment, and the amount of such payments shall be reduced by any compensation earned by you from any source, including, without limitation, salary, sign-on or annual bonus compensation, consulting fees, and commission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mitigation shall not be required, and no reduction for other compensation shall be made, for earnings for services provided during the first six (6) months after the termination of your employment. You agree to advise CBS immediately and in writing of any employment for which you are receiving such payments and to provide documentation as requested by CBS with respect to such employment. The payments provided for in paragraph 7(b)(ii) are in lieu of any other severance or income continuation or protection under any CBS plan, program or agreement that may now or hereafter exist (unless the terms of such plan, program or agreement expressly state that the payments and benefits payable thereunder are intended to be in addition to the type of payments and benefits described in paragraph 7(b)(ii) of this Agreement).</w:t>
      </w:r>
    </w:p>
    <w:p>
      <w:pPr>
        <w:spacing w:after="0" w:line="183" w:lineRule="exact"/>
        <w:rPr>
          <w:rFonts w:ascii="Arial" w:cs="Arial" w:eastAsia="Arial" w:hAnsi="Arial"/>
          <w:sz w:val="21"/>
          <w:szCs w:val="21"/>
          <w:color w:val="auto"/>
        </w:rPr>
      </w:pPr>
    </w:p>
    <w:p>
      <w:pPr>
        <w:ind w:left="1760" w:hanging="455"/>
        <w:spacing w:after="0"/>
        <w:tabs>
          <w:tab w:leader="none" w:pos="1760"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Resignation with Good Reason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85" w:lineRule="auto"/>
        <w:tabs>
          <w:tab w:leader="none" w:pos="237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You may resign your employment under this Agreement with Good Reason at any time during the Term by written notice of termination to CBS given no more than thirty (30) days after the occurrence of the event constituting Good Reason. Such notice shall state an effective resignation date that is not earlier than thirty (30) business days and not later than sixty (60) days after the date it is given to CBS,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CBS may set an earlier effective date for your resignation at any time after receipt of your notice. For purposes of this Agreement (and any other agreement that expressly incorporates the definition of Good Reason hereunder),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shall mean the occurrence of any of the following without your consent (other than in connection with the termination or suspension of your employment or duties for Cause or in connection with physical and mental incapacity): (A) a material reduction in (1) your position, titles, offices, reporting relationships, authorities, duties or responsibilities from those in effect immediately prior to such reduction, including any such reduction effected through any 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an executive of a public company comparable to CBS or (2) your base Salary or target compensation in effect immediately prior to such reduction, including your annual Target Bonus or long-term incentive targets (for the avoidance of doubt, a material reduction shall include and be deemed to have occurred with respect to clause (A)(1) above if either (</w:t>
      </w:r>
      <w:r>
        <w:rPr>
          <w:rFonts w:ascii="Arial" w:cs="Arial" w:eastAsia="Arial" w:hAnsi="Arial"/>
          <w:sz w:val="19"/>
          <w:szCs w:val="19"/>
          <w:i w:val="1"/>
          <w:iCs w:val="1"/>
          <w:color w:val="auto"/>
        </w:rPr>
        <w:t>x</w:t>
      </w:r>
      <w:r>
        <w:rPr>
          <w:rFonts w:ascii="Arial" w:cs="Arial" w:eastAsia="Arial" w:hAnsi="Arial"/>
          <w:sz w:val="19"/>
          <w:szCs w:val="19"/>
          <w:color w:val="auto"/>
        </w:rPr>
        <w:t>) you cease to be the most senior executive responsible for the tax affairs of CBS (provided that no cessation will be deemed to have occurred if CBS has</w:t>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an ultimate parent company that is a public company and you are the most senior executive responsible for the tax affairs of the ultimate public parent company) or (</w:t>
      </w:r>
      <w:r>
        <w:rPr>
          <w:rFonts w:ascii="Arial" w:cs="Arial" w:eastAsia="Arial" w:hAnsi="Arial"/>
          <w:sz w:val="21"/>
          <w:szCs w:val="21"/>
          <w:i w:val="1"/>
          <w:iCs w:val="1"/>
          <w:color w:val="auto"/>
        </w:rPr>
        <w:t>y</w:t>
      </w:r>
      <w:r>
        <w:rPr>
          <w:rFonts w:ascii="Arial" w:cs="Arial" w:eastAsia="Arial" w:hAnsi="Arial"/>
          <w:sz w:val="21"/>
          <w:szCs w:val="21"/>
          <w:color w:val="auto"/>
        </w:rPr>
        <w:t>) neither CBS nor its ultimate parent company (if any) is a public company); (B) the assignment to you of duties or responsibilities that are materially inconsistent with your position, titles, offices or reporting relationships as they existed on the Effective Date or that materially impair your ability to function as Executive Vice President, General Tax Counsel and Chief Veteran Officer of CBS; (C) the material breach by CBS of any of its obligations under this Agreement; or (D) the requirement that you relocate outside of the metropolitan area in which you currently are employed to any metropolitan area other than Los Angeles. CBS shall have thirty (30) days from the receipt of your notice within which to cure and, in the event of such cure, your notice shall be of no further force or effect. If no cure is effected, your resignation will be effective as of the date specified in your written notice to CBS or such earlier effective date set by CBS following receipt of your notice.</w:t>
      </w:r>
    </w:p>
    <w:p>
      <w:pPr>
        <w:spacing w:after="0" w:line="186" w:lineRule="exact"/>
        <w:rPr>
          <w:sz w:val="20"/>
          <w:szCs w:val="20"/>
          <w:color w:val="auto"/>
        </w:rPr>
      </w:pPr>
    </w:p>
    <w:p>
      <w:pPr>
        <w:jc w:val="both"/>
        <w:ind w:left="660" w:firstLine="1293"/>
        <w:spacing w:after="0" w:line="250" w:lineRule="auto"/>
        <w:tabs>
          <w:tab w:leader="none" w:pos="257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7(c)(i) during the Term, you shall thereafter receive, less applicable withholding taxes, (</w:t>
      </w:r>
      <w:r>
        <w:rPr>
          <w:rFonts w:ascii="Arial" w:cs="Arial" w:eastAsia="Arial" w:hAnsi="Arial"/>
          <w:sz w:val="22"/>
          <w:szCs w:val="22"/>
          <w:i w:val="1"/>
          <w:iCs w:val="1"/>
          <w:color w:val="auto"/>
        </w:rPr>
        <w:t>x</w:t>
      </w:r>
      <w:r>
        <w:rPr>
          <w:rFonts w:ascii="Arial" w:cs="Arial" w:eastAsia="Arial" w:hAnsi="Arial"/>
          <w:sz w:val="22"/>
          <w:szCs w:val="22"/>
          <w:color w:val="auto"/>
        </w:rPr>
        <w:t>) the Accrued Obligations, payable within thirty (30) days following your termination date, and (</w:t>
      </w:r>
      <w:r>
        <w:rPr>
          <w:rFonts w:ascii="Arial" w:cs="Arial" w:eastAsia="Arial" w:hAnsi="Arial"/>
          <w:sz w:val="22"/>
          <w:szCs w:val="22"/>
          <w:i w:val="1"/>
          <w:iCs w:val="1"/>
          <w:color w:val="auto"/>
        </w:rPr>
        <w:t>y</w:t>
      </w:r>
      <w:r>
        <w:rPr>
          <w:rFonts w:ascii="Arial" w:cs="Arial" w:eastAsia="Arial" w:hAnsi="Arial"/>
          <w:sz w:val="22"/>
          <w:szCs w:val="22"/>
          <w:color w:val="auto"/>
        </w:rPr>
        <w:t>), subject to your compliance with paragraph 7(i) hereunder, the following payments and benefits:</w:t>
      </w:r>
    </w:p>
    <w:p>
      <w:pPr>
        <w:spacing w:after="0" w:line="188" w:lineRule="exact"/>
        <w:rPr>
          <w:rFonts w:ascii="Arial" w:cs="Arial" w:eastAsia="Arial" w:hAnsi="Arial"/>
          <w:sz w:val="22"/>
          <w:szCs w:val="22"/>
          <w:color w:val="auto"/>
        </w:rPr>
      </w:pPr>
    </w:p>
    <w:p>
      <w:pPr>
        <w:ind w:left="1960" w:firstLine="641"/>
        <w:spacing w:after="0" w:line="263" w:lineRule="auto"/>
        <w:tabs>
          <w:tab w:leader="none" w:pos="3205" w:val="left"/>
        </w:tabs>
        <w:numPr>
          <w:ilvl w:val="1"/>
          <w:numId w:val="186"/>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a severance amount equal to eighteen (18) months of your Regular Payroll Amount, payable as follows:</w:t>
      </w:r>
    </w:p>
    <w:p>
      <w:pPr>
        <w:spacing w:after="0" w:line="174" w:lineRule="exact"/>
        <w:rPr>
          <w:rFonts w:ascii="Arial" w:cs="Arial" w:eastAsia="Arial" w:hAnsi="Arial"/>
          <w:sz w:val="22"/>
          <w:szCs w:val="22"/>
          <w:color w:val="auto"/>
        </w:rPr>
      </w:pPr>
    </w:p>
    <w:p>
      <w:pPr>
        <w:jc w:val="both"/>
        <w:ind w:left="1960" w:firstLine="1289"/>
        <w:spacing w:after="0" w:line="228" w:lineRule="auto"/>
        <w:tabs>
          <w:tab w:leader="none" w:pos="3712" w:val="left"/>
        </w:tabs>
        <w:numPr>
          <w:ilvl w:val="2"/>
          <w:numId w:val="186"/>
        </w:numPr>
        <w:rPr>
          <w:rFonts w:ascii="Arial" w:cs="Arial" w:eastAsia="Arial" w:hAnsi="Arial"/>
          <w:sz w:val="22"/>
          <w:szCs w:val="22"/>
          <w:color w:val="auto"/>
        </w:rPr>
      </w:pPr>
      <w:r>
        <w:rPr>
          <w:rFonts w:ascii="Arial" w:cs="Arial" w:eastAsia="Arial" w:hAnsi="Arial"/>
          <w:sz w:val="22"/>
          <w:szCs w:val="22"/>
          <w:color w:val="auto"/>
        </w:rPr>
        <w:t>beginning on the Regular Payroll Date following your termination date, you will receive your Regular Payroll Amount on the Regular Payroll Dates that occur on or before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calendar year in which your employment terminates;</w:t>
      </w:r>
    </w:p>
    <w:p>
      <w:pPr>
        <w:spacing w:after="0" w:line="189" w:lineRule="exact"/>
        <w:rPr>
          <w:sz w:val="20"/>
          <w:szCs w:val="20"/>
          <w:color w:val="auto"/>
        </w:rPr>
      </w:pPr>
    </w:p>
    <w:p>
      <w:pPr>
        <w:jc w:val="both"/>
        <w:ind w:left="1960" w:firstLine="1289"/>
        <w:spacing w:after="0" w:line="264" w:lineRule="auto"/>
        <w:tabs>
          <w:tab w:leader="none" w:pos="388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beginning with the first Regular Payroll Date after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calendar year in which your employment terminates, you will receive your Regular Payroll Amount, if any remains due, until you have received an amount equal to the maximum amount permitted to be paid pursuant to Treasury Regulation Section 1.409A-1(b)(9)(iii)(A) (</w:t>
      </w:r>
      <w:r>
        <w:rPr>
          <w:rFonts w:ascii="Arial" w:cs="Arial" w:eastAsia="Arial" w:hAnsi="Arial"/>
          <w:sz w:val="20"/>
          <w:szCs w:val="20"/>
          <w:i w:val="1"/>
          <w:iCs w:val="1"/>
          <w:color w:val="auto"/>
        </w:rPr>
        <w:t>i.e.,</w:t>
      </w:r>
      <w:r>
        <w:rPr>
          <w:rFonts w:ascii="Arial" w:cs="Arial" w:eastAsia="Arial" w:hAnsi="Arial"/>
          <w:sz w:val="20"/>
          <w:szCs w:val="20"/>
          <w:color w:val="auto"/>
        </w:rPr>
        <w:t xml:space="preserve"> the lesser of (</w:t>
      </w:r>
      <w:r>
        <w:rPr>
          <w:rFonts w:ascii="Arial" w:cs="Arial" w:eastAsia="Arial" w:hAnsi="Arial"/>
          <w:sz w:val="20"/>
          <w:szCs w:val="20"/>
          <w:i w:val="1"/>
          <w:iCs w:val="1"/>
          <w:color w:val="auto"/>
        </w:rPr>
        <w:t>x</w:t>
      </w:r>
      <w:r>
        <w:rPr>
          <w:rFonts w:ascii="Arial" w:cs="Arial" w:eastAsia="Arial" w:hAnsi="Arial"/>
          <w:sz w:val="20"/>
          <w:szCs w:val="20"/>
          <w:color w:val="auto"/>
        </w:rPr>
        <w:t>) two times your “annualized compensation” within the meaning of Code Section 409A or (</w:t>
      </w:r>
      <w:r>
        <w:rPr>
          <w:rFonts w:ascii="Arial" w:cs="Arial" w:eastAsia="Arial" w:hAnsi="Arial"/>
          <w:sz w:val="20"/>
          <w:szCs w:val="20"/>
          <w:i w:val="1"/>
          <w:iCs w:val="1"/>
          <w:color w:val="auto"/>
        </w:rPr>
        <w:t>y</w:t>
      </w:r>
      <w:r>
        <w:rPr>
          <w:rFonts w:ascii="Arial" w:cs="Arial" w:eastAsia="Arial" w:hAnsi="Arial"/>
          <w:sz w:val="20"/>
          <w:szCs w:val="20"/>
          <w:color w:val="auto"/>
        </w:rPr>
        <w:t xml:space="preserve">) two times the limit under Code Section 401(a)(17) for the calendar year in which your termination occurs, which is $550,000 for 2018);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payment be made to you pursuant to this paragraph 7(c)(ii)(A)(II)</w:t>
      </w:r>
    </w:p>
    <w:p>
      <w:pPr>
        <w:sectPr>
          <w:pgSz w:w="11900" w:h="16838" w:orient="portrait"/>
          <w:cols w:equalWidth="0" w:num="1">
            <w:col w:w="11420"/>
          </w:cols>
          <w:pgMar w:left="240" w:top="13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later than December 31st of the second calendar year following your termination of employment; and</w:t>
      </w:r>
    </w:p>
    <w:p>
      <w:pPr>
        <w:spacing w:after="0" w:line="231" w:lineRule="exact"/>
        <w:rPr>
          <w:sz w:val="20"/>
          <w:szCs w:val="20"/>
          <w:color w:val="auto"/>
        </w:rPr>
      </w:pPr>
    </w:p>
    <w:p>
      <w:pPr>
        <w:jc w:val="both"/>
        <w:ind w:left="1960" w:firstLine="1289"/>
        <w:spacing w:after="0" w:line="271" w:lineRule="auto"/>
        <w:tabs>
          <w:tab w:leader="none" w:pos="384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balance of your Regular Payroll Amount, if any remains due, will be paid to you by payment of your Regular Payroll Amount on your Regular Payroll Dates beginning with the regular payroll date that follows the date of the last payment pursuant to paragraph 7(c)(ii)(A)(II);</w:t>
      </w:r>
    </w:p>
    <w:p>
      <w:pPr>
        <w:spacing w:after="0" w:line="168" w:lineRule="exact"/>
        <w:rPr>
          <w:sz w:val="20"/>
          <w:szCs w:val="20"/>
          <w:color w:val="auto"/>
        </w:rPr>
      </w:pPr>
    </w:p>
    <w:p>
      <w:pPr>
        <w:jc w:val="both"/>
        <w:ind w:left="1960"/>
        <w:spacing w:after="0" w:line="25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you are a “specified employee” (within the meaning of Code Section 409A and determined pursuant to procedures adopted by CBS) at the time of your termination and any portion of your Regular Payroll Amount that would be paid to you during the six-month period following your termination of employment constitutes “deferred compensation” within the meaning of Code Section 409A, such portion shall be paid to on the Permissible Payment Date rather than as described in paragraph 7(c)(ii)(A)(I), (II) or (III), as applicable, and any remaining Salary, if any, shall be paid to you or your estate, as applicable, by payment of your Regular Payroll Amount on your Regular Payroll Dates commencing with the Regular Payroll Date that follows the Permissible Payment Date. Each payment pursuant to this paragraph 7(c)(ii)(A) shall be regarded as a separate payment and not one of a series of payments for purposes of Code Section 409A.</w:t>
      </w:r>
    </w:p>
    <w:p>
      <w:pPr>
        <w:spacing w:after="0" w:line="227" w:lineRule="exact"/>
        <w:rPr>
          <w:sz w:val="20"/>
          <w:szCs w:val="20"/>
          <w:color w:val="auto"/>
        </w:rPr>
      </w:pPr>
    </w:p>
    <w:p>
      <w:pPr>
        <w:ind w:left="1960" w:firstLine="641"/>
        <w:spacing w:after="0" w:line="263" w:lineRule="auto"/>
        <w:tabs>
          <w:tab w:leader="none" w:pos="3166"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Bonus</w:t>
      </w:r>
      <w:r>
        <w:rPr>
          <w:rFonts w:ascii="Arial" w:cs="Arial" w:eastAsia="Arial" w:hAnsi="Arial"/>
          <w:sz w:val="22"/>
          <w:szCs w:val="22"/>
          <w:color w:val="auto"/>
        </w:rPr>
        <w:t>: an additional severance amount equal to 1.5 times your Severance Bonus, determined and paid as follows:</w:t>
      </w:r>
    </w:p>
    <w:p>
      <w:pPr>
        <w:spacing w:after="0" w:line="174" w:lineRule="exact"/>
        <w:rPr>
          <w:rFonts w:ascii="Arial" w:cs="Arial" w:eastAsia="Arial" w:hAnsi="Arial"/>
          <w:sz w:val="22"/>
          <w:szCs w:val="22"/>
          <w:color w:val="auto"/>
        </w:rPr>
      </w:pPr>
    </w:p>
    <w:p>
      <w:pPr>
        <w:jc w:val="both"/>
        <w:ind w:left="1960" w:firstLine="1289"/>
        <w:spacing w:after="0" w:line="268" w:lineRule="auto"/>
        <w:tabs>
          <w:tab w:leader="none" w:pos="3793" w:val="left"/>
        </w:tabs>
        <w:numPr>
          <w:ilvl w:val="1"/>
          <w:numId w:val="189"/>
        </w:numPr>
        <w:rPr>
          <w:rFonts w:ascii="Arial" w:cs="Arial" w:eastAsia="Arial" w:hAnsi="Arial"/>
          <w:sz w:val="19"/>
          <w:szCs w:val="19"/>
          <w:color w:val="auto"/>
        </w:rPr>
      </w:pPr>
      <w:r>
        <w:rPr>
          <w:rFonts w:ascii="Arial" w:cs="Arial" w:eastAsia="Arial" w:hAnsi="Arial"/>
          <w:sz w:val="19"/>
          <w:szCs w:val="19"/>
          <w:color w:val="auto"/>
        </w:rPr>
        <w:t>an amount equal to your Severance Bonus, prorated for the number of calendar days remaining in the calendar year in which your employment terminates,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calendar year following the calendar year in which your employment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w:t>
      </w:r>
      <w:r>
        <w:rPr>
          <w:rFonts w:ascii="Arial" w:cs="Arial" w:eastAsia="Arial" w:hAnsi="Arial"/>
          <w:sz w:val="19"/>
          <w:szCs w:val="19"/>
          <w:i w:val="1"/>
          <w:iCs w:val="1"/>
          <w:color w:val="auto"/>
        </w:rPr>
        <w:t>x</w:t>
      </w:r>
      <w:r>
        <w:rPr>
          <w:rFonts w:ascii="Arial" w:cs="Arial" w:eastAsia="Arial" w:hAnsi="Arial"/>
          <w:sz w:val="19"/>
          <w:szCs w:val="19"/>
          <w:color w:val="auto"/>
        </w:rPr>
        <w:t>) you are a “specified employee” (within the meaning of Code Section 409A and determined pursuant to procedures adopted by CBS) at the time of your termination, (</w:t>
      </w:r>
      <w:r>
        <w:rPr>
          <w:rFonts w:ascii="Arial" w:cs="Arial" w:eastAsia="Arial" w:hAnsi="Arial"/>
          <w:sz w:val="19"/>
          <w:szCs w:val="19"/>
          <w:i w:val="1"/>
          <w:iCs w:val="1"/>
          <w:color w:val="auto"/>
        </w:rPr>
        <w:t>y</w:t>
      </w:r>
      <w:r>
        <w:rPr>
          <w:rFonts w:ascii="Arial" w:cs="Arial" w:eastAsia="Arial" w:hAnsi="Arial"/>
          <w:sz w:val="19"/>
          <w:szCs w:val="19"/>
          <w:color w:val="auto"/>
        </w:rPr>
        <w:t>) your date of termination pursuant to paragraph 7(c)(i) occurs after June 30th of the calendar year, and (</w:t>
      </w:r>
      <w:r>
        <w:rPr>
          <w:rFonts w:ascii="Arial" w:cs="Arial" w:eastAsia="Arial" w:hAnsi="Arial"/>
          <w:sz w:val="19"/>
          <w:szCs w:val="19"/>
          <w:i w:val="1"/>
          <w:iCs w:val="1"/>
          <w:color w:val="auto"/>
        </w:rPr>
        <w:t>z</w:t>
      </w:r>
      <w:r>
        <w:rPr>
          <w:rFonts w:ascii="Arial" w:cs="Arial" w:eastAsia="Arial" w:hAnsi="Arial"/>
          <w:sz w:val="19"/>
          <w:szCs w:val="19"/>
          <w:color w:val="auto"/>
        </w:rPr>
        <w:t>) the prorated amount described in this paragraph 7(c)(ii)(B)(I) is determined to constitute “deferred compensation” within the meaning of Code Section 409A, then such prorated bonus shall not be paid to you until the earlier of (a) the first business day of the seventh calendar month following the calendar month in</w:t>
      </w:r>
    </w:p>
    <w:p>
      <w:pPr>
        <w:sectPr>
          <w:pgSz w:w="11900" w:h="16838" w:orient="portrait"/>
          <w:cols w:equalWidth="0" w:num="1">
            <w:col w:w="11420"/>
          </w:cols>
          <w:pgMar w:left="240" w:top="13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which your termination of employment occurs or (b) your death. Each payment pursuant to this paragraph 7(c)(ii)(B) shall be regarded as a separate payment and not one of a series of payments for purposes of Code Section 409A;</w:t>
      </w:r>
    </w:p>
    <w:p>
      <w:pPr>
        <w:spacing w:after="0" w:line="175" w:lineRule="exact"/>
        <w:rPr>
          <w:sz w:val="20"/>
          <w:szCs w:val="20"/>
          <w:color w:val="auto"/>
        </w:rPr>
      </w:pPr>
    </w:p>
    <w:p>
      <w:pPr>
        <w:jc w:val="both"/>
        <w:ind w:left="1960" w:firstLine="1289"/>
        <w:spacing w:after="0" w:line="230" w:lineRule="auto"/>
        <w:tabs>
          <w:tab w:leader="none" w:pos="378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 amount equal to your Severance Bonus, and payable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second calendar year following the calendar year in which your employment terminates;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18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Month Anniversary occurs in the calendar year following the calendar year in which your employment terminates, then the Severance Bonus shall be prorated for the number of calendar days in the calendar year following the calendar year in which your employment terminates that occur on or before the 18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Month Anniversary; and</w:t>
      </w:r>
    </w:p>
    <w:p>
      <w:pPr>
        <w:spacing w:after="0" w:line="103" w:lineRule="exact"/>
        <w:rPr>
          <w:sz w:val="20"/>
          <w:szCs w:val="20"/>
          <w:color w:val="auto"/>
        </w:rPr>
      </w:pPr>
    </w:p>
    <w:p>
      <w:pPr>
        <w:jc w:val="both"/>
        <w:ind w:left="1960" w:firstLine="1289"/>
        <w:spacing w:after="0" w:line="283" w:lineRule="auto"/>
        <w:tabs>
          <w:tab w:leader="none" w:pos="4021"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if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occurs in the second calendar year following the calendar year in which your employment terminates, an amount equal to your Severance Bonus, prorated for the number of calendar days in the second calendar year following the calendar year in which your employment terminates that occur on or before the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Month Anniversary, and payable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third calendar year following the calendar year in which your employment terminates.</w:t>
      </w:r>
    </w:p>
    <w:p>
      <w:pPr>
        <w:spacing w:after="0" w:line="59" w:lineRule="exact"/>
        <w:rPr>
          <w:rFonts w:ascii="Arial" w:cs="Arial" w:eastAsia="Arial" w:hAnsi="Arial"/>
          <w:sz w:val="19"/>
          <w:szCs w:val="19"/>
          <w:color w:val="auto"/>
        </w:rPr>
      </w:pPr>
    </w:p>
    <w:p>
      <w:pPr>
        <w:jc w:val="both"/>
        <w:ind w:left="1960" w:firstLine="641"/>
        <w:spacing w:after="0" w:line="288" w:lineRule="auto"/>
        <w:tabs>
          <w:tab w:leader="none" w:pos="312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Health Benefits</w:t>
      </w:r>
      <w:r>
        <w:rPr>
          <w:rFonts w:ascii="Arial" w:cs="Arial" w:eastAsia="Arial" w:hAnsi="Arial"/>
          <w:sz w:val="19"/>
          <w:szCs w:val="19"/>
          <w:color w:val="auto"/>
        </w:rPr>
        <w:t xml:space="preserve">: medical and dental insurance coverage for you and your eligible dependents at no cost to you (except as hereafter described) pursuant to the CBS benefit plans in which you participated in at the time of your termination of employment (or, if different, other benefit plans generally available to senior level executives) for a period of eighteen (18) months following the termination date, or if earlier, the date on which you become eligible for medical or dental coverage as the case may be from a third party, which period of coverage shall be considered to run concurrently with the COBRA continuation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period that CBS provides you with this coverage, the cost of such coverage will be treated as taxable income to you and CBS may withhold taxes from your compensation for this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you may elect to continue your medical and dental insurance coverage under COBRA at your own expense for the balance, if any, of the period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CBS is unable to continue such benefits because of underwriting on the</w:t>
      </w:r>
    </w:p>
    <w:p>
      <w:pPr>
        <w:sectPr>
          <w:pgSz w:w="11900" w:h="16838" w:orient="portrait"/>
          <w:cols w:equalWidth="0" w:num="1">
            <w:col w:w="11420"/>
          </w:cols>
          <w:pgMar w:left="240" w:top="132"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plan term or if such continuation would violate Code Section 105(h), CBS will provide you with economically equivalent benefits determined on an after-tax basis (to the extent such benefit was non-taxable).</w:t>
      </w:r>
    </w:p>
    <w:p>
      <w:pPr>
        <w:spacing w:after="0" w:line="186" w:lineRule="exact"/>
        <w:rPr>
          <w:sz w:val="20"/>
          <w:szCs w:val="20"/>
          <w:color w:val="auto"/>
        </w:rPr>
      </w:pPr>
    </w:p>
    <w:p>
      <w:pPr>
        <w:jc w:val="both"/>
        <w:ind w:left="1960" w:firstLine="641"/>
        <w:spacing w:after="0" w:line="261" w:lineRule="auto"/>
        <w:tabs>
          <w:tab w:leader="none" w:pos="3165"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until the end of the Term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will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5" w:lineRule="exact"/>
        <w:rPr>
          <w:sz w:val="20"/>
          <w:szCs w:val="20"/>
          <w:color w:val="auto"/>
        </w:rPr>
      </w:pPr>
    </w:p>
    <w:p>
      <w:pPr>
        <w:jc w:val="both"/>
        <w:ind w:left="1960" w:firstLine="1289"/>
        <w:spacing w:after="0" w:line="261" w:lineRule="auto"/>
        <w:tabs>
          <w:tab w:leader="none" w:pos="393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All stock option awards (or portions thereof) that have not vested and become exercisable on the date of such termination, but which would otherwise vest on or before the end of an eighteen (18) month period thereafter, shall accelerate and vest immediately on the Release Effective Date, and will continue to be exercisable until the greater of eighteen (18) months following the termination date or the period provided in accordance with the terms of the grant;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exercise period extend beyond their expiration date.</w:t>
      </w:r>
    </w:p>
    <w:p>
      <w:pPr>
        <w:spacing w:after="0" w:line="180" w:lineRule="exact"/>
        <w:rPr>
          <w:sz w:val="20"/>
          <w:szCs w:val="20"/>
          <w:color w:val="auto"/>
        </w:rPr>
      </w:pPr>
    </w:p>
    <w:p>
      <w:pPr>
        <w:jc w:val="both"/>
        <w:ind w:left="1960" w:firstLine="1289"/>
        <w:spacing w:after="0" w:line="302" w:lineRule="auto"/>
        <w:tabs>
          <w:tab w:leader="none" w:pos="382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All stock option awards (or portions thereof) that have previously vested and become exercisable by the date of such termination shall remain exercisable until the greater of eighteen (18) months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exercise period extend beyond their expiration date.</w:t>
      </w:r>
    </w:p>
    <w:p>
      <w:pPr>
        <w:spacing w:after="0" w:line="143" w:lineRule="exact"/>
        <w:rPr>
          <w:sz w:val="20"/>
          <w:szCs w:val="20"/>
          <w:color w:val="auto"/>
        </w:rPr>
      </w:pPr>
    </w:p>
    <w:p>
      <w:pPr>
        <w:jc w:val="both"/>
        <w:ind w:left="1960" w:firstLine="1289"/>
        <w:spacing w:after="0" w:line="312" w:lineRule="auto"/>
        <w:tabs>
          <w:tab w:leader="none" w:pos="391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All Accelerated Share Awards that would otherwise vest on or before the end of an eighteen (18) month period following the termination date shall accelerate and vest immediately on the Release Effective Date and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w:t>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7" w:lineRule="auto"/>
        <w:rPr>
          <w:sz w:val="20"/>
          <w:szCs w:val="20"/>
          <w:color w:val="auto"/>
        </w:rPr>
      </w:pPr>
      <w:r>
        <w:rPr>
          <w:rFonts w:ascii="Arial" w:cs="Arial" w:eastAsia="Arial" w:hAnsi="Arial"/>
          <w:sz w:val="19"/>
          <w:szCs w:val="19"/>
          <w:color w:val="auto"/>
        </w:rPr>
        <w:t xml:space="preserve">respect to Accelerated Share Awards that remain subject to performance-based vesting conditions on your termination date, in the event and limited to the extent that compliance with the performance-based compensation exception is required in order to ensure the deductibility of any such Accelerated Share Award under Code Section 162(m), such Accelerated Share Award shall vest if and to the extent the Committee certifies that the performance goal relating to such Accelerated Share Award has been met, or, if later, the Release Effective Date, and shall be settled within ten (10) 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Accelerated Share Awards that remain subject to performance-based vesting conditions on your termination date, in the event and to the extent that compliance with the performance-based compensation exception under Code Section 162(m) is not required in order to ensure the deductibility of any such Accelerated Share Award, such Accelerated Share Award shall immediately vest (with an assumption that the performance goal was achieved at target level, if and to the extent applicable) on the Release Effective Date and be settled within ten (10) business days thereafter.</w:t>
      </w:r>
    </w:p>
    <w:p>
      <w:pPr>
        <w:spacing w:after="0" w:line="160" w:lineRule="exact"/>
        <w:rPr>
          <w:sz w:val="20"/>
          <w:szCs w:val="20"/>
          <w:color w:val="auto"/>
        </w:rPr>
      </w:pPr>
    </w:p>
    <w:p>
      <w:pPr>
        <w:jc w:val="both"/>
        <w:ind w:left="1960"/>
        <w:spacing w:after="0" w:line="297" w:lineRule="auto"/>
        <w:rPr>
          <w:sz w:val="20"/>
          <w:szCs w:val="20"/>
          <w:color w:val="auto"/>
        </w:rPr>
      </w:pPr>
      <w:r>
        <w:rPr>
          <w:rFonts w:ascii="Arial" w:cs="Arial" w:eastAsia="Arial" w:hAnsi="Arial"/>
          <w:sz w:val="19"/>
          <w:szCs w:val="19"/>
          <w:color w:val="auto"/>
        </w:rPr>
        <w:t>Notwithstanding the foregoing, to the extent that you are a “specified employee” (within the meaning of Code Section 409A and determined pursuant to procedures adopted by CBS) at the time of your termination and any portion of your Accelerated Share Awards that would otherwise be settled during the six-month period following your termination of employment constitutes “deferred compensation” within the meaning of Code Section 409A, such portion shall instead be settled on the Permissible Payment Date.</w:t>
      </w:r>
    </w:p>
    <w:p>
      <w:pPr>
        <w:spacing w:after="0" w:line="147" w:lineRule="exact"/>
        <w:rPr>
          <w:sz w:val="20"/>
          <w:szCs w:val="20"/>
          <w:color w:val="auto"/>
        </w:rPr>
      </w:pPr>
    </w:p>
    <w:p>
      <w:pPr>
        <w:jc w:val="both"/>
        <w:ind w:left="660" w:firstLine="1293"/>
        <w:spacing w:after="0" w:line="259" w:lineRule="auto"/>
        <w:tabs>
          <w:tab w:leader="none" w:pos="2583"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You shall be required to mitigate the amount of any payment provided for in paragraph 7(c)(ii) by seeking other employment, and the amount of such payments shall be reduced by any compensation earned by you from any source, including, without limitation, salary, sign-on or annual bonus compensation, consulting fees, and commission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mitigation shall not be required, and no reduction for other compensation shall be made, for earnings for services provided during the first six (6) months after the termination of your employment. You agree to advise CBS immediately and in writing of any employment for which you are receiving such payments and to provide documentation as requested by CBS with respect to such employment. The payments provided for in paragraph 7(c)(ii) are in lieu of any other severance or income continuation or protection under any CBS plan, program or agreement that may now or hereafter exist (unless the terms of such plan,</w:t>
      </w:r>
    </w:p>
    <w:p>
      <w:pPr>
        <w:sectPr>
          <w:pgSz w:w="11900" w:h="16838" w:orient="portrait"/>
          <w:cols w:equalWidth="0" w:num="1">
            <w:col w:w="11420"/>
          </w:cols>
          <w:pgMar w:left="240" w:top="132"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program or agreement expressly state that the payments and benefits payable thereunder are intended to be in addition to the type of payments and benefits described in paragraph 7(c)(ii) of this Agreement).</w:t>
      </w:r>
    </w:p>
    <w:p>
      <w:pPr>
        <w:spacing w:after="0" w:line="175" w:lineRule="exact"/>
        <w:rPr>
          <w:sz w:val="20"/>
          <w:szCs w:val="20"/>
          <w:color w:val="auto"/>
        </w:rPr>
      </w:pPr>
    </w:p>
    <w:p>
      <w:pPr>
        <w:ind w:left="1780" w:hanging="475"/>
        <w:spacing w:after="0"/>
        <w:tabs>
          <w:tab w:leader="none" w:pos="178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360" w:hanging="407"/>
        <w:spacing w:after="0"/>
        <w:tabs>
          <w:tab w:leader="none" w:pos="236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Your employment with CBS shall terminate automatically upon your death.</w:t>
      </w:r>
    </w:p>
    <w:p>
      <w:pPr>
        <w:spacing w:after="0" w:line="219" w:lineRule="exact"/>
        <w:rPr>
          <w:rFonts w:ascii="Arial" w:cs="Arial" w:eastAsia="Arial" w:hAnsi="Arial"/>
          <w:sz w:val="22"/>
          <w:szCs w:val="22"/>
          <w:color w:val="auto"/>
        </w:rPr>
      </w:pPr>
    </w:p>
    <w:p>
      <w:pPr>
        <w:jc w:val="both"/>
        <w:ind w:left="660" w:firstLine="1293"/>
        <w:spacing w:after="0" w:line="280" w:lineRule="auto"/>
        <w:tabs>
          <w:tab w:leader="none" w:pos="260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In the event of your death prior to the end of the Term while you are actively employed, your beneficiary or estate shall receive (</w:t>
      </w:r>
      <w:r>
        <w:rPr>
          <w:rFonts w:ascii="Arial" w:cs="Arial" w:eastAsia="Arial" w:hAnsi="Arial"/>
          <w:sz w:val="19"/>
          <w:szCs w:val="19"/>
          <w:i w:val="1"/>
          <w:iCs w:val="1"/>
          <w:color w:val="auto"/>
        </w:rPr>
        <w:t>x</w:t>
      </w:r>
      <w:r>
        <w:rPr>
          <w:rFonts w:ascii="Arial" w:cs="Arial" w:eastAsia="Arial" w:hAnsi="Arial"/>
          <w:sz w:val="19"/>
          <w:szCs w:val="19"/>
          <w:color w:val="auto"/>
        </w:rPr>
        <w:t>) the Accrued Obligations, payable, less applicable withholding taxes, within 30 days following your date of death; and (</w:t>
      </w:r>
      <w:r>
        <w:rPr>
          <w:rFonts w:ascii="Arial" w:cs="Arial" w:eastAsia="Arial" w:hAnsi="Arial"/>
          <w:sz w:val="19"/>
          <w:szCs w:val="19"/>
          <w:i w:val="1"/>
          <w:iCs w:val="1"/>
          <w:color w:val="auto"/>
        </w:rPr>
        <w:t>y</w:t>
      </w:r>
      <w:r>
        <w:rPr>
          <w:rFonts w:ascii="Arial" w:cs="Arial" w:eastAsia="Arial" w:hAnsi="Arial"/>
          <w:sz w:val="19"/>
          <w:szCs w:val="19"/>
          <w:color w:val="auto"/>
        </w:rPr>
        <w:t>) bonus compensation for the calendar year in which your death occurs, determined in accordance with the STIP (</w:t>
      </w:r>
      <w:r>
        <w:rPr>
          <w:rFonts w:ascii="Arial" w:cs="Arial" w:eastAsia="Arial" w:hAnsi="Arial"/>
          <w:sz w:val="19"/>
          <w:szCs w:val="19"/>
          <w:i w:val="1"/>
          <w:iCs w:val="1"/>
          <w:color w:val="auto"/>
        </w:rPr>
        <w:t>i.e.,</w:t>
      </w:r>
      <w:r>
        <w:rPr>
          <w:rFonts w:ascii="Arial" w:cs="Arial" w:eastAsia="Arial" w:hAnsi="Arial"/>
          <w:sz w:val="19"/>
          <w:szCs w:val="19"/>
          <w:color w:val="auto"/>
        </w:rPr>
        <w:t xml:space="preserve"> based upon CBS’s achievement of its goals and CBS’s good faith estimate of your achievement of your personal goals) and prorated for the portion of the calendar year through and including your date of death, payable, less applicable withholding taxes, between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and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calendar year. In addition, (A) all stock option and stock appreciation right awards (or portions thereof) that have not vested and become exercisable on the date of such termination shall accelerate and vest immediately, and shall continue to be exercisable by your beneficiary or estate until the greater of two years following your date of death or the period provided in accordance with the terms of the grant, provided that in no event shall the exercise period of such awards extend beyond their expiration date; (B) all stock option and stock appreciation right awards (or portions thereof) that have previously vested and become exercisable by the date of your death shall remain exercisable by your beneficiary or estate until the greater of two years following your date of death or the period provided in accordance with the terms of the grant, provided that in no event shall the exercise period of such awards extend beyond their expiration date; (C) all RSU awards and equity awards other than stock options and stock appreciation rights (or portions thereof) that remain subject only to time-based vesting conditions on the date of your death shall immediately vest and be settled within ten (10) business days thereafter; and (D) all RSU awards and equity awards other than stock options and stock appreciation rights (or portions thereof) that remain subject to performance-based vesting conditions on the date of your death shall vest if and to the extent the Committee certifies that a level of the performance goal(s) relating to such RSU or other equity award has been met following the end of the applicable performance period, and shall be settled within ten (10) business days thereafter.</w:t>
      </w:r>
    </w:p>
    <w:p>
      <w:pPr>
        <w:spacing w:after="0" w:line="169" w:lineRule="exact"/>
        <w:rPr>
          <w:rFonts w:ascii="Arial" w:cs="Arial" w:eastAsia="Arial" w:hAnsi="Arial"/>
          <w:sz w:val="19"/>
          <w:szCs w:val="19"/>
          <w:color w:val="auto"/>
        </w:rPr>
      </w:pPr>
    </w:p>
    <w:p>
      <w:pPr>
        <w:ind w:left="660" w:right="20" w:firstLine="1293"/>
        <w:spacing w:after="0" w:line="343" w:lineRule="auto"/>
        <w:tabs>
          <w:tab w:leader="none" w:pos="2617" w:val="left"/>
        </w:tabs>
        <w:numPr>
          <w:ilvl w:val="1"/>
          <w:numId w:val="198"/>
        </w:numPr>
        <w:rPr>
          <w:rFonts w:ascii="Arial" w:cs="Arial" w:eastAsia="Arial" w:hAnsi="Arial"/>
          <w:sz w:val="19"/>
          <w:szCs w:val="19"/>
          <w:color w:val="auto"/>
        </w:rPr>
      </w:pPr>
      <w:r>
        <w:rPr>
          <w:rFonts w:ascii="Arial" w:cs="Arial" w:eastAsia="Arial" w:hAnsi="Arial"/>
          <w:sz w:val="19"/>
          <w:szCs w:val="19"/>
          <w:color w:val="auto"/>
        </w:rPr>
        <w:t>In the event of your death after the termination of your employment (which termination occurred during the Term) under circumstances described in paragraph 7(b)(i) or 7(c)(i), but prior to payment of any amounts or</w:t>
      </w:r>
    </w:p>
    <w:p>
      <w:pPr>
        <w:sectPr>
          <w:pgSz w:w="11900" w:h="16838" w:orient="portrait"/>
          <w:cols w:equalWidth="0" w:num="1">
            <w:col w:w="11420"/>
          </w:cols>
          <w:pgMar w:left="240" w:top="132"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benefits described in paragraphs 7(b)(ii)(A), (B), (C) and (E) or paragraphs 7(c)(ii)(A), (B), (C) and (E), as applicable,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paragraphs 7(b)(ii)(A), (B), (C) and (E) or paragraphs 7(c)(ii)(A), (B), (C) and (E), as applicable.</w:t>
      </w:r>
    </w:p>
    <w:p>
      <w:pPr>
        <w:spacing w:after="0" w:line="192" w:lineRule="exact"/>
        <w:rPr>
          <w:sz w:val="20"/>
          <w:szCs w:val="20"/>
          <w:color w:val="auto"/>
        </w:rPr>
      </w:pPr>
    </w:p>
    <w:p>
      <w:pPr>
        <w:ind w:left="1760" w:hanging="455"/>
        <w:spacing w:after="0"/>
        <w:tabs>
          <w:tab w:leader="none" w:pos="1760"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47" w:lineRule="auto"/>
        <w:tabs>
          <w:tab w:leader="none" w:pos="2468"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If, while employed during the Term, you become “disabled” within the meaning of such term under CBS’s Short-Term Disability (“</w:t>
      </w:r>
      <w:r>
        <w:rPr>
          <w:rFonts w:ascii="Arial" w:cs="Arial" w:eastAsia="Arial" w:hAnsi="Arial"/>
          <w:sz w:val="22"/>
          <w:szCs w:val="22"/>
          <w:b w:val="1"/>
          <w:bCs w:val="1"/>
          <w:i w:val="1"/>
          <w:iCs w:val="1"/>
          <w:color w:val="auto"/>
        </w:rPr>
        <w:t>STD</w:t>
      </w:r>
      <w:r>
        <w:rPr>
          <w:rFonts w:ascii="Arial" w:cs="Arial" w:eastAsia="Arial" w:hAnsi="Arial"/>
          <w:sz w:val="22"/>
          <w:szCs w:val="22"/>
          <w:color w:val="auto"/>
        </w:rPr>
        <w:t>”) program (such condition is referred to as a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or being “</w:t>
      </w:r>
      <w:r>
        <w:rPr>
          <w:rFonts w:ascii="Arial" w:cs="Arial" w:eastAsia="Arial" w:hAnsi="Arial"/>
          <w:sz w:val="22"/>
          <w:szCs w:val="22"/>
          <w:b w:val="1"/>
          <w:bCs w:val="1"/>
          <w:i w:val="1"/>
          <w:iCs w:val="1"/>
          <w:color w:val="auto"/>
        </w:rPr>
        <w:t>Disabled</w:t>
      </w:r>
      <w:r>
        <w:rPr>
          <w:rFonts w:ascii="Arial" w:cs="Arial" w:eastAsia="Arial" w:hAnsi="Arial"/>
          <w:sz w:val="22"/>
          <w:szCs w:val="22"/>
          <w:color w:val="auto"/>
        </w:rPr>
        <w:t>”), you will be considered to have experienced a termination of employment with CBS and its subsidiaries as of the date you first become eligible to receive benefits under CBS’s Long-Term Disability (“</w:t>
      </w:r>
      <w:r>
        <w:rPr>
          <w:rFonts w:ascii="Arial" w:cs="Arial" w:eastAsia="Arial" w:hAnsi="Arial"/>
          <w:sz w:val="22"/>
          <w:szCs w:val="22"/>
          <w:b w:val="1"/>
          <w:bCs w:val="1"/>
          <w:i w:val="1"/>
          <w:iCs w:val="1"/>
          <w:color w:val="auto"/>
        </w:rPr>
        <w:t>LTD</w:t>
      </w:r>
      <w:r>
        <w:rPr>
          <w:rFonts w:ascii="Arial" w:cs="Arial" w:eastAsia="Arial" w:hAnsi="Arial"/>
          <w:sz w:val="22"/>
          <w:szCs w:val="22"/>
          <w:color w:val="auto"/>
        </w:rPr>
        <w:t>”) program or, if you do not become eligible to receive benefits under CBS’s LTD program, you have not returned to work by the six (6) month anniversary of your Disability onset date.</w:t>
      </w:r>
    </w:p>
    <w:p>
      <w:pPr>
        <w:spacing w:after="0" w:line="193" w:lineRule="exact"/>
        <w:rPr>
          <w:rFonts w:ascii="Arial" w:cs="Arial" w:eastAsia="Arial" w:hAnsi="Arial"/>
          <w:sz w:val="22"/>
          <w:szCs w:val="22"/>
          <w:color w:val="auto"/>
        </w:rPr>
      </w:pPr>
    </w:p>
    <w:p>
      <w:pPr>
        <w:jc w:val="both"/>
        <w:ind w:left="660" w:firstLine="1293"/>
        <w:spacing w:after="0" w:line="235" w:lineRule="auto"/>
        <w:tabs>
          <w:tab w:leader="none" w:pos="246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Except as provided in this paragraph 7(e)(ii), if you become Disabled while employed full-time during the Term, you will exclusively receive compensation under the STD program in accordance with its terms and, thereafter, under the LTD program in accordance with its terms, provided you are eligible to receive LTD program benefits. Notwithstanding the foregoing, if you have not returned to work by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a calendar year during the Term, you will receive bonus compensation for the calendar year(s) during the Term in which you receive compensation under the STD program, determined as follows:</w:t>
      </w:r>
    </w:p>
    <w:p>
      <w:pPr>
        <w:spacing w:after="0" w:line="191" w:lineRule="exact"/>
        <w:rPr>
          <w:rFonts w:ascii="Arial" w:cs="Arial" w:eastAsia="Arial" w:hAnsi="Arial"/>
          <w:sz w:val="22"/>
          <w:szCs w:val="22"/>
          <w:color w:val="auto"/>
        </w:rPr>
      </w:pPr>
    </w:p>
    <w:p>
      <w:pPr>
        <w:jc w:val="both"/>
        <w:ind w:left="1960" w:firstLine="641"/>
        <w:spacing w:after="0" w:line="234" w:lineRule="auto"/>
        <w:tabs>
          <w:tab w:leader="none" w:pos="3187" w:val="left"/>
        </w:tabs>
        <w:numPr>
          <w:ilvl w:val="2"/>
          <w:numId w:val="199"/>
        </w:numPr>
        <w:rPr>
          <w:rFonts w:ascii="Arial" w:cs="Arial" w:eastAsia="Arial" w:hAnsi="Arial"/>
          <w:sz w:val="22"/>
          <w:szCs w:val="22"/>
          <w:color w:val="auto"/>
        </w:rPr>
      </w:pPr>
      <w:r>
        <w:rPr>
          <w:rFonts w:ascii="Arial" w:cs="Arial" w:eastAsia="Arial" w:hAnsi="Arial"/>
          <w:sz w:val="22"/>
          <w:szCs w:val="22"/>
          <w:color w:val="auto"/>
        </w:rPr>
        <w:t>for the portion of the calendar year from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until the date on which you first receive compensation under the STD program, bonus compensation shall be determined in accordance with the STIP (</w:t>
      </w:r>
      <w:r>
        <w:rPr>
          <w:rFonts w:ascii="Arial" w:cs="Arial" w:eastAsia="Arial" w:hAnsi="Arial"/>
          <w:sz w:val="22"/>
          <w:szCs w:val="22"/>
          <w:i w:val="1"/>
          <w:iCs w:val="1"/>
          <w:color w:val="auto"/>
        </w:rPr>
        <w:t>i.e.,</w:t>
      </w:r>
      <w:r>
        <w:rPr>
          <w:rFonts w:ascii="Arial" w:cs="Arial" w:eastAsia="Arial" w:hAnsi="Arial"/>
          <w:sz w:val="22"/>
          <w:szCs w:val="22"/>
          <w:color w:val="auto"/>
        </w:rPr>
        <w:t xml:space="preserve"> based upon CBS’s achievement of its goals and CBS’s good faith estimate of your achievement of your personal goals) and prorated for such period; and</w:t>
      </w:r>
    </w:p>
    <w:p>
      <w:pPr>
        <w:spacing w:after="0" w:line="199" w:lineRule="exact"/>
        <w:rPr>
          <w:rFonts w:ascii="Arial" w:cs="Arial" w:eastAsia="Arial" w:hAnsi="Arial"/>
          <w:sz w:val="22"/>
          <w:szCs w:val="22"/>
          <w:color w:val="auto"/>
        </w:rPr>
      </w:pPr>
    </w:p>
    <w:p>
      <w:pPr>
        <w:jc w:val="both"/>
        <w:ind w:left="1960" w:firstLine="641"/>
        <w:spacing w:after="0" w:line="253" w:lineRule="auto"/>
        <w:tabs>
          <w:tab w:leader="none" w:pos="3135" w:val="left"/>
        </w:tabs>
        <w:numPr>
          <w:ilvl w:val="2"/>
          <w:numId w:val="199"/>
        </w:numPr>
        <w:rPr>
          <w:rFonts w:ascii="Arial" w:cs="Arial" w:eastAsia="Arial" w:hAnsi="Arial"/>
          <w:sz w:val="22"/>
          <w:szCs w:val="22"/>
          <w:color w:val="auto"/>
        </w:rPr>
      </w:pPr>
      <w:r>
        <w:rPr>
          <w:rFonts w:ascii="Arial" w:cs="Arial" w:eastAsia="Arial" w:hAnsi="Arial"/>
          <w:sz w:val="22"/>
          <w:szCs w:val="22"/>
          <w:color w:val="auto"/>
        </w:rPr>
        <w:t>for any subsequent portion of that calendar year and any portion of the following calendar year in which you receive compensation under the STD program, bonus compensation shall be in an amount equal to your Target Bonus and prorated for such period(s).</w:t>
      </w:r>
    </w:p>
    <w:p>
      <w:pPr>
        <w:sectPr>
          <w:pgSz w:w="11900" w:h="16838" w:orient="portrait"/>
          <w:cols w:equalWidth="0" w:num="1">
            <w:col w:w="11420"/>
          </w:cols>
          <w:pgMar w:left="240" w:top="132"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spacing w:after="0" w:line="247" w:lineRule="auto"/>
        <w:rPr>
          <w:sz w:val="20"/>
          <w:szCs w:val="20"/>
          <w:color w:val="auto"/>
        </w:rPr>
      </w:pPr>
      <w:r>
        <w:rPr>
          <w:rFonts w:ascii="Arial" w:cs="Arial" w:eastAsia="Arial" w:hAnsi="Arial"/>
          <w:sz w:val="21"/>
          <w:szCs w:val="21"/>
          <w:color w:val="auto"/>
        </w:rPr>
        <w:t>Bonus compensation under this paragraph 7(e)(ii) shall be paid, less applicable deductions and withholding taxes,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calendar year following the calendar year to which such bonus compensation relates. You 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this paragraph 7(e)(ii) are in lieu of Salary and Bonus under paragraphs 3(a) and (b).</w:t>
      </w:r>
    </w:p>
    <w:p>
      <w:pPr>
        <w:spacing w:after="0" w:line="194" w:lineRule="exact"/>
        <w:rPr>
          <w:sz w:val="20"/>
          <w:szCs w:val="20"/>
          <w:color w:val="auto"/>
        </w:rPr>
      </w:pPr>
    </w:p>
    <w:p>
      <w:pPr>
        <w:jc w:val="both"/>
        <w:ind w:left="660" w:firstLine="1293"/>
        <w:spacing w:after="0" w:line="285" w:lineRule="auto"/>
        <w:tabs>
          <w:tab w:leader="none" w:pos="2601" w:val="left"/>
        </w:tabs>
        <w:numPr>
          <w:ilvl w:val="1"/>
          <w:numId w:val="200"/>
        </w:numPr>
        <w:rPr>
          <w:rFonts w:ascii="Arial" w:cs="Arial" w:eastAsia="Arial" w:hAnsi="Arial"/>
          <w:sz w:val="19"/>
          <w:szCs w:val="19"/>
          <w:color w:val="auto"/>
        </w:rPr>
      </w:pPr>
      <w:r>
        <w:rPr>
          <w:rFonts w:ascii="Arial" w:cs="Arial" w:eastAsia="Arial" w:hAnsi="Arial"/>
          <w:sz w:val="19"/>
          <w:szCs w:val="19"/>
          <w:color w:val="auto"/>
        </w:rPr>
        <w:t>In addition, if your employment terminates due to your “</w:t>
      </w:r>
      <w:r>
        <w:rPr>
          <w:rFonts w:ascii="Arial" w:cs="Arial" w:eastAsia="Arial" w:hAnsi="Arial"/>
          <w:sz w:val="19"/>
          <w:szCs w:val="19"/>
          <w:b w:val="1"/>
          <w:bCs w:val="1"/>
          <w:i w:val="1"/>
          <w:iCs w:val="1"/>
          <w:color w:val="auto"/>
        </w:rPr>
        <w:t>Permanent Disability</w:t>
      </w:r>
      <w:r>
        <w:rPr>
          <w:rFonts w:ascii="Arial" w:cs="Arial" w:eastAsia="Arial" w:hAnsi="Arial"/>
          <w:sz w:val="19"/>
          <w:szCs w:val="19"/>
          <w:color w:val="auto"/>
        </w:rPr>
        <w:t>” (as defined in the LTIP or, if applicable, a predecessor plan to the LTIP), (A) all stock option and stock appreciation right awards (or portions thereof) that have not vested and become exercisable on your termination date shall accelerate and vest immediately, and shall continue to be exercisable until the greater of three years following the termination date or the period provided in accordance with the terms of the grant, provided that in no event shall the exercise period of such awards extend beyond their expiration date; (B) all stock option and stock appreciation right awards (or portions thereof) that have previously vested and become exercisable by your termination date shall remain exercisable until the greater of three years following the termination date or the period provided in accordance with the terms of the grant, provided that in no event shall the exercise period of such awards extend beyond their expiration date; (C) all RSU awards and equity awards other than stock options and stock appreciation rights (or portions thereof) that remain subject only to time-based vesting conditions on your termination date shall immediately vest and be settled within ten (10) business days thereafter; and (D) all RSU awards and equity awards other than stock options and stock appreciation rights (or portions thereof) that remain subject to performance-based vesting conditions on your termination date shall vest if and to the extent the Committee certifies that a level of the performance goal(s) relating to such RSU or other equity award has been met following the end of the applicable performance period, and shall be settled within ten (10) business days thereafter. Notwithstanding the foregoing if you are a “specified employee” (within the meaning of Code Section 409A and determined pursuant to procedures adopted by CBS) at the time of your termination due to Permanent Disability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firstLine="1318"/>
        <w:spacing w:after="0" w:line="287" w:lineRule="auto"/>
        <w:tabs>
          <w:tab w:leader="none" w:pos="1823"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Renewal Notice / Non-Renewal.</w:t>
      </w:r>
      <w:r>
        <w:rPr>
          <w:rFonts w:ascii="Arial" w:cs="Arial" w:eastAsia="Arial" w:hAnsi="Arial"/>
          <w:sz w:val="21"/>
          <w:szCs w:val="21"/>
          <w:color w:val="auto"/>
        </w:rPr>
        <w:t xml:space="preserve"> CBS shall notify you six (6) months prior to the expiration of the Term in writing if it intends to continue your employment beyond the expiration of the Term. If you are notified that CBS does</w:t>
      </w:r>
    </w:p>
    <w:p>
      <w:pPr>
        <w:sectPr>
          <w:pgSz w:w="11900" w:h="16838" w:orient="portrait"/>
          <w:cols w:equalWidth="0" w:num="1">
            <w:col w:w="11420"/>
          </w:cols>
          <w:pgMar w:left="240" w:top="132"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intend to continue your employment, then you agree that you shall negotiate exclusively with CBS for the first 90 days following such notification. Nothing contained herein shall obligate CBS to provide an increase to your compensation hereunder upon such renewal. If you remain employed hereunder on the Expiration Date, but have not entered into a new written contractual relationship with CBS (or any of CBS’s subsidiaries), and CBS advises you on or before the Expiration Date that it does not wish to continue your employment on an “at will” basis beyond the expiration of the Term, your employment shall automatically terminate on the day next following the Expiration Date, and, except as set forth in paragraph 7(j)(v) of this Agreement, you shall be eligible to receive severance under the then current CBS severance policy applicable to executives at your level, subject to the terms of such severance policy (including your execution of a release in favor of CBS pursuant to such policy to the extent required). If you remain in the employ of CBS beyond the end of the Term, but have not entered into a new written contractual relationship with CBS (or any of CBS’s subsidiaries), your continued employment shall be “at will” and on such terms and conditions as CBS may at the time establish, and either party, during such period, may terminate your employment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CBS terminates your employment during such period without Cause (as that term is defined in paragraph 7(a)(i) of this Agreement), then, except as set forth in paragraph 7(j)(v) of this Agreement, you shall become eligible to receive severance under the then current CBS severance policy applicable to executives at your level, subject to the terms of such severance policy (including your execution of a release in favor of CBS pursuant to such policy to the extent required).</w:t>
      </w:r>
    </w:p>
    <w:p>
      <w:pPr>
        <w:spacing w:after="0" w:line="160" w:lineRule="exact"/>
        <w:rPr>
          <w:sz w:val="20"/>
          <w:szCs w:val="20"/>
          <w:color w:val="auto"/>
        </w:rPr>
      </w:pPr>
    </w:p>
    <w:p>
      <w:pPr>
        <w:jc w:val="both"/>
        <w:ind w:firstLine="1318"/>
        <w:spacing w:after="0" w:line="289" w:lineRule="auto"/>
        <w:tabs>
          <w:tab w:leader="none" w:pos="1927" w:val="left"/>
        </w:tabs>
        <w:numPr>
          <w:ilvl w:val="1"/>
          <w:numId w:val="202"/>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CBS terminates for any reason, you shall automatically be deemed to have resigned at that time from any and all officer or director positions that you may have held with CBS, or any of CBS’s affiliated companies and all board seats or other positions in other entities you held on behalf of CBS, including any fiduciary positions (including as a trustee) you hold with respect to any employee benefit plans or trusts established by CBS. You agree that this Agreement shall serve as written notice of resignation in this circumstance. If, however, for any reason this paragraph 7(g) is deemed insufficient to effectuate such resignation, you agree to execute, upon the request of CBS or any of its affiliated companies, any documents or instruments which CBS may deem necessary or desirable to effectuate such resignation or resignations, and you hereby authorize the Secretary and any Assistant Secretary of CBS or any of CBS’s affiliated companies to execute any such documents or instruments as your attorney-in-fact.</w:t>
      </w:r>
    </w:p>
    <w:p>
      <w:pPr>
        <w:spacing w:after="0" w:line="157" w:lineRule="exact"/>
        <w:rPr>
          <w:rFonts w:ascii="Arial" w:cs="Arial" w:eastAsia="Arial" w:hAnsi="Arial"/>
          <w:sz w:val="19"/>
          <w:szCs w:val="19"/>
          <w:color w:val="auto"/>
        </w:rPr>
      </w:pPr>
    </w:p>
    <w:p>
      <w:pPr>
        <w:jc w:val="both"/>
        <w:ind w:firstLine="1305"/>
        <w:spacing w:after="0" w:line="302" w:lineRule="auto"/>
        <w:tabs>
          <w:tab w:leader="none" w:pos="1873"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Termination of Benefits</w:t>
      </w:r>
      <w:r>
        <w:rPr>
          <w:rFonts w:ascii="Arial" w:cs="Arial" w:eastAsia="Arial" w:hAnsi="Arial"/>
          <w:sz w:val="19"/>
          <w:szCs w:val="19"/>
          <w:color w:val="auto"/>
        </w:rPr>
        <w:t>. Notwithstanding anything in this Agreement to the contrary (except as otherwise provided in paragraph 7(b)(ii)(C), 7(c)(ii)(C) or 7(j)(ii)(C), as applicable, with respect to medical and dental benefits), participation in all CBS benefit plans and programs (including, without limitation, vacation accrual, all retirement and related excess plans and LTD) will terminate upon the termination of your employment except to the extent otherwise expressly provided</w:t>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such plans or programs, and subject to any vested rights you may have under the terms of such plans or programs. The foregoing shall not apply to the LTIP and, after the termination of your employment, your rights under the LTIP shall be governed by the terms of the LTIP award agreements, certificates, the applicable LTIP plan(s) and this Agreement.</w:t>
      </w:r>
    </w:p>
    <w:p>
      <w:pPr>
        <w:spacing w:after="0" w:line="168" w:lineRule="exact"/>
        <w:rPr>
          <w:sz w:val="20"/>
          <w:szCs w:val="20"/>
          <w:color w:val="auto"/>
        </w:rPr>
      </w:pPr>
    </w:p>
    <w:p>
      <w:pPr>
        <w:ind w:left="1720" w:hanging="415"/>
        <w:spacing w:after="0"/>
        <w:tabs>
          <w:tab w:leader="none" w:pos="172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Release; Compliance with Paragraph 6</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65" w:lineRule="auto"/>
        <w:tabs>
          <w:tab w:leader="none" w:pos="2499" w:val="left"/>
        </w:tabs>
        <w:numPr>
          <w:ilvl w:val="1"/>
          <w:numId w:val="204"/>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prior to payment by CBS of any amount or provision of any benefit pursuant to paragraph 7(b)(ii), 7(c)(ii) or 7(j)(ii), as applicable, within sixty (60) days following your termination of employment, (</w:t>
      </w:r>
      <w:r>
        <w:rPr>
          <w:rFonts w:ascii="Arial" w:cs="Arial" w:eastAsia="Arial" w:hAnsi="Arial"/>
          <w:sz w:val="20"/>
          <w:szCs w:val="20"/>
          <w:i w:val="1"/>
          <w:iCs w:val="1"/>
          <w:color w:val="auto"/>
        </w:rPr>
        <w:t>x</w:t>
      </w:r>
      <w:r>
        <w:rPr>
          <w:rFonts w:ascii="Arial" w:cs="Arial" w:eastAsia="Arial" w:hAnsi="Arial"/>
          <w:sz w:val="20"/>
          <w:szCs w:val="20"/>
          <w:color w:val="auto"/>
        </w:rPr>
        <w:t>) you shall have executed and delivered to CBS a general release in a form satisfactory to CBS and (</w:t>
      </w:r>
      <w:r>
        <w:rPr>
          <w:rFonts w:ascii="Arial" w:cs="Arial" w:eastAsia="Arial" w:hAnsi="Arial"/>
          <w:sz w:val="20"/>
          <w:szCs w:val="20"/>
          <w:i w:val="1"/>
          <w:iCs w:val="1"/>
          <w:color w:val="auto"/>
        </w:rPr>
        <w:t>y</w:t>
      </w:r>
      <w:r>
        <w:rPr>
          <w:rFonts w:ascii="Arial" w:cs="Arial" w:eastAsia="Arial" w:hAnsi="Arial"/>
          <w:sz w:val="20"/>
          <w:szCs w:val="20"/>
          <w:color w:val="auto"/>
        </w:rPr>
        <w:t>) such general release shall have become effective and irrevocable in its entirety (such date, the “</w:t>
      </w:r>
      <w:r>
        <w:rPr>
          <w:rFonts w:ascii="Arial" w:cs="Arial" w:eastAsia="Arial" w:hAnsi="Arial"/>
          <w:sz w:val="20"/>
          <w:szCs w:val="20"/>
          <w:b w:val="1"/>
          <w:bCs w:val="1"/>
          <w:i w:val="1"/>
          <w:iCs w:val="1"/>
          <w:color w:val="auto"/>
        </w:rPr>
        <w:t>Release Effective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at the time any cash severance payments are scheduled to be paid to you pursuant to paragraph 7(b)(ii), 7(c)(ii) or 7(j)(ii), as applicable, you have not executed a general release that has become effective and irrevocable in its entirety, then any such cash severance payments shall be held and accumulated without interest, and shall be paid to you on the first Regular Payroll Date following the Release Effective Date and the vesting of any stock option awards and Accelerated Share Awards shall be suspended until the Release Effective Date. Your failure or refusal to sign and deliver the release or your revocation of an executed and delivered release in accordance with applicable laws, whether intentionally or unintentionally, will result in the forfeiture of the payments and benefits under paragraph 7(b) (ii), 7(c)(ii) or 7(j)(ii), as applicable. Notwithstanding the foregoing, if the sixty (60) day period does not begin and end in the same calendar year, then the Release Effective Date shall occur no earlier than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calendar year following the calendar year in which your termination occurs.</w:t>
      </w:r>
    </w:p>
    <w:p>
      <w:pPr>
        <w:spacing w:after="0" w:line="177" w:lineRule="exact"/>
        <w:rPr>
          <w:rFonts w:ascii="Arial" w:cs="Arial" w:eastAsia="Arial" w:hAnsi="Arial"/>
          <w:sz w:val="20"/>
          <w:szCs w:val="20"/>
          <w:color w:val="auto"/>
        </w:rPr>
      </w:pPr>
    </w:p>
    <w:p>
      <w:pPr>
        <w:jc w:val="both"/>
        <w:ind w:left="660" w:firstLine="1293"/>
        <w:spacing w:after="0" w:line="312" w:lineRule="auto"/>
        <w:tabs>
          <w:tab w:leader="none" w:pos="247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the payments and benefits described in paragraphs 7(b)(ii), 7(c)(ii) and 7(j)(ii), as applicable, shall immediately cease, and CBS shall have no further obligations to you with respect thereto, in the event that you materially breach any provision of paragraph 6 hereof.</w:t>
      </w:r>
    </w:p>
    <w:p>
      <w:pPr>
        <w:spacing w:after="0" w:line="134" w:lineRule="exact"/>
        <w:rPr>
          <w:sz w:val="20"/>
          <w:szCs w:val="20"/>
          <w:color w:val="auto"/>
        </w:rPr>
      </w:pPr>
    </w:p>
    <w:p>
      <w:pPr>
        <w:ind w:left="1720" w:hanging="415"/>
        <w:spacing w:after="0"/>
        <w:tabs>
          <w:tab w:leader="none" w:pos="172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Payments in Connection with Certain Corporate Events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1293"/>
        <w:spacing w:after="0" w:line="263" w:lineRule="auto"/>
        <w:tabs>
          <w:tab w:leader="none" w:pos="2458" w:val="left"/>
        </w:tabs>
        <w:numPr>
          <w:ilvl w:val="1"/>
          <w:numId w:val="205"/>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For purposes of this Agreement, a “</w:t>
      </w:r>
      <w:r>
        <w:rPr>
          <w:rFonts w:ascii="Arial" w:cs="Arial" w:eastAsia="Arial" w:hAnsi="Arial"/>
          <w:sz w:val="22"/>
          <w:szCs w:val="22"/>
          <w:b w:val="1"/>
          <w:bCs w:val="1"/>
          <w:i w:val="1"/>
          <w:iCs w:val="1"/>
          <w:color w:val="auto"/>
        </w:rPr>
        <w:t>Corporate Event</w:t>
      </w:r>
      <w:r>
        <w:rPr>
          <w:rFonts w:ascii="Arial" w:cs="Arial" w:eastAsia="Arial" w:hAnsi="Arial"/>
          <w:sz w:val="22"/>
          <w:szCs w:val="22"/>
          <w:color w:val="auto"/>
        </w:rPr>
        <w:t>” shall be deemed to occur upon the occurrence of any of the following events:</w:t>
      </w:r>
    </w:p>
    <w:p>
      <w:pPr>
        <w:spacing w:after="0" w:line="174" w:lineRule="exact"/>
        <w:rPr>
          <w:rFonts w:ascii="Arial" w:cs="Arial" w:eastAsia="Arial" w:hAnsi="Arial"/>
          <w:sz w:val="22"/>
          <w:szCs w:val="22"/>
          <w:color w:val="auto"/>
        </w:rPr>
      </w:pPr>
    </w:p>
    <w:p>
      <w:pPr>
        <w:ind w:left="3120" w:hanging="519"/>
        <w:spacing w:after="0"/>
        <w:tabs>
          <w:tab w:leader="none" w:pos="3120" w:val="left"/>
        </w:tabs>
        <w:numPr>
          <w:ilvl w:val="2"/>
          <w:numId w:val="205"/>
        </w:numPr>
        <w:rPr>
          <w:rFonts w:ascii="Arial" w:cs="Arial" w:eastAsia="Arial" w:hAnsi="Arial"/>
          <w:sz w:val="22"/>
          <w:szCs w:val="22"/>
          <w:color w:val="auto"/>
        </w:rPr>
      </w:pPr>
      <w:r>
        <w:rPr>
          <w:rFonts w:ascii="Arial" w:cs="Arial" w:eastAsia="Arial" w:hAnsi="Arial"/>
          <w:sz w:val="22"/>
          <w:szCs w:val="22"/>
          <w:color w:val="auto"/>
        </w:rPr>
        <w:t>consummation of a merger, consolidation or</w:t>
      </w:r>
    </w:p>
    <w:p>
      <w:pPr>
        <w:sectPr>
          <w:pgSz w:w="11900" w:h="16838" w:orient="portrait"/>
          <w:cols w:equalWidth="0" w:num="1">
            <w:col w:w="11420"/>
          </w:cols>
          <w:pgMar w:left="240" w:top="132"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8" w:lineRule="auto"/>
        <w:rPr>
          <w:sz w:val="20"/>
          <w:szCs w:val="20"/>
          <w:color w:val="auto"/>
        </w:rPr>
      </w:pPr>
      <w:r>
        <w:rPr>
          <w:rFonts w:ascii="Arial" w:cs="Arial" w:eastAsia="Arial" w:hAnsi="Arial"/>
          <w:sz w:val="19"/>
          <w:szCs w:val="19"/>
          <w:color w:val="auto"/>
        </w:rPr>
        <w:t>reorganization of CBS or any of its subsidiaries unless, immediately following such transaction, (I) all or substantially all the beneficial owners of CBS stock having general voting power immediately prior to such transaction directly or indirectly own more than fifty percent (50%) of the general voting power of the entity resulting from such transaction (the “</w:t>
      </w:r>
      <w:r>
        <w:rPr>
          <w:rFonts w:ascii="Arial" w:cs="Arial" w:eastAsia="Arial" w:hAnsi="Arial"/>
          <w:sz w:val="19"/>
          <w:szCs w:val="19"/>
          <w:b w:val="1"/>
          <w:bCs w:val="1"/>
          <w:i w:val="1"/>
          <w:iCs w:val="1"/>
          <w:color w:val="auto"/>
        </w:rPr>
        <w:t>Combined Company</w:t>
      </w:r>
      <w:r>
        <w:rPr>
          <w:rFonts w:ascii="Arial" w:cs="Arial" w:eastAsia="Arial" w:hAnsi="Arial"/>
          <w:sz w:val="19"/>
          <w:szCs w:val="19"/>
          <w:color w:val="auto"/>
        </w:rPr>
        <w:t xml:space="preserve">”) in substantially the same proportions as their beneficial ownership of such CBS stock immediately prior to the transaction (excluding any general voting power of the Combined Company that such beneficial owners directly or indirectly received as a result of their beneficial ownership of the other entity involved in the transaction), (II) no person or group directly or indirectly beneficially owns stock representing more than twenty percent (20%) of the general voting power of the Combined Company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(III) a majority of the independent directors of the Combined Company and a majority of the directors of the Combined Company, in each case, consist of individuals who were Original Independent Directors (as defined in clause (D) below) immediately prior to such transaction; or</w:t>
      </w:r>
    </w:p>
    <w:p>
      <w:pPr>
        <w:spacing w:after="0" w:line="155" w:lineRule="exact"/>
        <w:rPr>
          <w:sz w:val="20"/>
          <w:szCs w:val="20"/>
          <w:color w:val="auto"/>
        </w:rPr>
      </w:pPr>
    </w:p>
    <w:p>
      <w:pPr>
        <w:ind w:left="3100" w:hanging="499"/>
        <w:spacing w:after="0"/>
        <w:tabs>
          <w:tab w:leader="none" w:pos="310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consummation of the sale or disposition of all or substantially all of the assets of CBS; or</w:t>
      </w:r>
    </w:p>
    <w:p>
      <w:pPr>
        <w:spacing w:after="0" w:line="231" w:lineRule="exact"/>
        <w:rPr>
          <w:rFonts w:ascii="Arial" w:cs="Arial" w:eastAsia="Arial" w:hAnsi="Arial"/>
          <w:sz w:val="21"/>
          <w:szCs w:val="21"/>
          <w:color w:val="auto"/>
        </w:rPr>
      </w:pPr>
    </w:p>
    <w:p>
      <w:pPr>
        <w:jc w:val="both"/>
        <w:ind w:left="1960" w:firstLine="641"/>
        <w:spacing w:after="0" w:line="259" w:lineRule="auto"/>
        <w:tabs>
          <w:tab w:leader="none" w:pos="311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at any time after January 1, 2011, any “person” or “group” (within the meaning of Section 13(d)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and the rules and regulations promulgated thereunder), directly or indirectly acquires or then beneficially owns (within the meaning of Rules 13d-3 and 13d-5 under the Exchange Act) stock representing more than twenty percent (20%) of the general voting power of CBS at a time when the person who, on January 1, 2011, was the ultimate beneficial owner (within the meaning of Rule 13d-3(a)(1) under the Exchange Act) (the “</w:t>
      </w:r>
      <w:r>
        <w:rPr>
          <w:rFonts w:ascii="Arial" w:cs="Arial" w:eastAsia="Arial" w:hAnsi="Arial"/>
          <w:sz w:val="21"/>
          <w:szCs w:val="21"/>
          <w:b w:val="1"/>
          <w:bCs w:val="1"/>
          <w:i w:val="1"/>
          <w:iCs w:val="1"/>
          <w:color w:val="auto"/>
        </w:rPr>
        <w:t>Ultimate Voting Beneficial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Owner</w:t>
      </w:r>
      <w:r>
        <w:rPr>
          <w:rFonts w:ascii="Arial" w:cs="Arial" w:eastAsia="Arial" w:hAnsi="Arial"/>
          <w:sz w:val="21"/>
          <w:szCs w:val="21"/>
          <w:color w:val="auto"/>
        </w:rPr>
        <w:t>”) of a majority of the general voting power of CBS no longer is the Ultimate Voting Beneficial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Owner of a majority thereof; or</w:t>
      </w:r>
    </w:p>
    <w:p>
      <w:pPr>
        <w:spacing w:after="0" w:line="184" w:lineRule="exact"/>
        <w:rPr>
          <w:rFonts w:ascii="Arial" w:cs="Arial" w:eastAsia="Arial" w:hAnsi="Arial"/>
          <w:sz w:val="21"/>
          <w:szCs w:val="21"/>
          <w:color w:val="auto"/>
        </w:rPr>
      </w:pPr>
    </w:p>
    <w:p>
      <w:pPr>
        <w:jc w:val="both"/>
        <w:ind w:left="1960" w:firstLine="641"/>
        <w:spacing w:after="0" w:line="248" w:lineRule="auto"/>
        <w:tabs>
          <w:tab w:leader="none" w:pos="3159"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 majority of the independent directors of the CBS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ceases to consist of Original Independent Directors. “</w:t>
      </w:r>
      <w:r>
        <w:rPr>
          <w:rFonts w:ascii="Arial" w:cs="Arial" w:eastAsia="Arial" w:hAnsi="Arial"/>
          <w:sz w:val="22"/>
          <w:szCs w:val="22"/>
          <w:b w:val="1"/>
          <w:bCs w:val="1"/>
          <w:i w:val="1"/>
          <w:iCs w:val="1"/>
          <w:color w:val="auto"/>
        </w:rPr>
        <w:t>Original Independent Directors</w:t>
      </w:r>
      <w:r>
        <w:rPr>
          <w:rFonts w:ascii="Arial" w:cs="Arial" w:eastAsia="Arial" w:hAnsi="Arial"/>
          <w:sz w:val="22"/>
          <w:szCs w:val="22"/>
          <w:color w:val="auto"/>
        </w:rPr>
        <w:t>” shall mean those individuals who, as of January 1, 2011, constituted the independent directors of the Board and those successor independent directors who are elected or appointed to the Board, either by a vote of the Board or by action of the shareholders of</w:t>
      </w:r>
    </w:p>
    <w:p>
      <w:pPr>
        <w:sectPr>
          <w:pgSz w:w="11900" w:h="16838" w:orient="portrait"/>
          <w:cols w:equalWidth="0" w:num="1">
            <w:col w:w="11420"/>
          </w:cols>
          <w:pgMar w:left="240" w:top="132"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312" w:lineRule="auto"/>
        <w:rPr>
          <w:sz w:val="20"/>
          <w:szCs w:val="20"/>
          <w:color w:val="auto"/>
        </w:rPr>
      </w:pPr>
      <w:r>
        <w:rPr>
          <w:rFonts w:ascii="Arial" w:cs="Arial" w:eastAsia="Arial" w:hAnsi="Arial"/>
          <w:sz w:val="19"/>
          <w:szCs w:val="19"/>
          <w:color w:val="auto"/>
        </w:rPr>
        <w:t>CBS pursuant to a recommendation by the Board, as a result of the death, voluntary retirement or resignation of an Original Independent Director (or any successor thereto pursuant to this proviso), including a voluntary determination by such Original Independent Director (or such successor) not to stand for re-election.</w:t>
      </w:r>
    </w:p>
    <w:p>
      <w:pPr>
        <w:spacing w:after="0" w:line="134" w:lineRule="exact"/>
        <w:rPr>
          <w:sz w:val="20"/>
          <w:szCs w:val="20"/>
          <w:color w:val="auto"/>
        </w:rPr>
      </w:pPr>
    </w:p>
    <w:p>
      <w:pPr>
        <w:jc w:val="both"/>
        <w:ind w:left="660" w:firstLine="1293"/>
        <w:spacing w:after="0" w:line="246" w:lineRule="auto"/>
        <w:tabs>
          <w:tab w:leader="none" w:pos="2585"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Termination Payments</w:t>
      </w:r>
      <w:r>
        <w:rPr>
          <w:rFonts w:ascii="Arial" w:cs="Arial" w:eastAsia="Arial" w:hAnsi="Arial"/>
          <w:sz w:val="22"/>
          <w:szCs w:val="22"/>
          <w:color w:val="auto"/>
        </w:rPr>
        <w:t>. In the event that (</w:t>
      </w:r>
      <w:r>
        <w:rPr>
          <w:rFonts w:ascii="Arial" w:cs="Arial" w:eastAsia="Arial" w:hAnsi="Arial"/>
          <w:sz w:val="22"/>
          <w:szCs w:val="22"/>
          <w:i w:val="1"/>
          <w:iCs w:val="1"/>
          <w:color w:val="auto"/>
        </w:rPr>
        <w:t>x</w:t>
      </w:r>
      <w:r>
        <w:rPr>
          <w:rFonts w:ascii="Arial" w:cs="Arial" w:eastAsia="Arial" w:hAnsi="Arial"/>
          <w:sz w:val="22"/>
          <w:szCs w:val="22"/>
          <w:color w:val="auto"/>
        </w:rPr>
        <w:t>) CBS terminates your employment without Cause (as defined in paragraph 7(a)(i)), whether during or after the Term; (</w:t>
      </w:r>
      <w:r>
        <w:rPr>
          <w:rFonts w:ascii="Arial" w:cs="Arial" w:eastAsia="Arial" w:hAnsi="Arial"/>
          <w:sz w:val="22"/>
          <w:szCs w:val="22"/>
          <w:i w:val="1"/>
          <w:iCs w:val="1"/>
          <w:color w:val="auto"/>
        </w:rPr>
        <w:t>y</w:t>
      </w:r>
      <w:r>
        <w:rPr>
          <w:rFonts w:ascii="Arial" w:cs="Arial" w:eastAsia="Arial" w:hAnsi="Arial"/>
          <w:sz w:val="22"/>
          <w:szCs w:val="22"/>
          <w:color w:val="auto"/>
        </w:rPr>
        <w:t>) you resign your employment with Good Reason (as defined in paragraph 7(c)(i)), whether during or after the Term; or (</w:t>
      </w:r>
      <w:r>
        <w:rPr>
          <w:rFonts w:ascii="Arial" w:cs="Arial" w:eastAsia="Arial" w:hAnsi="Arial"/>
          <w:sz w:val="22"/>
          <w:szCs w:val="22"/>
          <w:i w:val="1"/>
          <w:iCs w:val="1"/>
          <w:color w:val="auto"/>
        </w:rPr>
        <w:t>z</w:t>
      </w:r>
      <w:r>
        <w:rPr>
          <w:rFonts w:ascii="Arial" w:cs="Arial" w:eastAsia="Arial" w:hAnsi="Arial"/>
          <w:sz w:val="22"/>
          <w:szCs w:val="22"/>
          <w:color w:val="auto"/>
        </w:rPr>
        <w:t>) your employment ceases under circumstances described in paragraph 7(f)(ii) or 7(f)(iii), in each case during the twenty-four (24) month period following the date of a Corporate Event, you shall thereafter receive, less applicable withholding taxes, the Accrued Obligations, payable within thirty (30) days following your termination date, and subject to your compliance with paragraph 7(i) hereunder, the following payments and benefits:</w:t>
      </w:r>
    </w:p>
    <w:p>
      <w:pPr>
        <w:spacing w:after="0" w:line="197" w:lineRule="exact"/>
        <w:rPr>
          <w:rFonts w:ascii="Arial" w:cs="Arial" w:eastAsia="Arial" w:hAnsi="Arial"/>
          <w:sz w:val="22"/>
          <w:szCs w:val="22"/>
          <w:color w:val="auto"/>
        </w:rPr>
      </w:pPr>
    </w:p>
    <w:p>
      <w:pPr>
        <w:jc w:val="both"/>
        <w:ind w:left="1960" w:firstLine="641"/>
        <w:spacing w:after="0" w:line="281" w:lineRule="auto"/>
        <w:tabs>
          <w:tab w:leader="none" w:pos="3165" w:val="left"/>
        </w:tabs>
        <w:numPr>
          <w:ilvl w:val="1"/>
          <w:numId w:val="207"/>
        </w:numPr>
        <w:rPr>
          <w:rFonts w:ascii="Arial" w:cs="Arial" w:eastAsia="Arial" w:hAnsi="Arial"/>
          <w:sz w:val="20"/>
          <w:szCs w:val="20"/>
          <w:color w:val="auto"/>
        </w:rPr>
      </w:pPr>
      <w:r>
        <w:rPr>
          <w:rFonts w:ascii="Arial" w:cs="Arial" w:eastAsia="Arial" w:hAnsi="Arial"/>
          <w:sz w:val="20"/>
          <w:szCs w:val="20"/>
          <w:u w:val="single" w:color="auto"/>
          <w:color w:val="auto"/>
        </w:rPr>
        <w:t>Pro-Rata Bonus</w:t>
      </w:r>
      <w:r>
        <w:rPr>
          <w:rFonts w:ascii="Arial" w:cs="Arial" w:eastAsia="Arial" w:hAnsi="Arial"/>
          <w:sz w:val="20"/>
          <w:szCs w:val="20"/>
          <w:color w:val="auto"/>
        </w:rPr>
        <w:t>: a Bonus for the calendar year in which your employment is terminated, such Bonus to be determined based on actual performance and consistent with senior executives who remain employed with CBS, and then prorated based on the number of calendar days of such year elapsed through the date your employment is terminated (the “</w:t>
      </w:r>
      <w:r>
        <w:rPr>
          <w:rFonts w:ascii="Arial" w:cs="Arial" w:eastAsia="Arial" w:hAnsi="Arial"/>
          <w:sz w:val="20"/>
          <w:szCs w:val="20"/>
          <w:b w:val="1"/>
          <w:bCs w:val="1"/>
          <w:i w:val="1"/>
          <w:iCs w:val="1"/>
          <w:color w:val="auto"/>
        </w:rPr>
        <w:t>Pro-Rata Bonus</w:t>
      </w:r>
      <w:r>
        <w:rPr>
          <w:rFonts w:ascii="Arial" w:cs="Arial" w:eastAsia="Arial" w:hAnsi="Arial"/>
          <w:sz w:val="20"/>
          <w:szCs w:val="20"/>
          <w:color w:val="auto"/>
        </w:rPr>
        <w:t>”), payable, less applicable deductions and withholding taxes, between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and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calendar year;</w:t>
      </w:r>
    </w:p>
    <w:p>
      <w:pPr>
        <w:spacing w:after="0" w:line="71" w:lineRule="exact"/>
        <w:rPr>
          <w:rFonts w:ascii="Arial" w:cs="Arial" w:eastAsia="Arial" w:hAnsi="Arial"/>
          <w:sz w:val="20"/>
          <w:szCs w:val="20"/>
          <w:color w:val="auto"/>
        </w:rPr>
      </w:pPr>
    </w:p>
    <w:p>
      <w:pPr>
        <w:jc w:val="both"/>
        <w:ind w:left="1960" w:firstLine="641"/>
        <w:spacing w:after="0" w:line="287" w:lineRule="auto"/>
        <w:tabs>
          <w:tab w:leader="none" w:pos="3166" w:val="left"/>
        </w:tabs>
        <w:numPr>
          <w:ilvl w:val="1"/>
          <w:numId w:val="207"/>
        </w:numPr>
        <w:rPr>
          <w:rFonts w:ascii="Arial" w:cs="Arial" w:eastAsia="Arial" w:hAnsi="Arial"/>
          <w:sz w:val="19"/>
          <w:szCs w:val="19"/>
          <w:color w:val="auto"/>
        </w:rPr>
      </w:pPr>
      <w:r>
        <w:rPr>
          <w:rFonts w:ascii="Arial" w:cs="Arial" w:eastAsia="Arial" w:hAnsi="Arial"/>
          <w:sz w:val="19"/>
          <w:szCs w:val="19"/>
          <w:u w:val="single" w:color="auto"/>
          <w:color w:val="auto"/>
        </w:rPr>
        <w:t>Enhanced Severance Amount</w:t>
      </w:r>
      <w:r>
        <w:rPr>
          <w:rFonts w:ascii="Arial" w:cs="Arial" w:eastAsia="Arial" w:hAnsi="Arial"/>
          <w:sz w:val="19"/>
          <w:szCs w:val="19"/>
          <w:color w:val="auto"/>
        </w:rPr>
        <w:t>: an amount equal to two (2) times the sum of (i) your Salary in effect at the time of your termination (or, if your Salary has been reduced in violation of this Agreement, your highest Salary during the Term) and (ii) the average of your actual annual Bonus awards for the three years immediately preceding the year in which your employment is terminated (the “</w:t>
      </w:r>
      <w:r>
        <w:rPr>
          <w:rFonts w:ascii="Arial" w:cs="Arial" w:eastAsia="Arial" w:hAnsi="Arial"/>
          <w:sz w:val="19"/>
          <w:szCs w:val="19"/>
          <w:b w:val="1"/>
          <w:bCs w:val="1"/>
          <w:i w:val="1"/>
          <w:iCs w:val="1"/>
          <w:color w:val="auto"/>
        </w:rPr>
        <w:t>Enhanced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To the extent the Enhanced Severance Amount exceeds the sum of (</w:t>
      </w:r>
      <w:r>
        <w:rPr>
          <w:rFonts w:ascii="Arial" w:cs="Arial" w:eastAsia="Arial" w:hAnsi="Arial"/>
          <w:sz w:val="19"/>
          <w:szCs w:val="19"/>
          <w:i w:val="1"/>
          <w:iCs w:val="1"/>
          <w:color w:val="auto"/>
        </w:rPr>
        <w:t>x</w:t>
      </w:r>
      <w:r>
        <w:rPr>
          <w:rFonts w:ascii="Arial" w:cs="Arial" w:eastAsia="Arial" w:hAnsi="Arial"/>
          <w:sz w:val="19"/>
          <w:szCs w:val="19"/>
          <w:color w:val="auto"/>
        </w:rPr>
        <w:t>) the amount determined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pursuant to paragraph 7(b)(ii)(A) or 7(c)(ii)(A), as applicable, and (</w:t>
      </w:r>
      <w:r>
        <w:rPr>
          <w:rFonts w:ascii="Arial" w:cs="Arial" w:eastAsia="Arial" w:hAnsi="Arial"/>
          <w:sz w:val="19"/>
          <w:szCs w:val="19"/>
          <w:i w:val="1"/>
          <w:iCs w:val="1"/>
          <w:color w:val="auto"/>
        </w:rPr>
        <w:t>y</w:t>
      </w:r>
      <w:r>
        <w:rPr>
          <w:rFonts w:ascii="Arial" w:cs="Arial" w:eastAsia="Arial" w:hAnsi="Arial"/>
          <w:sz w:val="19"/>
          <w:szCs w:val="19"/>
          <w:color w:val="auto"/>
        </w:rPr>
        <w:t>) the amount determined pursuant to paragraph 7(b)(ii)(B) or 7(c)(ii)(B), as applicable, such excess portion shall be paid in a lump sum within thirty (30) days following your termination date. The remaining portion of the Enhanced Severance Amount that is equal to the amount determined pursuant to paragraph 7(b)(ii)(A) or 7(c)(ii)(A), as applicable, shall be paid in accordance with the schedule described in paragraph 7(b)(ii)(A) or 7(c)(ii)(A), as applicable; and the remaining portion of the Enhanced Severance Amount that is equal to the amount determined pursuant to paragraph 7(b)(ii)(B) or 7(c)(ii)(B), as applicable, shall be paid in accordance with the schedule</w:t>
      </w:r>
    </w:p>
    <w:p>
      <w:pPr>
        <w:sectPr>
          <w:pgSz w:w="11900" w:h="16838" w:orient="portrait"/>
          <w:cols w:equalWidth="0" w:num="1">
            <w:col w:w="11420"/>
          </w:cols>
          <w:pgMar w:left="240" w:top="132"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6" w:lineRule="auto"/>
        <w:rPr>
          <w:sz w:val="20"/>
          <w:szCs w:val="20"/>
          <w:color w:val="auto"/>
        </w:rPr>
      </w:pPr>
      <w:r>
        <w:rPr>
          <w:rFonts w:ascii="Arial" w:cs="Arial" w:eastAsia="Arial" w:hAnsi="Arial"/>
          <w:sz w:val="19"/>
          <w:szCs w:val="19"/>
          <w:color w:val="auto"/>
        </w:rPr>
        <w:t xml:space="preserve">described in paragraph 7(b)(ii)(B) or 7(c)(ii)(B),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remaining portions of the Enhanced Severance Amount do not constitute “deferred compensation” within the meaning of Code Section 409A, such portions shall also be paid in a lump sum within thirty (30) days following your termination date, with any remainder to be paid in accordance with the schedules described in paragraph 7(b)(ii)(A) and 7(b)(ii)(B) or paragraph 7(c)(ii)(A) and 7(c)(ii)(B),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you are a “specified employee” (within the meaning of Code Section 409A and determined pursuant to procedures adopted by CBS) at the time of your termination and any portion of the Enhanced Severance Amount that would be paid to you during the six-month period following your termination of employment constitutes “deferred compensation” within the meaning of Code Section 409A, such portion shall be paid to you in a lump sum on the Permissible Payment Date rather than as described above, and any remaining Enhanced Severance Amount shall be paid to you or your estate, as applicable, in accordance with the installment payment schedule set forth above on your Regular Payroll Dates commencing with the Regular Payroll Date that follows the Permissible Payment Date. Each payment pursuant to this paragraph 7(j)(ii)(B) shall be regarded as a separate payment and not one of a series of payments for purposes of Code Section 409A;</w:t>
      </w:r>
    </w:p>
    <w:p>
      <w:pPr>
        <w:spacing w:after="0" w:line="200" w:lineRule="exact"/>
        <w:rPr>
          <w:sz w:val="20"/>
          <w:szCs w:val="20"/>
          <w:color w:val="auto"/>
        </w:rPr>
      </w:pPr>
    </w:p>
    <w:p>
      <w:pPr>
        <w:spacing w:after="0" w:line="220" w:lineRule="exact"/>
        <w:rPr>
          <w:sz w:val="20"/>
          <w:szCs w:val="20"/>
          <w:color w:val="auto"/>
        </w:rPr>
      </w:pPr>
    </w:p>
    <w:p>
      <w:pPr>
        <w:jc w:val="both"/>
        <w:ind w:left="1960" w:firstLine="641"/>
        <w:spacing w:after="0" w:line="259" w:lineRule="auto"/>
        <w:tabs>
          <w:tab w:leader="none" w:pos="3126"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Health Benefits</w:t>
      </w:r>
      <w:r>
        <w:rPr>
          <w:rFonts w:ascii="Arial" w:cs="Arial" w:eastAsia="Arial" w:hAnsi="Arial"/>
          <w:sz w:val="21"/>
          <w:szCs w:val="21"/>
          <w:color w:val="auto"/>
        </w:rPr>
        <w:t xml:space="preserve">: medical and dental insurance coverage for you and your eligible dependents at no cost to you (except as hereafter described) pursuant to the CBS benefit plans in which you participated in at the time of your termination of employment (or, if different, other benefit plans generally available to senior level executives) for a period of twenty-four (24) months following the termination date, or if earlier, the date on which you become eligible for medical or dental coverage as the case may be from a third party, which period of coverage shall be considered to run concurrently with the COBRA continuation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during the period that CBS provides you with this coverage, the cost of such coverage will be treated as taxable income to you and CBS may withhold taxes from your compensation for this purpose;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you may</w:t>
      </w:r>
    </w:p>
    <w:p>
      <w:pPr>
        <w:sectPr>
          <w:pgSz w:w="11900" w:h="16838" w:orient="portrait"/>
          <w:cols w:equalWidth="0" w:num="1">
            <w:col w:w="11420"/>
          </w:cols>
          <w:pgMar w:left="240" w:top="132"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48" w:lineRule="auto"/>
        <w:rPr>
          <w:sz w:val="20"/>
          <w:szCs w:val="20"/>
          <w:color w:val="auto"/>
        </w:rPr>
      </w:pPr>
      <w:r>
        <w:rPr>
          <w:rFonts w:ascii="Arial" w:cs="Arial" w:eastAsia="Arial" w:hAnsi="Arial"/>
          <w:sz w:val="22"/>
          <w:szCs w:val="22"/>
          <w:color w:val="auto"/>
        </w:rPr>
        <w:t xml:space="preserve">elect to continue your medical and dental insurance coverage under COBRA at your own expense for the balance, if any, of the period required by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to the extent CBS is unable to continue such benefits because of underwriting on the plan term or if such continuation would violate Code Section 105(h), CBS will provide you with economically equivalent benefits determined on an after-tax basis (to the extent such benefit was non-taxable);</w:t>
      </w:r>
    </w:p>
    <w:p>
      <w:pPr>
        <w:spacing w:after="0" w:line="192" w:lineRule="exact"/>
        <w:rPr>
          <w:sz w:val="20"/>
          <w:szCs w:val="20"/>
          <w:color w:val="auto"/>
        </w:rPr>
      </w:pPr>
    </w:p>
    <w:p>
      <w:pPr>
        <w:jc w:val="both"/>
        <w:ind w:left="1960" w:firstLine="641"/>
        <w:spacing w:after="0" w:line="261" w:lineRule="auto"/>
        <w:tabs>
          <w:tab w:leader="none" w:pos="3232"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Life Insurance</w:t>
      </w:r>
      <w:r>
        <w:rPr>
          <w:rFonts w:ascii="Arial" w:cs="Arial" w:eastAsia="Arial" w:hAnsi="Arial"/>
          <w:sz w:val="21"/>
          <w:szCs w:val="21"/>
          <w:color w:val="auto"/>
        </w:rPr>
        <w:t xml:space="preserve">: life insurance coverage for twenty-four (24) months under CBS’s policy in effect on the date of termination in the amount then furnished to CBS employees at no cost (the amount of which coverage will be reduced by the amount of life insurance coverage furnished to you at no cost by a third party employer);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CBS is unable to continue such benefits because of underwriting on the plan term, CBS will provide you with economically equivalent benefits determined on an after-tax basis (to the extent such benefit was non-taxable);</w:t>
      </w:r>
    </w:p>
    <w:p>
      <w:pPr>
        <w:spacing w:after="0" w:line="180" w:lineRule="exact"/>
        <w:rPr>
          <w:rFonts w:ascii="Arial" w:cs="Arial" w:eastAsia="Arial" w:hAnsi="Arial"/>
          <w:sz w:val="21"/>
          <w:szCs w:val="21"/>
          <w:color w:val="auto"/>
        </w:rPr>
      </w:pPr>
    </w:p>
    <w:p>
      <w:pPr>
        <w:ind w:left="1960" w:firstLine="641"/>
        <w:spacing w:after="0" w:line="263" w:lineRule="auto"/>
        <w:tabs>
          <w:tab w:leader="none" w:pos="3114"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following with respect to awards granted to you under the LTIP (or any predecessor plan to the LTIP):</w:t>
      </w:r>
    </w:p>
    <w:p>
      <w:pPr>
        <w:spacing w:after="0" w:line="175" w:lineRule="exact"/>
        <w:rPr>
          <w:sz w:val="20"/>
          <w:szCs w:val="20"/>
          <w:color w:val="auto"/>
        </w:rPr>
      </w:pPr>
    </w:p>
    <w:p>
      <w:pPr>
        <w:jc w:val="both"/>
        <w:ind w:left="1960" w:firstLine="1289"/>
        <w:spacing w:after="0" w:line="312" w:lineRule="auto"/>
        <w:tabs>
          <w:tab w:leader="none" w:pos="393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All stock option awards (or portions thereof) that have not vested and become exercisable on the date of such termination shall accelerate and vest immediately on the Release Effective Date (as defined in paragraph 7(i) above), and will continue to be exercisable until their expiration date;</w:t>
      </w:r>
    </w:p>
    <w:p>
      <w:pPr>
        <w:spacing w:after="0" w:line="134" w:lineRule="exact"/>
        <w:rPr>
          <w:sz w:val="20"/>
          <w:szCs w:val="20"/>
          <w:color w:val="auto"/>
        </w:rPr>
      </w:pPr>
    </w:p>
    <w:p>
      <w:pPr>
        <w:ind w:left="1960" w:right="20" w:firstLine="1289"/>
        <w:spacing w:after="0" w:line="343" w:lineRule="auto"/>
        <w:tabs>
          <w:tab w:leader="none" w:pos="382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All stock option awards (or portions thereof) that have previously vested and become exercisable by the date of such termination shall remain exercisable until their expiration date; and</w:t>
      </w:r>
    </w:p>
    <w:p>
      <w:pPr>
        <w:spacing w:after="0" w:line="105" w:lineRule="exact"/>
        <w:rPr>
          <w:sz w:val="20"/>
          <w:szCs w:val="20"/>
          <w:color w:val="auto"/>
        </w:rPr>
      </w:pPr>
    </w:p>
    <w:p>
      <w:pPr>
        <w:jc w:val="both"/>
        <w:ind w:left="1960" w:firstLine="1289"/>
        <w:spacing w:after="0" w:line="247" w:lineRule="auto"/>
        <w:tabs>
          <w:tab w:leader="none" w:pos="3882"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With respect to all awards of RSUs and other equity awards (or portions thereof) that have not vested on the date your employment is terminated, such awards shall accelerate and vest immediately on the Release Effective Date and be settled within ten (10) business days thereafter;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any RSU and other equity awards that remain subject to performance-based vesting conditions on your termination date, in the event and limited to the extent that compliance with the performance-based compensation</w:t>
      </w:r>
    </w:p>
    <w:p>
      <w:pPr>
        <w:sectPr>
          <w:pgSz w:w="11900" w:h="16838" w:orient="portrait"/>
          <w:cols w:equalWidth="0" w:num="1">
            <w:col w:w="11420"/>
          </w:cols>
          <w:pgMar w:left="240" w:top="132"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960"/>
        <w:spacing w:after="0" w:line="288" w:lineRule="auto"/>
        <w:rPr>
          <w:sz w:val="20"/>
          <w:szCs w:val="20"/>
          <w:color w:val="auto"/>
        </w:rPr>
      </w:pPr>
      <w:r>
        <w:rPr>
          <w:rFonts w:ascii="Arial" w:cs="Arial" w:eastAsia="Arial" w:hAnsi="Arial"/>
          <w:sz w:val="19"/>
          <w:szCs w:val="19"/>
          <w:color w:val="auto"/>
        </w:rPr>
        <w:t>exception is required in order to ensure the deductibility of any such RSU or other equity award under Code Section 162(m), such award shall vest if and to the extent the Committee certifies that the performance goal relating to such award has been met, or, if later, the Release Effective Date, and shall be settled within ten</w:t>
      </w:r>
    </w:p>
    <w:p>
      <w:pPr>
        <w:spacing w:after="0" w:line="1" w:lineRule="exact"/>
        <w:rPr>
          <w:sz w:val="20"/>
          <w:szCs w:val="20"/>
          <w:color w:val="auto"/>
        </w:rPr>
      </w:pPr>
    </w:p>
    <w:p>
      <w:pPr>
        <w:jc w:val="both"/>
        <w:ind w:left="1960" w:hanging="7"/>
        <w:spacing w:after="0" w:line="290" w:lineRule="auto"/>
        <w:tabs>
          <w:tab w:leader="none" w:pos="2391"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business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any RSU and other equity awards that remain subject to performance-based vesting conditions on your termination date, in the event and to the extent that compliance with the performance-based compensation exception under Code Section 162(m) is not required in order to ensure the deductibility of any such RSU or other equity award, such award shall immediately vest (with an assumption that the performance goal was achieved at target level, if and to the extent applicable) on the Release Effective Date and be settled within ten (10) business days thereafter.</w:t>
      </w:r>
    </w:p>
    <w:p>
      <w:pPr>
        <w:spacing w:after="0" w:line="154" w:lineRule="exact"/>
        <w:rPr>
          <w:sz w:val="20"/>
          <w:szCs w:val="20"/>
          <w:color w:val="auto"/>
        </w:rPr>
      </w:pPr>
    </w:p>
    <w:p>
      <w:pPr>
        <w:jc w:val="both"/>
        <w:ind w:left="1960"/>
        <w:spacing w:after="0" w:line="297" w:lineRule="auto"/>
        <w:rPr>
          <w:sz w:val="20"/>
          <w:szCs w:val="20"/>
          <w:color w:val="auto"/>
        </w:rPr>
      </w:pPr>
      <w:r>
        <w:rPr>
          <w:rFonts w:ascii="Arial" w:cs="Arial" w:eastAsia="Arial" w:hAnsi="Arial"/>
          <w:sz w:val="19"/>
          <w:szCs w:val="19"/>
          <w:color w:val="auto"/>
        </w:rPr>
        <w:t>Notwithstanding the foregoing, to the extent that you are a “specified employee” (within the meaning of Code Section 409A and determined pursuant to procedures adopted by CBS) at the time of your termination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 and</w:t>
      </w:r>
    </w:p>
    <w:p>
      <w:pPr>
        <w:spacing w:after="0" w:line="147" w:lineRule="exact"/>
        <w:rPr>
          <w:sz w:val="20"/>
          <w:szCs w:val="20"/>
          <w:color w:val="auto"/>
        </w:rPr>
      </w:pPr>
    </w:p>
    <w:p>
      <w:pPr>
        <w:jc w:val="both"/>
        <w:ind w:left="1960" w:firstLine="641"/>
        <w:spacing w:after="0" w:line="294" w:lineRule="auto"/>
        <w:tabs>
          <w:tab w:leader="none" w:pos="3277" w:val="left"/>
        </w:tabs>
        <w:numPr>
          <w:ilvl w:val="1"/>
          <w:numId w:val="214"/>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CBS will make available to you, at its expense, executive level outplacement services with a leading national outplacement firm, with such outplacement services to be provided for a period of up to twelve (12) months following the date on which your employment is terminated. The outplacement program shall be designed and the outplacement firm selected by CBS. CBS will pay all expenses related to the provision of outplacement services directly to the outplacement firm by the end of the calendar year following the calendar year in which the outplacement services are provided.</w:t>
      </w:r>
    </w:p>
    <w:p>
      <w:pPr>
        <w:spacing w:after="0" w:line="149" w:lineRule="exact"/>
        <w:rPr>
          <w:rFonts w:ascii="Arial" w:cs="Arial" w:eastAsia="Arial" w:hAnsi="Arial"/>
          <w:sz w:val="19"/>
          <w:szCs w:val="19"/>
          <w:color w:val="auto"/>
        </w:rPr>
      </w:pPr>
    </w:p>
    <w:p>
      <w:pPr>
        <w:jc w:val="both"/>
        <w:ind w:left="660" w:firstLine="1293"/>
        <w:spacing w:after="0" w:line="302" w:lineRule="auto"/>
        <w:tabs>
          <w:tab w:leader="none" w:pos="2618"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You shall not be required to mitigate the amount of any payment provided for in paragraph 7(j)(ii) by seeking other employment. The payments provided for in paragraph 7(j)(ii) are in lieu of any other severance or income continuation or protection in this Agreement or in any CBS plan, program or agreement that may now or hereafter exist, unless the terms of such plan, program or agreement expressly state that the payments and</w:t>
      </w:r>
    </w:p>
    <w:p>
      <w:pPr>
        <w:sectPr>
          <w:pgSz w:w="11900" w:h="16838" w:orient="portrait"/>
          <w:cols w:equalWidth="0" w:num="1">
            <w:col w:w="11420"/>
          </w:cols>
          <w:pgMar w:left="240" w:top="132"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benefits payable thereunder are intended to be in addition to the type of payments and benefits described in paragraphs 7(j)</w:t>
      </w:r>
    </w:p>
    <w:p>
      <w:pPr>
        <w:spacing w:after="0" w:line="56" w:lineRule="exact"/>
        <w:rPr>
          <w:sz w:val="20"/>
          <w:szCs w:val="20"/>
          <w:color w:val="auto"/>
        </w:rPr>
      </w:pPr>
    </w:p>
    <w:p>
      <w:pPr>
        <w:ind w:left="980" w:hanging="324"/>
        <w:spacing w:after="0"/>
        <w:tabs>
          <w:tab w:leader="none" w:pos="9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22"/>
          <w:szCs w:val="22"/>
          <w:color w:val="auto"/>
        </w:rPr>
      </w:pPr>
    </w:p>
    <w:p>
      <w:pPr>
        <w:jc w:val="both"/>
        <w:ind w:left="660" w:firstLine="1293"/>
        <w:spacing w:after="0" w:line="250" w:lineRule="auto"/>
        <w:tabs>
          <w:tab w:leader="none" w:pos="2485"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you die prior to payment of any amount or benefit described in paragraph 7(j)(ii)(A), (B), (C) or (E) that would have been paid to you had you continued to live, all such amounts and benefits shall be paid, less applicable deductions and withholding taxes, to your beneficiary (or, if no beneficiary has been designated, your estate) in accordance with the applicable payment schedule.</w:t>
      </w:r>
    </w:p>
    <w:p>
      <w:pPr>
        <w:spacing w:after="0" w:line="188" w:lineRule="exact"/>
        <w:rPr>
          <w:rFonts w:ascii="Arial" w:cs="Arial" w:eastAsia="Arial" w:hAnsi="Arial"/>
          <w:sz w:val="22"/>
          <w:szCs w:val="22"/>
          <w:color w:val="auto"/>
        </w:rPr>
      </w:pPr>
    </w:p>
    <w:p>
      <w:pPr>
        <w:jc w:val="both"/>
        <w:ind w:left="660" w:firstLine="1293"/>
        <w:spacing w:after="0" w:line="248" w:lineRule="auto"/>
        <w:tabs>
          <w:tab w:leader="none" w:pos="2425"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Survival of Provisions</w:t>
      </w:r>
      <w:r>
        <w:rPr>
          <w:rFonts w:ascii="Arial" w:cs="Arial" w:eastAsia="Arial" w:hAnsi="Arial"/>
          <w:sz w:val="22"/>
          <w:szCs w:val="22"/>
          <w:color w:val="auto"/>
        </w:rPr>
        <w:t>. The provisions of this paragraph 7(j) (and any other provision in this Agreement which relates to or is necessary for the enforcement of the parties’ rights under this paragraph 7(j)) shall survive the expiration of the Term of this Agreement. For avoidance of doubt, the provisions of paragraphs 6(a) and 6(c) shall apply so long as any payments are due to you pursuant to this paragraph 7(j), even if your termination of employment occurs following the expiration of the Term of this Agreement.</w:t>
      </w:r>
    </w:p>
    <w:p>
      <w:pPr>
        <w:spacing w:after="0" w:line="192" w:lineRule="exact"/>
        <w:rPr>
          <w:sz w:val="20"/>
          <w:szCs w:val="20"/>
          <w:color w:val="auto"/>
        </w:rPr>
      </w:pPr>
    </w:p>
    <w:p>
      <w:pPr>
        <w:jc w:val="both"/>
        <w:ind w:firstLine="656"/>
        <w:spacing w:after="0" w:line="250" w:lineRule="auto"/>
        <w:tabs>
          <w:tab w:leader="none" w:pos="104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No Acceptance of Payments</w:t>
      </w:r>
      <w:r>
        <w:rPr>
          <w:rFonts w:ascii="Arial" w:cs="Arial" w:eastAsia="Arial" w:hAnsi="Arial"/>
          <w:sz w:val="22"/>
          <w:szCs w:val="22"/>
          <w:color w:val="auto"/>
        </w:rPr>
        <w:t>. You represent that you have not accepted or given nor will you accept or give, directly or indirectly, any money, services or other valuable consideration from or to anyone other than CBS for the inclusion of any matter as part of any film, television program or other production produced, distributed and/or developed by CBS, or any of CBS’s affiliated companies.</w:t>
      </w:r>
    </w:p>
    <w:p>
      <w:pPr>
        <w:spacing w:after="0" w:line="188" w:lineRule="exact"/>
        <w:rPr>
          <w:rFonts w:ascii="Arial" w:cs="Arial" w:eastAsia="Arial" w:hAnsi="Arial"/>
          <w:sz w:val="22"/>
          <w:szCs w:val="22"/>
          <w:color w:val="auto"/>
        </w:rPr>
      </w:pPr>
    </w:p>
    <w:p>
      <w:pPr>
        <w:jc w:val="both"/>
        <w:ind w:firstLine="656"/>
        <w:spacing w:after="0" w:line="248" w:lineRule="auto"/>
        <w:tabs>
          <w:tab w:leader="none" w:pos="1229"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Equal Opportunity Employer; Employee Statement of Business Conduct</w:t>
      </w:r>
      <w:r>
        <w:rPr>
          <w:rFonts w:ascii="Arial" w:cs="Arial" w:eastAsia="Arial" w:hAnsi="Arial"/>
          <w:sz w:val="22"/>
          <w:szCs w:val="22"/>
          <w:color w:val="auto"/>
        </w:rPr>
        <w:t>. You recognize that CBS is an equal opportunity employer. You agree that you will comply with CBS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CBS Business Conduct Statement.</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161"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must be given in writing, by personal delivery or by registered mail, at the parties’ respective addresses shown on this Agreement (or any other address designated in writing by either party), with a copy, in the case of CBS, to the attention of the CLO. Any notice given by registered mail shall be deemed to have been given three days following such mailing.</w:t>
      </w:r>
    </w:p>
    <w:p>
      <w:pPr>
        <w:spacing w:after="0" w:line="188" w:lineRule="exact"/>
        <w:rPr>
          <w:rFonts w:ascii="Arial" w:cs="Arial" w:eastAsia="Arial" w:hAnsi="Arial"/>
          <w:sz w:val="22"/>
          <w:szCs w:val="22"/>
          <w:color w:val="auto"/>
        </w:rPr>
      </w:pPr>
    </w:p>
    <w:p>
      <w:pPr>
        <w:ind w:firstLine="656"/>
        <w:spacing w:after="0" w:line="343" w:lineRule="auto"/>
        <w:tabs>
          <w:tab w:leader="none" w:pos="1126"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is an Agreement for the performance of personal services by you and may not be assigned by you or CBS except that CBS may assign this Agreement to any majority-owned subsidiary of or any successor in interest to CBS.</w:t>
      </w:r>
    </w:p>
    <w:p>
      <w:pPr>
        <w:spacing w:after="0" w:line="98" w:lineRule="exact"/>
        <w:rPr>
          <w:rFonts w:ascii="Arial" w:cs="Arial" w:eastAsia="Arial" w:hAnsi="Arial"/>
          <w:sz w:val="19"/>
          <w:szCs w:val="19"/>
          <w:color w:val="auto"/>
        </w:rPr>
      </w:pPr>
    </w:p>
    <w:p>
      <w:pPr>
        <w:ind w:firstLine="656"/>
        <w:spacing w:after="0" w:line="269" w:lineRule="auto"/>
        <w:tabs>
          <w:tab w:leader="none" w:pos="1161"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New York Law, Etc</w:t>
      </w:r>
      <w:r>
        <w:rPr>
          <w:rFonts w:ascii="Arial" w:cs="Arial" w:eastAsia="Arial" w:hAnsi="Arial"/>
          <w:sz w:val="22"/>
          <w:szCs w:val="22"/>
          <w:b w:val="1"/>
          <w:bCs w:val="1"/>
          <w:color w:val="auto"/>
        </w:rPr>
        <w:t>. You acknowledge that this Agreement has been executed, in whole or in part, in the State of New York and that your employment</w:t>
      </w:r>
    </w:p>
    <w:p>
      <w:pPr>
        <w:sectPr>
          <w:pgSz w:w="11900" w:h="16838" w:orient="portrait"/>
          <w:cols w:equalWidth="0" w:num="1">
            <w:col w:w="11420"/>
          </w:cols>
          <w:pgMar w:left="240" w:top="132" w:right="23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duties are primarily performed in New York. Accordingly, you agree that this Agreement and all matters or issues arising out of or relating to your CBS employment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pacing w:after="0" w:line="141" w:lineRule="exact"/>
        <w:rPr>
          <w:sz w:val="20"/>
          <w:szCs w:val="20"/>
          <w:color w:val="auto"/>
        </w:rPr>
      </w:pPr>
    </w:p>
    <w:p>
      <w:pPr>
        <w:jc w:val="both"/>
        <w:ind w:firstLine="656"/>
        <w:spacing w:after="0" w:line="302" w:lineRule="auto"/>
        <w:tabs>
          <w:tab w:leader="none" w:pos="1134"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No Implied Contract</w:t>
      </w:r>
      <w:r>
        <w:rPr>
          <w:rFonts w:ascii="Arial" w:cs="Arial" w:eastAsia="Arial" w:hAnsi="Arial"/>
          <w:sz w:val="19"/>
          <w:szCs w:val="19"/>
          <w:color w:val="auto"/>
        </w:rPr>
        <w:t>. Nothing contained in this Agreement shall be construed to impose any obligation on CBS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183" w:lineRule="exact"/>
        <w:rPr>
          <w:rFonts w:ascii="Arial" w:cs="Arial" w:eastAsia="Arial" w:hAnsi="Arial"/>
          <w:sz w:val="19"/>
          <w:szCs w:val="19"/>
          <w:color w:val="auto"/>
        </w:rPr>
      </w:pPr>
    </w:p>
    <w:p>
      <w:pPr>
        <w:ind w:firstLine="656"/>
        <w:spacing w:after="0" w:line="263" w:lineRule="auto"/>
        <w:tabs>
          <w:tab w:leader="none" w:pos="1189"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Entire Understanding</w:t>
      </w:r>
      <w:r>
        <w:rPr>
          <w:rFonts w:ascii="Arial" w:cs="Arial" w:eastAsia="Arial" w:hAnsi="Arial"/>
          <w:sz w:val="22"/>
          <w:szCs w:val="22"/>
          <w:color w:val="auto"/>
        </w:rPr>
        <w:t>. This Agreement contains the entire understanding of the parties hereto relating to the subject matter contained in this Agreement, and can be changed only by a writing signed by both parties.</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148"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Void Provisions</w:t>
      </w:r>
      <w:r>
        <w:rPr>
          <w:rFonts w:ascii="Arial" w:cs="Arial" w:eastAsia="Arial" w:hAnsi="Arial"/>
          <w:sz w:val="19"/>
          <w:szCs w:val="19"/>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142" w:lineRule="exact"/>
        <w:rPr>
          <w:rFonts w:ascii="Arial" w:cs="Arial" w:eastAsia="Arial" w:hAnsi="Arial"/>
          <w:sz w:val="19"/>
          <w:szCs w:val="19"/>
          <w:color w:val="auto"/>
        </w:rPr>
      </w:pPr>
    </w:p>
    <w:p>
      <w:pPr>
        <w:jc w:val="both"/>
        <w:ind w:firstLine="656"/>
        <w:spacing w:after="0" w:line="302" w:lineRule="auto"/>
        <w:tabs>
          <w:tab w:leader="none" w:pos="117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Supersedes Prior Agreements</w:t>
      </w:r>
      <w:r>
        <w:rPr>
          <w:rFonts w:ascii="Arial" w:cs="Arial" w:eastAsia="Arial" w:hAnsi="Arial"/>
          <w:sz w:val="19"/>
          <w:szCs w:val="19"/>
          <w:color w:val="auto"/>
        </w:rPr>
        <w:t>. As of the Effective Date, this Agreement supersedes and cancels all prior agreements relating to your employment by CBS or any of CBS’s affiliated companies relating to the subject matter herein, including, without limitation, your prior employment agreement with CBS dated as of January 1, 2016 (the “</w:t>
      </w:r>
      <w:r>
        <w:rPr>
          <w:rFonts w:ascii="Arial" w:cs="Arial" w:eastAsia="Arial" w:hAnsi="Arial"/>
          <w:sz w:val="19"/>
          <w:szCs w:val="19"/>
          <w:b w:val="1"/>
          <w:bCs w:val="1"/>
          <w:i w:val="1"/>
          <w:iCs w:val="1"/>
          <w:color w:val="auto"/>
        </w:rPr>
        <w:t>Prior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provision in this Agreement shall be construed to adversely affect any of your rights accrued under the Prior Agreement.</w:t>
      </w:r>
    </w:p>
    <w:p>
      <w:pPr>
        <w:sectPr>
          <w:pgSz w:w="11900" w:h="16838" w:orient="portrait"/>
          <w:cols w:equalWidth="0" w:num="1">
            <w:col w:w="11420"/>
          </w:cols>
          <w:pgMar w:left="240" w:top="132"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40" w:hanging="484"/>
        <w:spacing w:after="0"/>
        <w:tabs>
          <w:tab w:leader="none" w:pos="114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Payment of Deferred Compensation – Code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24"/>
        <w:spacing w:after="0" w:line="246" w:lineRule="auto"/>
        <w:tabs>
          <w:tab w:leader="none" w:pos="177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17 or otherwise) shall CBS or any of its affiliates be liable for any tax, interest or penalties that may be imposed on you under Code Section 409A. Neither CBS nor any of its affiliates have any obligation to indemnify or otherwise hold you harmless from any or all such taxes, interest or penalties, or liability for any damages related thereto. You acknowledge that you have been advised to obtain independent legal, tax or other counsel in connection with Code Section 409A.</w:t>
      </w:r>
    </w:p>
    <w:p>
      <w:pPr>
        <w:spacing w:after="0" w:line="197" w:lineRule="exact"/>
        <w:rPr>
          <w:rFonts w:ascii="Arial" w:cs="Arial" w:eastAsia="Arial" w:hAnsi="Arial"/>
          <w:sz w:val="22"/>
          <w:szCs w:val="22"/>
          <w:color w:val="auto"/>
        </w:rPr>
      </w:pPr>
    </w:p>
    <w:p>
      <w:pPr>
        <w:jc w:val="both"/>
        <w:ind w:firstLine="1224"/>
        <w:spacing w:after="0" w:line="253" w:lineRule="auto"/>
        <w:tabs>
          <w:tab w:leader="none" w:pos="1759" w:val="left"/>
        </w:tabs>
        <w:numPr>
          <w:ilvl w:val="1"/>
          <w:numId w:val="219"/>
        </w:numPr>
        <w:rPr>
          <w:rFonts w:ascii="Arial" w:cs="Arial" w:eastAsia="Arial" w:hAnsi="Arial"/>
          <w:sz w:val="22"/>
          <w:szCs w:val="22"/>
          <w:color w:val="auto"/>
        </w:rPr>
      </w:pPr>
      <w:r>
        <w:rPr>
          <w:rFonts w:ascii="Arial" w:cs="Arial" w:eastAsia="Arial" w:hAnsi="Arial"/>
          <w:sz w:val="22"/>
          <w:szCs w:val="22"/>
          <w:color w:val="auto"/>
        </w:rPr>
        <w:t>Your right to any in-kind benefit or reimbursement benefits pursuant to any provisions of this Agreement or pursuant to any plan or arrangement of CBS covered by this Agreement shall not be subject to liquidation or exchange for cash or another benefit.</w:t>
      </w:r>
    </w:p>
    <w:p>
      <w:pPr>
        <w:spacing w:after="0" w:line="185" w:lineRule="exact"/>
        <w:rPr>
          <w:rFonts w:ascii="Arial" w:cs="Arial" w:eastAsia="Arial" w:hAnsi="Arial"/>
          <w:sz w:val="22"/>
          <w:szCs w:val="22"/>
          <w:color w:val="auto"/>
        </w:rPr>
      </w:pPr>
    </w:p>
    <w:p>
      <w:pPr>
        <w:jc w:val="both"/>
        <w:ind w:firstLine="656"/>
        <w:spacing w:after="0" w:line="285" w:lineRule="auto"/>
        <w:tabs>
          <w:tab w:leader="none" w:pos="1202"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any disagreement or dispute whatsoever shall arise between the parties concerning, arising out of or relating to this Agreement (including the documents referenced herein) or your employment with CBS, the parties hereto agree that such disagreement or dispute shall be submitted to binding arbitration before the American Arbitration Association (the “</w:t>
      </w:r>
      <w:r>
        <w:rPr>
          <w:rFonts w:ascii="Arial" w:cs="Arial" w:eastAsia="Arial" w:hAnsi="Arial"/>
          <w:sz w:val="19"/>
          <w:szCs w:val="19"/>
          <w:b w:val="1"/>
          <w:bCs w:val="1"/>
          <w:i w:val="1"/>
          <w:iCs w:val="1"/>
          <w:color w:val="auto"/>
        </w:rPr>
        <w:t>AAA</w:t>
      </w:r>
      <w:r>
        <w:rPr>
          <w:rFonts w:ascii="Arial" w:cs="Arial" w:eastAsia="Arial" w:hAnsi="Arial"/>
          <w:sz w:val="19"/>
          <w:szCs w:val="19"/>
          <w:color w:val="auto"/>
        </w:rPr>
        <w:t>”), and that a neutral arbitrator will be selected in a manner consistent with its Employment Arbitration Rules and Mediation Procedures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xml:space="preserve">”). Such arbitration shall be confidential and private and conducted in accordance with the Rules. Any such arbitration proceeding shall take place in New York City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you are the prevailing party (as determined by the arbitrator in his or her discretion) in a dispute concerning the enforcement of the provisions of this Agreement in relation to paragraph 7(j), you shall be entitled to recover all of your costs (including attorney’s fees) reasonably incurred in connection with such dispute. Following the arbitrator’s issuance of a final non-appealable award setting forth that you are the prevailing party, CBS shall reimburse you for such costs within thirty (30) days following its receipt of reasonable written evidence substantiating such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discretion, the costs that shall be reimbursed to you by CBS. Judgment upon the final award(s) rendered by such arbitrator, after giving effect to the AAA internal appeals process, may be entered in any court having jurisdiction thereof. Notwithstanding</w:t>
      </w:r>
    </w:p>
    <w:p>
      <w:pPr>
        <w:sectPr>
          <w:pgSz w:w="11900" w:h="16838" w:orient="portrait"/>
          <w:cols w:equalWidth="0" w:num="1">
            <w:col w:w="11420"/>
          </w:cols>
          <w:pgMar w:left="240" w:top="132" w:right="2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anything herein to the contrary, CBS shall be entitled to seek injunctive, provisional and equitable relief in a court proceeding as a result of your alleged violation of the terms of paragraph 6 of this Agreement, and you hereby consent and agree to exclusive personal jurisdiction in any state or federal court located in the City of New York, Borough of Manhattan.</w:t>
      </w:r>
    </w:p>
    <w:p>
      <w:pPr>
        <w:spacing w:after="0" w:line="168" w:lineRule="exact"/>
        <w:rPr>
          <w:sz w:val="20"/>
          <w:szCs w:val="20"/>
          <w:color w:val="auto"/>
        </w:rPr>
      </w:pPr>
    </w:p>
    <w:p>
      <w:pPr>
        <w:ind w:left="1140" w:hanging="484"/>
        <w:spacing w:after="0"/>
        <w:tabs>
          <w:tab w:leader="none" w:pos="114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p>
    <w:p>
      <w:pPr>
        <w:spacing w:after="0" w:line="260" w:lineRule="exact"/>
        <w:rPr>
          <w:rFonts w:ascii="Arial" w:cs="Arial" w:eastAsia="Arial" w:hAnsi="Arial"/>
          <w:sz w:val="22"/>
          <w:szCs w:val="22"/>
          <w:color w:val="auto"/>
        </w:rPr>
      </w:pPr>
    </w:p>
    <w:p>
      <w:pPr>
        <w:jc w:val="both"/>
        <w:ind w:left="660" w:firstLine="645"/>
        <w:spacing w:after="0" w:line="302" w:lineRule="auto"/>
        <w:tabs>
          <w:tab w:leader="none" w:pos="192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In the event that the payments and benefits provided for in this Agreement or other payments and benefits payable or provided to you (i) constitute ‘parachute payments’ within the meaning of Section 280G of the Code and (ii) but for this paragraph 19, would be subject to the excise tax imposed by Section 4999 of the Code, then your payments and benefits under this Agreement or other payments or benefits (the “</w:t>
      </w:r>
      <w:r>
        <w:rPr>
          <w:rFonts w:ascii="Arial" w:cs="Arial" w:eastAsia="Arial" w:hAnsi="Arial"/>
          <w:sz w:val="19"/>
          <w:szCs w:val="19"/>
          <w:b w:val="1"/>
          <w:bCs w:val="1"/>
          <w:i w:val="1"/>
          <w:iCs w:val="1"/>
          <w:color w:val="auto"/>
        </w:rPr>
        <w:t>280G Amounts</w:t>
      </w:r>
      <w:r>
        <w:rPr>
          <w:rFonts w:ascii="Arial" w:cs="Arial" w:eastAsia="Arial" w:hAnsi="Arial"/>
          <w:sz w:val="19"/>
          <w:szCs w:val="19"/>
          <w:color w:val="auto"/>
        </w:rPr>
        <w:t>”) will be either:</w:t>
      </w:r>
    </w:p>
    <w:p>
      <w:pPr>
        <w:spacing w:after="0" w:line="183" w:lineRule="exact"/>
        <w:rPr>
          <w:rFonts w:ascii="Arial" w:cs="Arial" w:eastAsia="Arial" w:hAnsi="Arial"/>
          <w:sz w:val="19"/>
          <w:szCs w:val="19"/>
          <w:color w:val="auto"/>
        </w:rPr>
      </w:pPr>
    </w:p>
    <w:p>
      <w:pPr>
        <w:ind w:left="2420" w:hanging="467"/>
        <w:spacing w:after="0"/>
        <w:tabs>
          <w:tab w:leader="none" w:pos="2420" w:val="left"/>
        </w:tabs>
        <w:numPr>
          <w:ilvl w:val="2"/>
          <w:numId w:val="220"/>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60" w:lineRule="exact"/>
        <w:rPr>
          <w:rFonts w:ascii="Arial" w:cs="Arial" w:eastAsia="Arial" w:hAnsi="Arial"/>
          <w:sz w:val="22"/>
          <w:szCs w:val="22"/>
          <w:color w:val="auto"/>
        </w:rPr>
      </w:pPr>
    </w:p>
    <w:p>
      <w:pPr>
        <w:ind w:left="1300" w:firstLine="653"/>
        <w:spacing w:after="0" w:line="263" w:lineRule="auto"/>
        <w:tabs>
          <w:tab w:leader="none" w:pos="2494" w:val="left"/>
        </w:tabs>
        <w:numPr>
          <w:ilvl w:val="2"/>
          <w:numId w:val="220"/>
        </w:numPr>
        <w:rPr>
          <w:rFonts w:ascii="Arial" w:cs="Arial" w:eastAsia="Arial" w:hAnsi="Arial"/>
          <w:sz w:val="22"/>
          <w:szCs w:val="22"/>
          <w:color w:val="auto"/>
        </w:rPr>
      </w:pPr>
      <w:r>
        <w:rPr>
          <w:rFonts w:ascii="Arial" w:cs="Arial" w:eastAsia="Arial" w:hAnsi="Arial"/>
          <w:sz w:val="22"/>
          <w:szCs w:val="22"/>
          <w:color w:val="auto"/>
        </w:rPr>
        <w:t>delivered as to such lesser extent that would result in no portion of the 280G Amounts being subject to the excise tax under Section 4999 of the Code;</w:t>
      </w:r>
    </w:p>
    <w:p>
      <w:pPr>
        <w:spacing w:after="0" w:line="215"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of the Code, results in the receipt by you on an after-tax basis of the greatest amount of 280G Amounts, notwithstanding that all or some portion of the 280G Amounts may be taxable under Section 4999 of the Code.</w:t>
      </w:r>
    </w:p>
    <w:p>
      <w:pPr>
        <w:spacing w:after="0" w:line="174" w:lineRule="exact"/>
        <w:rPr>
          <w:sz w:val="20"/>
          <w:szCs w:val="20"/>
          <w:color w:val="auto"/>
        </w:rPr>
      </w:pPr>
    </w:p>
    <w:p>
      <w:pPr>
        <w:jc w:val="both"/>
        <w:ind w:left="660" w:firstLine="645"/>
        <w:spacing w:after="0" w:line="253" w:lineRule="auto"/>
        <w:tabs>
          <w:tab w:leader="none" w:pos="1898"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Reduction Order</w:t>
      </w:r>
      <w:r>
        <w:rPr>
          <w:rFonts w:ascii="Arial" w:cs="Arial" w:eastAsia="Arial" w:hAnsi="Arial"/>
          <w:sz w:val="22"/>
          <w:szCs w:val="22"/>
          <w:color w:val="auto"/>
        </w:rPr>
        <w:t>. In the event that a reduction of 280G Amounts is made in accordance with this paragraph 19, the reduction will occur, with respect to the 280G Amounts considered parachute payments within the meaning of Section 280G of the Code, in the following order:</w:t>
      </w:r>
    </w:p>
    <w:p>
      <w:pPr>
        <w:spacing w:after="0" w:line="226" w:lineRule="exact"/>
        <w:rPr>
          <w:rFonts w:ascii="Arial" w:cs="Arial" w:eastAsia="Arial" w:hAnsi="Arial"/>
          <w:sz w:val="22"/>
          <w:szCs w:val="22"/>
          <w:color w:val="auto"/>
        </w:rPr>
      </w:pPr>
    </w:p>
    <w:p>
      <w:pPr>
        <w:ind w:left="1300" w:firstLine="653"/>
        <w:spacing w:after="0" w:line="343" w:lineRule="auto"/>
        <w:tabs>
          <w:tab w:leader="none" w:pos="2505" w:val="left"/>
        </w:tabs>
        <w:numPr>
          <w:ilvl w:val="1"/>
          <w:numId w:val="221"/>
        </w:numPr>
        <w:rPr>
          <w:rFonts w:ascii="Arial" w:cs="Arial" w:eastAsia="Arial" w:hAnsi="Arial"/>
          <w:sz w:val="19"/>
          <w:szCs w:val="19"/>
          <w:color w:val="auto"/>
        </w:rPr>
      </w:pPr>
      <w:r>
        <w:rPr>
          <w:rFonts w:ascii="Arial" w:cs="Arial" w:eastAsia="Arial" w:hAnsi="Arial"/>
          <w:sz w:val="19"/>
          <w:szCs w:val="19"/>
          <w:color w:val="auto"/>
        </w:rPr>
        <w:t>reduction of cash payments in reverse chronological order (</w:t>
      </w:r>
      <w:r>
        <w:rPr>
          <w:rFonts w:ascii="Arial" w:cs="Arial" w:eastAsia="Arial" w:hAnsi="Arial"/>
          <w:sz w:val="19"/>
          <w:szCs w:val="19"/>
          <w:i w:val="1"/>
          <w:iCs w:val="1"/>
          <w:color w:val="auto"/>
        </w:rPr>
        <w:t>i.e.,</w:t>
      </w:r>
      <w:r>
        <w:rPr>
          <w:rFonts w:ascii="Arial" w:cs="Arial" w:eastAsia="Arial" w:hAnsi="Arial"/>
          <w:sz w:val="19"/>
          <w:szCs w:val="19"/>
          <w:color w:val="auto"/>
        </w:rPr>
        <w:t xml:space="preserve"> the cash payment owed on the latest date following the occurrence of the event triggering the excise tax will be the first cash payment to be reduced);</w:t>
      </w:r>
    </w:p>
    <w:p>
      <w:pPr>
        <w:spacing w:after="0" w:line="145" w:lineRule="exact"/>
        <w:rPr>
          <w:rFonts w:ascii="Arial" w:cs="Arial" w:eastAsia="Arial" w:hAnsi="Arial"/>
          <w:sz w:val="19"/>
          <w:szCs w:val="19"/>
          <w:color w:val="auto"/>
        </w:rPr>
      </w:pPr>
    </w:p>
    <w:p>
      <w:pPr>
        <w:jc w:val="both"/>
        <w:ind w:left="1300" w:firstLine="653"/>
        <w:spacing w:after="0" w:line="253" w:lineRule="auto"/>
        <w:tabs>
          <w:tab w:leader="none" w:pos="2632" w:val="left"/>
        </w:tabs>
        <w:numPr>
          <w:ilvl w:val="1"/>
          <w:numId w:val="221"/>
        </w:numPr>
        <w:rPr>
          <w:rFonts w:ascii="Arial" w:cs="Arial" w:eastAsia="Arial" w:hAnsi="Arial"/>
          <w:sz w:val="22"/>
          <w:szCs w:val="22"/>
          <w:color w:val="auto"/>
        </w:rPr>
      </w:pPr>
      <w:r>
        <w:rPr>
          <w:rFonts w:ascii="Arial" w:cs="Arial" w:eastAsia="Arial" w:hAnsi="Arial"/>
          <w:sz w:val="22"/>
          <w:szCs w:val="22"/>
          <w:color w:val="auto"/>
        </w:rPr>
        <w:t>cancellation of equity awards that were granted ‘contingent on a change in ownership or control’ within the meaning of Code Section 280G, in the reverse order of date of grant of the awards (</w:t>
      </w:r>
      <w:r>
        <w:rPr>
          <w:rFonts w:ascii="Arial" w:cs="Arial" w:eastAsia="Arial" w:hAnsi="Arial"/>
          <w:sz w:val="22"/>
          <w:szCs w:val="22"/>
          <w:i w:val="1"/>
          <w:iCs w:val="1"/>
          <w:color w:val="auto"/>
        </w:rPr>
        <w:t>i.e.,</w:t>
      </w:r>
      <w:r>
        <w:rPr>
          <w:rFonts w:ascii="Arial" w:cs="Arial" w:eastAsia="Arial" w:hAnsi="Arial"/>
          <w:sz w:val="22"/>
          <w:szCs w:val="22"/>
          <w:color w:val="auto"/>
        </w:rPr>
        <w:t xml:space="preserve"> the most recently granted equity awards will be cancelled first);</w:t>
      </w:r>
    </w:p>
    <w:p>
      <w:pPr>
        <w:spacing w:after="0" w:line="226" w:lineRule="exact"/>
        <w:rPr>
          <w:rFonts w:ascii="Arial" w:cs="Arial" w:eastAsia="Arial" w:hAnsi="Arial"/>
          <w:sz w:val="22"/>
          <w:szCs w:val="22"/>
          <w:color w:val="auto"/>
        </w:rPr>
      </w:pPr>
    </w:p>
    <w:p>
      <w:pPr>
        <w:ind w:left="2540" w:hanging="587"/>
        <w:spacing w:after="0"/>
        <w:tabs>
          <w:tab w:leader="none" w:pos="254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reduction of the accelerated vesting of equity awards in</w:t>
      </w:r>
    </w:p>
    <w:p>
      <w:pPr>
        <w:sectPr>
          <w:pgSz w:w="11900" w:h="16838" w:orient="portrait"/>
          <w:cols w:equalWidth="0" w:num="1">
            <w:col w:w="11420"/>
          </w:cols>
          <w:pgMar w:left="240" w:top="132" w:right="2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Richard M. Jones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January 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reverse order of date of grant of the awards (</w:t>
      </w:r>
      <w:r>
        <w:rPr>
          <w:rFonts w:ascii="Arial" w:cs="Arial" w:eastAsia="Arial" w:hAnsi="Arial"/>
          <w:sz w:val="22"/>
          <w:szCs w:val="22"/>
          <w:i w:val="1"/>
          <w:iCs w:val="1"/>
          <w:color w:val="auto"/>
        </w:rPr>
        <w:t>i.e.,</w:t>
      </w:r>
      <w:r>
        <w:rPr>
          <w:rFonts w:ascii="Arial" w:cs="Arial" w:eastAsia="Arial" w:hAnsi="Arial"/>
          <w:sz w:val="22"/>
          <w:szCs w:val="22"/>
          <w:color w:val="auto"/>
        </w:rPr>
        <w:t xml:space="preserve"> the vesting of the most recently granted equity awards will be cancelled first); and</w:t>
      </w:r>
    </w:p>
    <w:p>
      <w:pPr>
        <w:spacing w:after="0" w:line="215" w:lineRule="exact"/>
        <w:rPr>
          <w:sz w:val="20"/>
          <w:szCs w:val="20"/>
          <w:color w:val="auto"/>
        </w:rPr>
      </w:pPr>
    </w:p>
    <w:p>
      <w:pPr>
        <w:ind w:left="1300" w:firstLine="653"/>
        <w:spacing w:after="0" w:line="343" w:lineRule="auto"/>
        <w:tabs>
          <w:tab w:leader="none" w:pos="2551" w:val="left"/>
        </w:tabs>
        <w:numPr>
          <w:ilvl w:val="0"/>
          <w:numId w:val="222"/>
        </w:numPr>
        <w:rPr>
          <w:rFonts w:ascii="Arial" w:cs="Arial" w:eastAsia="Arial" w:hAnsi="Arial"/>
          <w:sz w:val="19"/>
          <w:szCs w:val="19"/>
          <w:color w:val="auto"/>
        </w:rPr>
      </w:pPr>
      <w:r>
        <w:rPr>
          <w:rFonts w:ascii="Arial" w:cs="Arial" w:eastAsia="Arial" w:hAnsi="Arial"/>
          <w:sz w:val="19"/>
          <w:szCs w:val="19"/>
          <w:color w:val="auto"/>
        </w:rPr>
        <w:t>reduction of employee benefits in reverse chronological order (</w:t>
      </w:r>
      <w:r>
        <w:rPr>
          <w:rFonts w:ascii="Arial" w:cs="Arial" w:eastAsia="Arial" w:hAnsi="Arial"/>
          <w:sz w:val="19"/>
          <w:szCs w:val="19"/>
          <w:i w:val="1"/>
          <w:iCs w:val="1"/>
          <w:color w:val="auto"/>
        </w:rPr>
        <w:t>i.e.,</w:t>
      </w:r>
      <w:r>
        <w:rPr>
          <w:rFonts w:ascii="Arial" w:cs="Arial" w:eastAsia="Arial" w:hAnsi="Arial"/>
          <w:sz w:val="19"/>
          <w:szCs w:val="19"/>
          <w:color w:val="auto"/>
        </w:rPr>
        <w:t xml:space="preserve"> the benefit owed on the latest date following the occurrence of the event triggering the excise tax will be the first benefit to be reduced).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no event will you have any discretion with respect to the ordering of payment reductions.</w:t>
      </w:r>
    </w:p>
    <w:p>
      <w:pPr>
        <w:spacing w:after="0" w:line="260" w:lineRule="exact"/>
        <w:rPr>
          <w:sz w:val="20"/>
          <w:szCs w:val="20"/>
          <w:color w:val="auto"/>
        </w:rPr>
      </w:pPr>
    </w:p>
    <w:p>
      <w:pPr>
        <w:jc w:val="both"/>
        <w:ind w:left="660" w:firstLine="645"/>
        <w:spacing w:after="0" w:line="290" w:lineRule="auto"/>
        <w:tabs>
          <w:tab w:leader="none" w:pos="1832" w:val="left"/>
        </w:tabs>
        <w:numPr>
          <w:ilvl w:val="1"/>
          <w:numId w:val="223"/>
        </w:numPr>
        <w:rPr>
          <w:rFonts w:ascii="Arial" w:cs="Arial" w:eastAsia="Arial" w:hAnsi="Arial"/>
          <w:sz w:val="19"/>
          <w:szCs w:val="19"/>
          <w:color w:val="auto"/>
        </w:rPr>
      </w:pPr>
      <w:r>
        <w:rPr>
          <w:rFonts w:ascii="Arial" w:cs="Arial" w:eastAsia="Arial" w:hAnsi="Arial"/>
          <w:sz w:val="19"/>
          <w:szCs w:val="19"/>
          <w:u w:val="single" w:color="auto"/>
          <w:color w:val="auto"/>
        </w:rPr>
        <w:t>Nationally Recognized Firm Requirement</w:t>
      </w:r>
      <w:r>
        <w:rPr>
          <w:rFonts w:ascii="Arial" w:cs="Arial" w:eastAsia="Arial" w:hAnsi="Arial"/>
          <w:sz w:val="19"/>
          <w:szCs w:val="19"/>
          <w:color w:val="auto"/>
        </w:rPr>
        <w:t>. Unless you and CBS otherwise agree in writing, any determination required under this paragraph 19 will be made in writing by a nationally recognized accounting or valuation firm (the “</w:t>
      </w:r>
      <w:r>
        <w:rPr>
          <w:rFonts w:ascii="Arial" w:cs="Arial" w:eastAsia="Arial" w:hAnsi="Arial"/>
          <w:sz w:val="19"/>
          <w:szCs w:val="19"/>
          <w:b w:val="1"/>
          <w:bCs w:val="1"/>
          <w:i w:val="1"/>
          <w:iCs w:val="1"/>
          <w:color w:val="auto"/>
        </w:rPr>
        <w:t>Firm</w:t>
      </w:r>
      <w:r>
        <w:rPr>
          <w:rFonts w:ascii="Arial" w:cs="Arial" w:eastAsia="Arial" w:hAnsi="Arial"/>
          <w:sz w:val="19"/>
          <w:szCs w:val="19"/>
          <w:color w:val="auto"/>
        </w:rPr>
        <w:t>”) selected by CBS, whose determination will be conclusive and binding upon you and CBS for all purposes. For purposes of making the calculations required by this paragraph 19, the Firm may make reasonable assumptions and approximations concerning applicable taxes and may rely on reasonable, good faith interpretations concerning the application of Sections 280G and 4999 of the Code. CBS and you will furnish to the Firm such information and documents as the Firm may reasonably request in order to make a determination under this paragraph 19. CBS will bear all costs for payment of the Firm’s services in connection with any calculations contemplated by this paragraph 19.</w:t>
      </w:r>
    </w:p>
    <w:p>
      <w:pPr>
        <w:spacing w:after="0" w:line="197" w:lineRule="exact"/>
        <w:rPr>
          <w:rFonts w:ascii="Arial" w:cs="Arial" w:eastAsia="Arial" w:hAnsi="Arial"/>
          <w:sz w:val="19"/>
          <w:szCs w:val="19"/>
          <w:color w:val="auto"/>
        </w:rPr>
      </w:pPr>
    </w:p>
    <w:p>
      <w:pPr>
        <w:jc w:val="both"/>
        <w:ind w:firstLine="656"/>
        <w:spacing w:after="0" w:line="265" w:lineRule="auto"/>
        <w:tabs>
          <w:tab w:leader="none" w:pos="1134" w:val="left"/>
        </w:tabs>
        <w:numPr>
          <w:ilvl w:val="0"/>
          <w:numId w:val="224"/>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Any compensation provided to you, whether under this Agreement or otherwise, with regard to your employment with CBS and/or its subsidiaries, as applicable, shall be subject to the applicable provisions of any clawback policy implemented by CBS from time to time, including any policy implemented pursuant to the Dodd-Frank Wall Street Reform and Consumer Protection Act and any rules or regulations promulgated thereunder.</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202"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132" w:right="239" w:bottom="1440" w:gutter="0" w:footer="0" w:header="0"/>
        </w:sectPr>
      </w:pPr>
    </w:p>
    <w:bookmarkStart w:id="258" w:name="page259"/>
    <w:bookmarkEnd w:id="258"/>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our understanding, please sign, date and return all four (4) copies of this Agreement to the undersigned for execution on behalf of CBS; after this Agreement has been executed by CBS and a fully-executed copy returned to you, it shall constitute a binding agreement between us.</w:t>
      </w:r>
    </w:p>
    <w:p>
      <w:pPr>
        <w:spacing w:after="0" w:line="200" w:lineRule="exact"/>
        <w:rPr>
          <w:sz w:val="20"/>
          <w:szCs w:val="20"/>
          <w:color w:val="auto"/>
        </w:rPr>
      </w:pPr>
    </w:p>
    <w:p>
      <w:pPr>
        <w:spacing w:after="0" w:line="391"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CBS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Anthony G. Ambrosio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35502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p>
      <w:pPr>
        <w:spacing w:after="0" w:line="58"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Anthony G. Ambrosio</w:t>
      </w:r>
    </w:p>
    <w:p>
      <w:pPr>
        <w:spacing w:after="0" w:line="79" w:lineRule="exact"/>
        <w:rPr>
          <w:sz w:val="20"/>
          <w:szCs w:val="20"/>
          <w:color w:val="auto"/>
        </w:rPr>
      </w:pPr>
    </w:p>
    <w:p>
      <w:pPr>
        <w:sectPr>
          <w:pgSz w:w="11900" w:h="16838" w:orient="portrait"/>
          <w:cols w:equalWidth="0" w:num="2">
            <w:col w:w="6440" w:space="440"/>
            <w:col w:w="4540"/>
          </w:cols>
          <w:pgMar w:left="240" w:top="632" w:right="239" w:bottom="1440" w:gutter="0" w:footer="0" w:header="0"/>
          <w:type w:val="continuous"/>
        </w:sectPr>
      </w:pPr>
    </w:p>
    <w:p>
      <w:pPr>
        <w:ind w:left="586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Executive Vice President,</w:t>
      </w:r>
    </w:p>
    <w:p>
      <w:pPr>
        <w:spacing w:after="0" w:line="78" w:lineRule="exact"/>
        <w:rPr>
          <w:sz w:val="20"/>
          <w:szCs w:val="20"/>
          <w:color w:val="auto"/>
        </w:rPr>
      </w:pPr>
    </w:p>
    <w:p>
      <w:pPr>
        <w:sectPr>
          <w:pgSz w:w="11900" w:h="16838" w:orient="portrait"/>
          <w:cols w:equalWidth="0" w:num="2">
            <w:col w:w="6320" w:space="560"/>
            <w:col w:w="4540"/>
          </w:cols>
          <w:pgMar w:left="240" w:top="632" w:right="239" w:bottom="1440" w:gutter="0" w:footer="0" w:header="0"/>
          <w:type w:val="continuous"/>
        </w:sectPr>
      </w:pPr>
    </w:p>
    <w:p>
      <w:pPr>
        <w:ind w:left="6880"/>
        <w:spacing w:after="0"/>
        <w:rPr>
          <w:sz w:val="20"/>
          <w:szCs w:val="20"/>
          <w:color w:val="auto"/>
        </w:rPr>
      </w:pPr>
      <w:r>
        <w:rPr>
          <w:rFonts w:ascii="Arial" w:cs="Arial" w:eastAsia="Arial" w:hAnsi="Arial"/>
          <w:sz w:val="19"/>
          <w:szCs w:val="19"/>
          <w:color w:val="auto"/>
        </w:rPr>
        <w:t>Chief Administrative Officer and</w:t>
      </w:r>
    </w:p>
    <w:p>
      <w:pPr>
        <w:spacing w:after="0" w:line="79"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Chief Human Resources Officer</w:t>
      </w:r>
    </w:p>
    <w:p>
      <w:pPr>
        <w:sectPr>
          <w:pgSz w:w="11900" w:h="16838" w:orient="portrait"/>
          <w:cols w:equalWidth="0" w:num="1">
            <w:col w:w="11420"/>
          </w:cols>
          <w:pgMar w:left="240" w:top="6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Richard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70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Richard M. Jones</w:t>
      </w:r>
    </w:p>
    <w:p>
      <w:pPr>
        <w:spacing w:after="0" w:line="368"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03/22/18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24765</wp:posOffset>
            </wp:positionV>
            <wp:extent cx="26841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type w:val="continuous"/>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21</w:t>
      </w: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u w:val="single" w:color="auto"/>
          <w:color w:val="auto"/>
        </w:rPr>
        <w:t>Subsidiaries of CBS Corporation*</w:t>
      </w:r>
    </w:p>
    <w:p>
      <w:pPr>
        <w:spacing w:after="0" w:line="28"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(as of January 1, 2019)</w:t>
      </w:r>
    </w:p>
    <w:p>
      <w:pPr>
        <w:spacing w:after="0" w:line="23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DOMESTIC</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960" w:type="dxa"/>
            <w:vAlign w:val="bottom"/>
            <w:tcBorders>
              <w:top w:val="single" w:sz="8" w:color="00000A"/>
              <w:left w:val="single" w:sz="8" w:color="00000A"/>
              <w:right w:val="single" w:sz="8" w:color="00000A"/>
            </w:tcBorders>
            <w:gridSpan w:val="3"/>
          </w:tcPr>
          <w:p>
            <w:pPr>
              <w:ind w:left="2740"/>
              <w:spacing w:after="0"/>
              <w:rPr>
                <w:sz w:val="20"/>
                <w:szCs w:val="20"/>
                <w:color w:val="auto"/>
              </w:rPr>
            </w:pPr>
            <w:r>
              <w:rPr>
                <w:rFonts w:ascii="Arial" w:cs="Arial" w:eastAsia="Arial" w:hAnsi="Arial"/>
                <w:sz w:val="20"/>
                <w:szCs w:val="20"/>
                <w:b w:val="1"/>
                <w:bCs w:val="1"/>
                <w:color w:val="auto"/>
              </w:rPr>
              <w:t>Subsidiary Name</w:t>
            </w:r>
          </w:p>
        </w:tc>
        <w:tc>
          <w:tcPr>
            <w:tcW w:w="200" w:type="dxa"/>
            <w:vAlign w:val="bottom"/>
            <w:tcBorders>
              <w:top w:val="single" w:sz="8" w:color="00000A"/>
            </w:tcBorders>
          </w:tcPr>
          <w:p>
            <w:pPr>
              <w:spacing w:after="0"/>
              <w:rPr>
                <w:sz w:val="19"/>
                <w:szCs w:val="19"/>
                <w:color w:val="auto"/>
              </w:rPr>
            </w:pPr>
          </w:p>
        </w:tc>
        <w:tc>
          <w:tcPr>
            <w:tcW w:w="33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w w:val="91"/>
              </w:rPr>
              <w:t>Place of Incorporation or Organization</w:t>
            </w:r>
          </w:p>
        </w:tc>
      </w:tr>
      <w:tr>
        <w:trPr>
          <w:trHeight w:val="48"/>
        </w:trPr>
        <w:tc>
          <w:tcPr>
            <w:tcW w:w="2740" w:type="dxa"/>
            <w:vAlign w:val="bottom"/>
            <w:tcBorders>
              <w:left w:val="single" w:sz="8" w:color="00000A"/>
              <w:bottom w:val="single" w:sz="8" w:color="00000A"/>
            </w:tcBorders>
          </w:tcPr>
          <w:p>
            <w:pPr>
              <w:spacing w:after="0"/>
              <w:rPr>
                <w:sz w:val="4"/>
                <w:szCs w:val="4"/>
                <w:color w:val="auto"/>
              </w:rPr>
            </w:pPr>
          </w:p>
        </w:tc>
        <w:tc>
          <w:tcPr>
            <w:tcW w:w="1460" w:type="dxa"/>
            <w:vAlign w:val="bottom"/>
            <w:tcBorders>
              <w:top w:val="single" w:sz="8" w:color="auto"/>
              <w:bottom w:val="single" w:sz="8" w:color="00000A"/>
            </w:tcBorders>
          </w:tcPr>
          <w:p>
            <w:pPr>
              <w:spacing w:after="0"/>
              <w:rPr>
                <w:sz w:val="4"/>
                <w:szCs w:val="4"/>
                <w:color w:val="auto"/>
              </w:rPr>
            </w:pPr>
          </w:p>
        </w:tc>
        <w:tc>
          <w:tcPr>
            <w:tcW w:w="2760" w:type="dxa"/>
            <w:vAlign w:val="bottom"/>
            <w:tcBorders>
              <w:bottom w:val="single" w:sz="8" w:color="00000A"/>
              <w:right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3320" w:type="dxa"/>
            <w:vAlign w:val="bottom"/>
            <w:tcBorders>
              <w:top w:val="single" w:sz="8" w:color="auto"/>
              <w:bottom w:val="single" w:sz="8" w:color="00000A"/>
            </w:tcBorders>
          </w:tcPr>
          <w:p>
            <w:pPr>
              <w:spacing w:after="0"/>
              <w:rPr>
                <w:sz w:val="4"/>
                <w:szCs w:val="4"/>
                <w:color w:val="auto"/>
              </w:rPr>
            </w:pPr>
          </w:p>
        </w:tc>
        <w:tc>
          <w:tcPr>
            <w:tcW w:w="60" w:type="dxa"/>
            <w:vAlign w:val="bottom"/>
            <w:tcBorders>
              <w:bottom w:val="single" w:sz="8" w:color="00000A"/>
              <w:right w:val="single" w:sz="8" w:color="00000A"/>
            </w:tcBorders>
          </w:tcPr>
          <w:p>
            <w:pPr>
              <w:spacing w:after="0"/>
              <w:rPr>
                <w:sz w:val="4"/>
                <w:szCs w:val="4"/>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13 Investments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Louisiana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13 Productions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Louisiana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90210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A.S. Payroll Company,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Aaron Spelling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Acorn Pipe Line Company</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Acorn Properties,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Acorn Trading Company</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Addax Music Co.,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Aetrax International Corporation</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Ages Electronics,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Ages Entertainment Software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All Media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ALTSIM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Amadea Film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Amazing Race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Antilles Oil Company,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Puerto Rico</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A-R Acquisition Corp.</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Armacost Music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Around the Block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Aspenfair Music,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Atlanta Television Station WUPA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Avery Productions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BAPP Acquisition Corporation</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Barrington Songs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Bay County Energy Systems,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Bay Resource Management,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Beverlyfax Music,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Big Ticket Music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Big Ticket Pictures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Big Ticket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Big Ticket Television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Blackrock Insurance Corporation</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Blue Cow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Bombay Hook LLC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Bonneville Wind Corporation</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Utah</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Boxing Acquisition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Branded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Brentwood Pictures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Brotherhood Productions, Inc.</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Rhode Island</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rPr>
              <w:t>Bruin Music Company</w:t>
            </w:r>
          </w:p>
        </w:tc>
        <w:tc>
          <w:tcPr>
            <w:tcW w:w="358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274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33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960"/>
          </w:cols>
          <w:pgMar w:left="700" w:top="121" w:right="239" w:bottom="1440" w:gutter="0" w:footer="0" w:header="0"/>
        </w:sectPr>
      </w:pPr>
    </w:p>
    <w:bookmarkStart w:id="260" w:name="page261"/>
    <w:bookmarkEnd w:id="2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Buster Productions Inc.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C-28 FCC Licensee Subsidiary,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Caroline Films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CBS/CTS Airport Network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CBS/CTS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CBS/Westinghouse of PA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(PDI) Distribution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247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Advertiser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AJV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All Access International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Asia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Broadcast International Asia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Broadcasting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Broadcasting West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Channel 10/55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Communications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Communications Technology Group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Consumer Products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Corporate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CW Network Partner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DBS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DEC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Domains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EcoMedia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Employee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Executive Services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Experiences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Film Funding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Films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Films Distribution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Films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First Run Development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First Run Limited</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Foundation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General Entertainment Australia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Home Entertainment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Holdings (Mexico)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Hollywood Partner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IDA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Interactive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Interactive Media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International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IRB Acquisition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Japan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K-Band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1" w:name="page262"/>
    <w:bookmarkEnd w:id="2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Last FM Holding Inc.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LITV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CBS-Lux Holding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Lyrics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Mass Media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MaxPreps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Media Realty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Music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News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Operations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Operations Investments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Operations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Outdoor Investments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Overseas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Overseas Productions Two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Phoenix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Pictures Overseas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PNW Sports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Receivables Funding II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Receivables Funding III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Records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Retail Stores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CBS–Sac Music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Satellite News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Shopping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Sports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Stations Group of Texas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Stock Holdings I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Studios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Studios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Studios Overseas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Studios Productions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Subsidiary Management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Survivor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Technology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Television Licenses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Television Service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Television Stations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Temp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TVG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UAC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Worldwide Distribution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CBS World Wide Ltd.</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CBT Sports,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CCG Ventures,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2" w:name="page263"/>
    <w:bookmarkEnd w:id="2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Central Fidelity Insurance Company</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Vermont</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Centurion Satellite Broadcast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Championship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Channel 28 Television Station,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Channel 34 Television Station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Charter Crude Oil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Charter Futures Trading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Charter Media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Charter Oil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Charter Oil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Chazo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CIOC Remediation Trust</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CIOC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Classless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Clicker Media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CNET Investments,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Columbia Television,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Comanche Moon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Mexico</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Comicbook.com,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Tennessee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Commissioner.com,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Compelling Music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Concord Entertainment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Consolidated Caguas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Cross Step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CSTV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CSTV Online,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CSTV Regional,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CSTV-A,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CSTV-B,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Danni Productions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Louisiana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Davis Circle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 Resource Beneficiary,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 Resource Lessee Trust</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 Resource Management,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Desilu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Detroit Television Station WKBD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Digital Video Ops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Dotspotter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Dutch Holding I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Dutch Holding II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Dutchess Resource Management,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Dynamic Soap,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Eagle Direct,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Elite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Elysium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Energy Development Associates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3" w:name="page264"/>
    <w:bookmarkEnd w:id="2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EPI Music LLC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Erica Film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ET Media Group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Evergreen Programs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EWB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Eye Animation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Eye Creative Media Group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Eye Explorations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Eye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FHT Media Holdings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Fifty-Sixth Century Antrim Iron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Film Intex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Films Ventures (Fiji)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First Hotel Investment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Forty-Fourth Century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Four Crowns,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French Street Management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Front Street Management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G&amp;W Leasing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G&amp;W Natural Resources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Games Exchange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Gateway Fleet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Glendale Property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Glory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Gloucester Titanium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GNS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GolfWeb</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Gorgen,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Grammar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Gramofair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Granite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Granville LA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Louisiana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Granville Pictures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Green Tiger Press,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Group W Television Stations, L.P.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Gulf &amp; Western Indonesia,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H R Acquisition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Hamilton Projects,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Image Edit,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IMR Acquisition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Inside Edition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Interstitial Programs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Irvine Games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Irvine Games USA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Jumbo Ticket Songs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Just U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4" w:name="page265"/>
    <w:bookmarkEnd w:id="2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K.W. M., Inc.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Katled Systems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Kilo Mining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Development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Direct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Media Sales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Merchandising,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 Studios West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King World/CC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Kristina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KUTV Holdings,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KW Development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KWP/RR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KWP Studios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KWTS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Large Ticket Songs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Late Night Cartoons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Laurel Entertainment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Liliana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Lincoln Point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Los Angeles Television Station KCAL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Low Key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LT Holdings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Maarten Investerings Partnership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Magical Jade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Magic Molehill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Matlock Company, The</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Mattalex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Melrose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Meredith Productions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Merlot Film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Merritt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Miami Television Station WBFS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MVP.com Sports,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Narrabeen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New Jersey Zinc Exploration Company, The</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Nicki Film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North Shore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NTA Films,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 Good Songs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O’Connor Combustor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OM/TV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On Broadband Networks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Orange Ball Networks Subsidiary PRC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5" w:name="page266"/>
    <w:bookmarkEnd w:id="2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OurChart.com LLC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Our Home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Outlet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Part-Time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PCCGW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PCI Canada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PCI Network Partner II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PCI Network Partner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Permutation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Philadelphia Television Station WPSG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Pittsburgh Television Station WPCW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PMV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Possible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Possum Point Incorporated</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Pottle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Preye,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Proxy Music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Quemahoning Coal Processing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Radford Studio Center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Raquel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Real TV Music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Recovery Ventures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Republic Distribution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Republic Entertainment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Republic Pictures Enterprises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Republic Pictures Productions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RH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RTV News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RTV News Music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Sacramento Television Stations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Salton Sea Songs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San Francisco Television Station KBCW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Saucon Valley Iron and Railroad Company, The</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SBX Acquisition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Scott-Mattson Farms,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Ship House,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SHOtunes Music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 Works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Digital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Live Entertainment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Marketing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Melodies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Networks Inc. (U.K.)</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Networks Satellite Programming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Online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6" w:name="page267"/>
    <w:bookmarkEnd w:id="2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Pictures Development Company</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Satellite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 Songs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Showtime/Sundance Holding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SIFO One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SIFO Two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Simon &amp; Schuster Digital Sales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Simon &amp; Schuster Global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Simon &amp; Schuster India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Simon &amp; Schuster International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Simon &amp; Schuster,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SN Digital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SNI/SI Networks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Soapmusic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Solar Service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SongFair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Daytime Songs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Daytime Television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Entertainment Group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Entertainment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Satellite Networks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Spelling Television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SportsLine.com,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St. Johns Realty Investors</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Starfish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Stargate Acquisition Corp. One</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Stat Crew Software,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Stranglehold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Sunset Beach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Survivor Productions,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Swift Justice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T&amp;R Payroll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Taylor Forge Memphis,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TDI Worldwide Investments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Television Station KTXA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Television Station WTCN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The CW Television Stations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The Late Show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They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Things of the Wild Songs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Third Century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Thirteenth Century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Thirtieth Century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Timber Purchase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Toe-to-Toe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Torand Payroll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7" w:name="page268"/>
    <w:bookmarkEnd w:id="2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Torand Productions Inc.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Total Warehouse Services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Trans-American Resources,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TSM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Tube Mill,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TV Guide Online Holdings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TV Scoop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UPN (general partnership)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UPN Holding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UPN Properties,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Ureal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VE Development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VE Drive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VE Television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VI Services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VISI Services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Visions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VJK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VNM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VP Direct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VPix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VP Programs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VSC Compositions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VSC Music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Waste Resource Energy,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WBCE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WCC FSC I,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WCC Project Corp.</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Westgate Pictures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Aircraft Leasing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Asset Management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Canada Holdings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CBS Holding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Electric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Environmental Management Company of Ohio,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Hanford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Holdings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Idaho Nuclear Company,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Investment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Licensing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Reinvestment Company,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Westinghouse World Investment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W-F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Wilshire Entertainment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Wilshire/Hauser Company</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World Volleyball League,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40"/>
          </w:cols>
          <w:pgMar w:left="700" w:top="498" w:right="659" w:bottom="1440" w:gutter="0" w:footer="0" w:header="0"/>
        </w:sectPr>
      </w:pPr>
    </w:p>
    <w:bookmarkStart w:id="268" w:name="page269"/>
    <w:bookmarkEnd w:id="268"/>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74"/>
        </w:trPr>
        <w:tc>
          <w:tcPr>
            <w:tcW w:w="6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Worldvision Enterprises LLC</w:t>
            </w:r>
          </w:p>
        </w:tc>
        <w:tc>
          <w:tcPr>
            <w:tcW w:w="3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Worldvision Enterprises (United Kingdom) Ltd.</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Worldvision Enterprises of Canada, Limited</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Worldvision Home Video LLC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WPIC Corporation</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WT Animal Music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WT Productions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York Resource Energy Systems,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r>
        <w:trPr>
          <w:trHeight w:val="254"/>
        </w:trPr>
        <w:tc>
          <w:tcPr>
            <w:tcW w:w="696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Young Reader’s Press, Inc.</w:t>
            </w:r>
          </w:p>
        </w:tc>
        <w:tc>
          <w:tcPr>
            <w:tcW w:w="35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960" w:type="dxa"/>
            <w:vAlign w:val="bottom"/>
            <w:tcBorders>
              <w:left w:val="single" w:sz="8" w:color="00000A"/>
              <w:bottom w:val="single" w:sz="8" w:color="00000A"/>
              <w:right w:val="single" w:sz="8" w:color="00000A"/>
            </w:tcBorders>
          </w:tcPr>
          <w:p>
            <w:pPr>
              <w:spacing w:after="0"/>
              <w:rPr>
                <w:sz w:val="2"/>
                <w:szCs w:val="2"/>
                <w:color w:val="auto"/>
              </w:rPr>
            </w:pPr>
          </w:p>
        </w:tc>
        <w:tc>
          <w:tcPr>
            <w:tcW w:w="3580" w:type="dxa"/>
            <w:vAlign w:val="bottom"/>
            <w:tcBorders>
              <w:bottom w:val="single" w:sz="8" w:color="00000A"/>
              <w:right w:val="single" w:sz="8" w:color="00000A"/>
            </w:tcBorders>
          </w:tcPr>
          <w:p>
            <w:pPr>
              <w:spacing w:after="0"/>
              <w:rPr>
                <w:sz w:val="2"/>
                <w:szCs w:val="2"/>
                <w:color w:val="auto"/>
              </w:rPr>
            </w:pPr>
          </w:p>
        </w:tc>
      </w:tr>
    </w:tbl>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4"/>
          </w:tcPr>
          <w:p>
            <w:pPr>
              <w:ind w:left="140"/>
              <w:spacing w:after="0"/>
              <w:rPr>
                <w:sz w:val="20"/>
                <w:szCs w:val="20"/>
                <w:color w:val="auto"/>
              </w:rPr>
            </w:pPr>
            <w:r>
              <w:rPr>
                <w:rFonts w:ascii="Arial" w:cs="Arial" w:eastAsia="Arial" w:hAnsi="Arial"/>
                <w:sz w:val="22"/>
                <w:szCs w:val="22"/>
                <w:b w:val="1"/>
                <w:bCs w:val="1"/>
                <w:color w:val="auto"/>
              </w:rPr>
              <w:t>INTERNATIONAL</w:t>
            </w:r>
          </w:p>
        </w:tc>
      </w:tr>
      <w:tr>
        <w:trPr>
          <w:trHeight w:val="125"/>
        </w:trPr>
        <w:tc>
          <w:tcPr>
            <w:tcW w:w="2620" w:type="dxa"/>
            <w:vAlign w:val="bottom"/>
            <w:tcBorders>
              <w:bottom w:val="single" w:sz="8" w:color="00000A"/>
            </w:tcBorders>
          </w:tcPr>
          <w:p>
            <w:pPr>
              <w:spacing w:after="0"/>
              <w:rPr>
                <w:sz w:val="10"/>
                <w:szCs w:val="10"/>
                <w:color w:val="auto"/>
              </w:rPr>
            </w:pPr>
          </w:p>
        </w:tc>
        <w:tc>
          <w:tcPr>
            <w:tcW w:w="1460" w:type="dxa"/>
            <w:vAlign w:val="bottom"/>
            <w:tcBorders>
              <w:bottom w:val="single" w:sz="8" w:color="00000A"/>
            </w:tcBorders>
          </w:tcPr>
          <w:p>
            <w:pPr>
              <w:spacing w:after="0"/>
              <w:rPr>
                <w:sz w:val="10"/>
                <w:szCs w:val="10"/>
                <w:color w:val="auto"/>
              </w:rPr>
            </w:pPr>
          </w:p>
        </w:tc>
        <w:tc>
          <w:tcPr>
            <w:tcW w:w="160" w:type="dxa"/>
            <w:vAlign w:val="bottom"/>
            <w:tcBorders>
              <w:bottom w:val="single" w:sz="8" w:color="00000A"/>
            </w:tcBorders>
          </w:tcPr>
          <w:p>
            <w:pPr>
              <w:spacing w:after="0"/>
              <w:rPr>
                <w:sz w:val="10"/>
                <w:szCs w:val="10"/>
                <w:color w:val="auto"/>
              </w:rPr>
            </w:pPr>
          </w:p>
        </w:tc>
        <w:tc>
          <w:tcPr>
            <w:tcW w:w="2480" w:type="dxa"/>
            <w:vAlign w:val="bottom"/>
            <w:tcBorders>
              <w:bottom w:val="single" w:sz="8" w:color="00000A"/>
            </w:tcBorders>
          </w:tcPr>
          <w:p>
            <w:pPr>
              <w:spacing w:after="0"/>
              <w:rPr>
                <w:sz w:val="10"/>
                <w:szCs w:val="10"/>
                <w:color w:val="auto"/>
              </w:rPr>
            </w:pPr>
          </w:p>
        </w:tc>
        <w:tc>
          <w:tcPr>
            <w:tcW w:w="760" w:type="dxa"/>
            <w:vAlign w:val="bottom"/>
            <w:tcBorders>
              <w:bottom w:val="single" w:sz="8" w:color="00000A"/>
            </w:tcBorders>
          </w:tcPr>
          <w:p>
            <w:pPr>
              <w:spacing w:after="0"/>
              <w:rPr>
                <w:sz w:val="10"/>
                <w:szCs w:val="10"/>
                <w:color w:val="auto"/>
              </w:rPr>
            </w:pPr>
          </w:p>
        </w:tc>
        <w:tc>
          <w:tcPr>
            <w:tcW w:w="1900" w:type="dxa"/>
            <w:vAlign w:val="bottom"/>
            <w:tcBorders>
              <w:bottom w:val="single" w:sz="8" w:color="00000A"/>
            </w:tcBorders>
          </w:tcPr>
          <w:p>
            <w:pPr>
              <w:spacing w:after="0"/>
              <w:rPr>
                <w:sz w:val="10"/>
                <w:szCs w:val="10"/>
                <w:color w:val="auto"/>
              </w:rPr>
            </w:pPr>
          </w:p>
        </w:tc>
        <w:tc>
          <w:tcPr>
            <w:tcW w:w="780" w:type="dxa"/>
            <w:vAlign w:val="bottom"/>
            <w:tcBorders>
              <w:bottom w:val="single" w:sz="8" w:color="00000A"/>
            </w:tcBorders>
          </w:tcPr>
          <w:p>
            <w:pPr>
              <w:spacing w:after="0"/>
              <w:rPr>
                <w:sz w:val="10"/>
                <w:szCs w:val="10"/>
                <w:color w:val="auto"/>
              </w:rPr>
            </w:pPr>
          </w:p>
        </w:tc>
      </w:tr>
      <w:tr>
        <w:trPr>
          <w:trHeight w:val="210"/>
        </w:trPr>
        <w:tc>
          <w:tcPr>
            <w:tcW w:w="2620" w:type="dxa"/>
            <w:vAlign w:val="bottom"/>
            <w:tcBorders>
              <w:left w:val="single" w:sz="8" w:color="00000A"/>
            </w:tcBorders>
          </w:tcPr>
          <w:p>
            <w:pPr>
              <w:spacing w:after="0"/>
              <w:rPr>
                <w:sz w:val="18"/>
                <w:szCs w:val="18"/>
                <w:color w:val="auto"/>
              </w:rPr>
            </w:pPr>
          </w:p>
        </w:tc>
        <w:tc>
          <w:tcPr>
            <w:tcW w:w="1620" w:type="dxa"/>
            <w:vAlign w:val="bottom"/>
            <w:gridSpan w:val="2"/>
          </w:tcPr>
          <w:p>
            <w:pPr>
              <w:spacing w:after="0" w:line="209" w:lineRule="exact"/>
              <w:rPr>
                <w:sz w:val="20"/>
                <w:szCs w:val="20"/>
                <w:color w:val="auto"/>
              </w:rPr>
            </w:pPr>
            <w:r>
              <w:rPr>
                <w:rFonts w:ascii="Arial" w:cs="Arial" w:eastAsia="Arial" w:hAnsi="Arial"/>
                <w:sz w:val="20"/>
                <w:szCs w:val="20"/>
                <w:b w:val="1"/>
                <w:bCs w:val="1"/>
                <w:color w:val="auto"/>
                <w:w w:val="98"/>
              </w:rPr>
              <w:t>Subsidiary Name</w:t>
            </w:r>
          </w:p>
        </w:tc>
        <w:tc>
          <w:tcPr>
            <w:tcW w:w="2480" w:type="dxa"/>
            <w:vAlign w:val="bottom"/>
            <w:tcBorders>
              <w:right w:val="single" w:sz="8" w:color="00000A"/>
            </w:tcBorders>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Borders>
              <w:right w:val="single" w:sz="8" w:color="00000A"/>
            </w:tcBorders>
            <w:gridSpan w:val="2"/>
          </w:tcPr>
          <w:p>
            <w:pPr>
              <w:spacing w:after="0" w:line="209" w:lineRule="exact"/>
              <w:rPr>
                <w:sz w:val="20"/>
                <w:szCs w:val="20"/>
                <w:color w:val="auto"/>
              </w:rPr>
            </w:pPr>
            <w:r>
              <w:rPr>
                <w:rFonts w:ascii="Arial" w:cs="Arial" w:eastAsia="Arial" w:hAnsi="Arial"/>
                <w:sz w:val="20"/>
                <w:szCs w:val="20"/>
                <w:b w:val="1"/>
                <w:bCs w:val="1"/>
                <w:color w:val="auto"/>
              </w:rPr>
              <w:t>Place of Incorporation</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460" w:type="dxa"/>
            <w:vAlign w:val="bottom"/>
            <w:tcBorders>
              <w:top w:val="single" w:sz="8" w:color="auto"/>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48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190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right w:val="single" w:sz="8" w:color="00000A"/>
            </w:tcBorders>
          </w:tcPr>
          <w:p>
            <w:pPr>
              <w:spacing w:after="0"/>
              <w:rPr>
                <w:sz w:val="4"/>
                <w:szCs w:val="4"/>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14 Hours Productions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4400 Productions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1928778 Ontario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AG Films Canada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Audioscrobbler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Bahamas Underwriters Services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Cania Productions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Caprice Pty Ltd.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Cayman Overseas Reinsurance Association</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CBS-CSI International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All Access International UK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Australia Holding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Broadcast International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Broadcast Kingworld Distribution CV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Broadcast International of Canada Ltd.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Broadcast Services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Canada Co.</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(Nova Scotia)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Canada Holdings Co.</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(Nova Scotia)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Canadian Film and Television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CSI Distribution CV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EMEA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Enterprises (UK)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Films Canadian Productions Inc.</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Holding (Germany)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Holdings (Germany) II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Interactive GmbH</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Interactive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Interactive Pte Ltd.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Interactive Pty. Ltd.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(Netherlands)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GmbH</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Holdings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Holdings UK Limited</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4240" w:type="dxa"/>
            <w:vAlign w:val="bottom"/>
            <w:tcBorders>
              <w:lef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Sales Holdings B.V.</w:t>
            </w:r>
          </w:p>
        </w:tc>
        <w:tc>
          <w:tcPr>
            <w:tcW w:w="2480" w:type="dxa"/>
            <w:vAlign w:val="bottom"/>
            <w:tcBorders>
              <w:right w:val="single" w:sz="8" w:color="00000A"/>
            </w:tcBorders>
          </w:tcPr>
          <w:p>
            <w:pPr>
              <w:spacing w:after="0"/>
              <w:rPr>
                <w:sz w:val="22"/>
                <w:szCs w:val="22"/>
                <w:color w:val="auto"/>
              </w:rPr>
            </w:pP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80"/>
          </w:cols>
          <w:pgMar w:left="660" w:top="498" w:right="659" w:bottom="1440" w:gutter="0" w:footer="0" w:header="0"/>
        </w:sectPr>
      </w:pPr>
    </w:p>
    <w:bookmarkStart w:id="269" w:name="page270"/>
    <w:bookmarkEnd w:id="2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tcBorders>
              <w:top w:val="single" w:sz="8" w:color="00000A"/>
              <w:left w:val="single" w:sz="8" w:color="00000A"/>
            </w:tcBorders>
          </w:tcPr>
          <w:p>
            <w:pPr>
              <w:spacing w:after="0"/>
              <w:rPr>
                <w:sz w:val="19"/>
                <w:szCs w:val="19"/>
                <w:color w:val="auto"/>
              </w:rPr>
            </w:pPr>
          </w:p>
        </w:tc>
        <w:tc>
          <w:tcPr>
            <w:tcW w:w="41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Subsidiary Name</w:t>
            </w:r>
          </w:p>
        </w:tc>
        <w:tc>
          <w:tcPr>
            <w:tcW w:w="760" w:type="dxa"/>
            <w:vAlign w:val="bottom"/>
            <w:tcBorders>
              <w:top w:val="single" w:sz="8" w:color="00000A"/>
            </w:tcBorders>
          </w:tcPr>
          <w:p>
            <w:pPr>
              <w:spacing w:after="0"/>
              <w:rPr>
                <w:sz w:val="19"/>
                <w:szCs w:val="19"/>
                <w:color w:val="auto"/>
              </w:rPr>
            </w:pPr>
          </w:p>
        </w:tc>
        <w:tc>
          <w:tcPr>
            <w:tcW w:w="26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Place of Incorporation</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460" w:type="dxa"/>
            <w:vAlign w:val="bottom"/>
            <w:tcBorders>
              <w:top w:val="single" w:sz="8" w:color="auto"/>
              <w:bottom w:val="single" w:sz="8" w:color="00000A"/>
            </w:tcBorders>
          </w:tcPr>
          <w:p>
            <w:pPr>
              <w:spacing w:after="0"/>
              <w:rPr>
                <w:sz w:val="4"/>
                <w:szCs w:val="4"/>
                <w:color w:val="auto"/>
              </w:rPr>
            </w:pPr>
          </w:p>
        </w:tc>
        <w:tc>
          <w:tcPr>
            <w:tcW w:w="264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190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right w:val="single" w:sz="8" w:color="00000A"/>
            </w:tcBorders>
          </w:tcPr>
          <w:p>
            <w:pPr>
              <w:spacing w:after="0"/>
              <w:rPr>
                <w:sz w:val="4"/>
                <w:szCs w:val="4"/>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Television (UK)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Television Australia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Television Holdings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Television Italia Srl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International Television Japan GK</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Luxembourg S.a.r.l.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Luxembourg</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Netherlands Global Holding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Netherlands Asia Pacific Holding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Netherlands Worldwide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Network Ten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Outdoor Metro Services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Productions UK Holdings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Publishing UK Holdings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 AG</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Showtime Distribution C.V.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Stages Canada Co.</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(Nova Scotia)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Studios Distribution C.V.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Studios Distribution UK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UK</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UK Channels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UK Productions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SEA Channels Pte.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Studios Netherlands Holding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CBS Worldwide Distribution C.V.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Channel Community Networks Corporation</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Channel Services GmbH</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Channel Services Holdings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Charter Oil (Bahamas)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Charter Oil Specialties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Chartreuse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Chuanmei Information Technologies (Shanghai) Co.,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CN Pilot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Columbia Broadcasting System (Barbados) SRL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Barbados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Columbia Broadcasting System Holdings UK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Columbia Broadcasting System International (Barbados) SRL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Barbados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Danger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dFactory Sarl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Elevenco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Famous Players Investments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First Cut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GFB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Grand Bahama Petroleum Company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Grande Alliance Co.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Granville Canadian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Gravity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160"/>
          </w:cols>
          <w:pgMar w:left="660" w:top="498" w:right="1079" w:bottom="1440" w:gutter="0" w:footer="0" w:header="0"/>
        </w:sectPr>
      </w:pPr>
    </w:p>
    <w:bookmarkStart w:id="270" w:name="page271"/>
    <w:bookmarkEnd w:id="2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tcBorders>
              <w:top w:val="single" w:sz="8" w:color="00000A"/>
              <w:left w:val="single" w:sz="8" w:color="00000A"/>
            </w:tcBorders>
          </w:tcPr>
          <w:p>
            <w:pPr>
              <w:spacing w:after="0"/>
              <w:rPr>
                <w:sz w:val="19"/>
                <w:szCs w:val="19"/>
                <w:color w:val="auto"/>
              </w:rPr>
            </w:pPr>
          </w:p>
        </w:tc>
        <w:tc>
          <w:tcPr>
            <w:tcW w:w="41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Subsidiary Name</w:t>
            </w:r>
          </w:p>
        </w:tc>
        <w:tc>
          <w:tcPr>
            <w:tcW w:w="760" w:type="dxa"/>
            <w:vAlign w:val="bottom"/>
            <w:tcBorders>
              <w:top w:val="single" w:sz="8" w:color="00000A"/>
            </w:tcBorders>
          </w:tcPr>
          <w:p>
            <w:pPr>
              <w:spacing w:after="0"/>
              <w:rPr>
                <w:sz w:val="19"/>
                <w:szCs w:val="19"/>
                <w:color w:val="auto"/>
              </w:rPr>
            </w:pPr>
          </w:p>
        </w:tc>
        <w:tc>
          <w:tcPr>
            <w:tcW w:w="26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Place of Incorporation</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460" w:type="dxa"/>
            <w:vAlign w:val="bottom"/>
            <w:tcBorders>
              <w:top w:val="single" w:sz="8" w:color="auto"/>
              <w:bottom w:val="single" w:sz="8" w:color="00000A"/>
            </w:tcBorders>
          </w:tcPr>
          <w:p>
            <w:pPr>
              <w:spacing w:after="0"/>
              <w:rPr>
                <w:sz w:val="4"/>
                <w:szCs w:val="4"/>
                <w:color w:val="auto"/>
              </w:rPr>
            </w:pPr>
          </w:p>
        </w:tc>
        <w:tc>
          <w:tcPr>
            <w:tcW w:w="264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190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right w:val="single" w:sz="8" w:color="00000A"/>
            </w:tcBorders>
          </w:tcPr>
          <w:p>
            <w:pPr>
              <w:spacing w:after="0"/>
              <w:rPr>
                <w:sz w:val="4"/>
                <w:szCs w:val="4"/>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Gulf &amp; Western do Brazil Industria e Comercio Limitada (in liquidation)</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Gulf &amp; Western International N.V.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 Antilles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Gulf &amp; Western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International Raw Materials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KAPCAN1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Last.FM Acquisition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Last.FM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LS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Mayday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Most Watched Media C.V.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Most Watched Media Holdings C.V.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All Access Pty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(Adelaide)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(Brisbane)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(Melbourne)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(Perth)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Network Ten ( Sydney)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New Coral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New Providence Assurance Company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Bahamas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PC Home Cayman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Pocket Books of Canada,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(Federal)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Prospect Company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R.G.L. Realty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Republic Pictures Corporation of Canada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Sagia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Salvation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SF Films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Showtime Canada ULC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(Alberta)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Showtime Distribution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Simon &amp; Schuster (Australia)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Simon &amp; Schuster (UK)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UK</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Simon &amp; Schuster of Canada (1976)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(Federal)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Simon &amp; Schuster Publishers India Private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Spelling Television (Canada)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Spelling Television Quebec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(Federal)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St. Francis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St. Ives Company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Cayman Islands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Streak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TB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Tele-Vu Ltee.</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(Federal)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Television &amp; Telecasters (Properties)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Ten Employee Share Purchase Plans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Ten Network Holdings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Ten Online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160"/>
          </w:cols>
          <w:pgMar w:left="660" w:top="498" w:right="1079" w:bottom="1440" w:gutter="0" w:footer="0" w:header="0"/>
        </w:sectPr>
      </w:pPr>
    </w:p>
    <w:bookmarkStart w:id="271" w:name="page272"/>
    <w:bookmarkEnd w:id="271"/>
    <w:p>
      <w:pPr>
        <w:spacing w:after="0" w:line="1"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2620" w:type="dxa"/>
            <w:vAlign w:val="bottom"/>
            <w:tcBorders>
              <w:top w:val="single" w:sz="8" w:color="00000A"/>
              <w:left w:val="single" w:sz="8" w:color="00000A"/>
            </w:tcBorders>
          </w:tcPr>
          <w:p>
            <w:pPr>
              <w:spacing w:after="0"/>
              <w:rPr>
                <w:sz w:val="19"/>
                <w:szCs w:val="19"/>
                <w:color w:val="auto"/>
              </w:rPr>
            </w:pPr>
          </w:p>
        </w:tc>
        <w:tc>
          <w:tcPr>
            <w:tcW w:w="41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Subsidiary Name</w:t>
            </w:r>
          </w:p>
        </w:tc>
        <w:tc>
          <w:tcPr>
            <w:tcW w:w="760" w:type="dxa"/>
            <w:vAlign w:val="bottom"/>
            <w:tcBorders>
              <w:top w:val="single" w:sz="8" w:color="00000A"/>
            </w:tcBorders>
          </w:tcPr>
          <w:p>
            <w:pPr>
              <w:spacing w:after="0"/>
              <w:rPr>
                <w:sz w:val="19"/>
                <w:szCs w:val="19"/>
                <w:color w:val="auto"/>
              </w:rPr>
            </w:pPr>
          </w:p>
        </w:tc>
        <w:tc>
          <w:tcPr>
            <w:tcW w:w="26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b w:val="1"/>
                <w:bCs w:val="1"/>
                <w:color w:val="auto"/>
              </w:rPr>
              <w:t>Place of Incorporation</w:t>
            </w:r>
          </w:p>
        </w:tc>
      </w:tr>
      <w:tr>
        <w:trPr>
          <w:trHeight w:val="48"/>
        </w:trPr>
        <w:tc>
          <w:tcPr>
            <w:tcW w:w="2620" w:type="dxa"/>
            <w:vAlign w:val="bottom"/>
            <w:tcBorders>
              <w:left w:val="single" w:sz="8" w:color="00000A"/>
              <w:bottom w:val="single" w:sz="8" w:color="00000A"/>
            </w:tcBorders>
          </w:tcPr>
          <w:p>
            <w:pPr>
              <w:spacing w:after="0"/>
              <w:rPr>
                <w:sz w:val="4"/>
                <w:szCs w:val="4"/>
                <w:color w:val="auto"/>
              </w:rPr>
            </w:pPr>
          </w:p>
        </w:tc>
        <w:tc>
          <w:tcPr>
            <w:tcW w:w="1460" w:type="dxa"/>
            <w:vAlign w:val="bottom"/>
            <w:tcBorders>
              <w:top w:val="single" w:sz="8" w:color="auto"/>
              <w:bottom w:val="single" w:sz="8" w:color="00000A"/>
            </w:tcBorders>
          </w:tcPr>
          <w:p>
            <w:pPr>
              <w:spacing w:after="0"/>
              <w:rPr>
                <w:sz w:val="4"/>
                <w:szCs w:val="4"/>
                <w:color w:val="auto"/>
              </w:rPr>
            </w:pPr>
          </w:p>
        </w:tc>
        <w:tc>
          <w:tcPr>
            <w:tcW w:w="264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190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right w:val="single" w:sz="8" w:color="00000A"/>
            </w:tcBorders>
          </w:tcPr>
          <w:p>
            <w:pPr>
              <w:spacing w:after="0"/>
              <w:rPr>
                <w:sz w:val="4"/>
                <w:szCs w:val="4"/>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Ten Ventures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The Ten Group Pty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TMI International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Ultra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VBC Pilot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Viper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(B.C.)</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Westinghouse Asia Pacific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Hong Kong</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Westinghouse International Holding UK Limited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Woburn Insurance Ltd.</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Bermuda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Worldvision Enterprises (France) SARL</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Worldvision Enterprises de Venezuela</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Venezuela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Worldvision Enterprises Latino-Americana, S.A.</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Panama</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Worldvision Filmes do Brasil, Ltda.</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WVI Films B.V.</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54"/>
        </w:trPr>
        <w:tc>
          <w:tcPr>
            <w:tcW w:w="67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YP Productions Inc.</w:t>
            </w:r>
          </w:p>
        </w:tc>
        <w:tc>
          <w:tcPr>
            <w:tcW w:w="344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Canada (Ontario)</w:t>
            </w:r>
          </w:p>
        </w:tc>
      </w:tr>
      <w:tr>
        <w:trPr>
          <w:trHeight w:val="23"/>
        </w:trPr>
        <w:tc>
          <w:tcPr>
            <w:tcW w:w="2620" w:type="dxa"/>
            <w:vAlign w:val="bottom"/>
            <w:tcBorders>
              <w:left w:val="single" w:sz="8" w:color="00000A"/>
              <w:bottom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264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Item 601(b)(21)(ii) of Regulation S-K, the names of other subsidiaries of CBS Corporation are omitted because, considered in the aggregate, they would not constitute a significant subsidiary as of the end of the fiscal year covered by this Annual Report on Form 10-K.</w:t>
      </w:r>
    </w:p>
    <w:p>
      <w:pPr>
        <w:sectPr>
          <w:pgSz w:w="11900" w:h="16838" w:orient="portrait"/>
          <w:cols w:equalWidth="0" w:num="1">
            <w:col w:w="11100"/>
          </w:cols>
          <w:pgMar w:left="240" w:top="498" w:right="559" w:bottom="1440" w:gutter="0" w:footer="0" w:header="0"/>
        </w:sectPr>
      </w:pPr>
    </w:p>
    <w:bookmarkStart w:id="272" w:name="page273"/>
    <w:bookmarkEnd w:id="272"/>
    <w:p>
      <w:pPr>
        <w:jc w:val="right"/>
        <w:spacing w:after="0"/>
        <w:rPr>
          <w:sz w:val="20"/>
          <w:szCs w:val="20"/>
          <w:color w:val="auto"/>
        </w:rPr>
      </w:pPr>
      <w:r>
        <w:rPr>
          <w:rFonts w:ascii="Arial" w:cs="Arial" w:eastAsia="Arial" w:hAnsi="Arial"/>
          <w:sz w:val="20"/>
          <w:szCs w:val="20"/>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We hereby consent to the incorporation by reference in the Registration Statements on Form S-3 (No. 333-221338) and Forms S-8 (No. 333-55346, No. 333-82422, No. 333-164441, No. 333-192673, No. 333-198455 and No. 333-204282) of CBS Corporation of our report dated February 15, 2019 relating to the consolidated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9"/>
          <w:szCs w:val="19"/>
          <w:color w:val="auto"/>
        </w:rPr>
        <w:t>PRICEWATERHOUSECOOPERS LLP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February 15, 2019</w:t>
      </w:r>
    </w:p>
    <w:p>
      <w:pPr>
        <w:sectPr>
          <w:pgSz w:w="11900" w:h="16838" w:orient="portrait"/>
          <w:cols w:equalWidth="0" w:num="1">
            <w:col w:w="11420"/>
          </w:cols>
          <w:pgMar w:left="240" w:top="806"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0"/>
          <w:szCs w:val="20"/>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25641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Print Name: Candace K. Beinecke</w:t>
      </w:r>
    </w:p>
    <w:p>
      <w:pPr>
        <w:sectPr>
          <w:pgSz w:w="11900" w:h="16838" w:orient="portrait"/>
          <w:cols w:equalWidth="0" w:num="1">
            <w:col w:w="11420"/>
          </w:cols>
          <w:pgMar w:left="240" w:top="576" w:right="239" w:bottom="1440" w:gutter="0" w:footer="0" w:header="0"/>
        </w:sectPr>
      </w:pPr>
    </w:p>
    <w:bookmarkStart w:id="274" w:name="page275"/>
    <w:bookmarkEnd w:id="274"/>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320"/>
        <w:spacing w:after="0"/>
        <w:tabs>
          <w:tab w:leader="none" w:pos="62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24765</wp:posOffset>
            </wp:positionV>
            <wp:extent cx="25641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Print Name: Barbara M. Byrne</w:t>
      </w:r>
    </w:p>
    <w:p>
      <w:pPr>
        <w:sectPr>
          <w:pgSz w:w="11900" w:h="16838" w:orient="portrait"/>
          <w:cols w:equalWidth="0" w:num="1">
            <w:col w:w="11300"/>
          </w:cols>
          <w:pgMar w:left="240" w:top="882" w:right="359" w:bottom="1440" w:gutter="0" w:footer="0" w:header="0"/>
        </w:sectPr>
      </w:pPr>
    </w:p>
    <w:bookmarkStart w:id="275" w:name="page276"/>
    <w:bookmarkEnd w:id="275"/>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500"/>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Gary L. Countryman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Gary L. Countryman</w:t>
      </w:r>
    </w:p>
    <w:p>
      <w:pPr>
        <w:sectPr>
          <w:pgSz w:w="11900" w:h="16838" w:orient="portrait"/>
          <w:cols w:equalWidth="0" w:num="1">
            <w:col w:w="11300"/>
          </w:cols>
          <w:pgMar w:left="240" w:top="882" w:right="359" w:bottom="1440" w:gutter="0" w:footer="0" w:header="0"/>
        </w:sectPr>
      </w:pPr>
    </w:p>
    <w:bookmarkStart w:id="276" w:name="page277"/>
    <w:bookmarkEnd w:id="276"/>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24765</wp:posOffset>
            </wp:positionV>
            <wp:extent cx="2418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Print Name: Brian Goldner</w:t>
      </w:r>
    </w:p>
    <w:p>
      <w:pPr>
        <w:sectPr>
          <w:pgSz w:w="11900" w:h="16838" w:orient="portrait"/>
          <w:cols w:equalWidth="0" w:num="1">
            <w:col w:w="11300"/>
          </w:cols>
          <w:pgMar w:left="240" w:top="625" w:right="359" w:bottom="1440" w:gutter="0" w:footer="0" w:header="0"/>
        </w:sectPr>
      </w:pPr>
    </w:p>
    <w:bookmarkStart w:id="277" w:name="page278"/>
    <w:bookmarkEnd w:id="277"/>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5298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Print Name: Linda M. Griego</w:t>
      </w:r>
    </w:p>
    <w:p>
      <w:pPr>
        <w:sectPr>
          <w:pgSz w:w="11900" w:h="16838" w:orient="portrait"/>
          <w:cols w:equalWidth="0" w:num="1">
            <w:col w:w="11300"/>
          </w:cols>
          <w:pgMar w:left="240" w:top="626" w:right="359" w:bottom="1440" w:gutter="0" w:footer="0" w:header="0"/>
        </w:sectPr>
      </w:pPr>
    </w:p>
    <w:bookmarkStart w:id="278" w:name="page279"/>
    <w:bookmarkEnd w:id="278"/>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00"/>
        <w:spacing w:after="0"/>
        <w:tabs>
          <w:tab w:leader="none" w:pos="64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24765</wp:posOffset>
            </wp:positionV>
            <wp:extent cx="21609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Print Name: Robert N. Klieger</w:t>
      </w:r>
    </w:p>
    <w:p>
      <w:pPr>
        <w:sectPr>
          <w:pgSz w:w="11900" w:h="16838" w:orient="portrait"/>
          <w:cols w:equalWidth="0" w:num="1">
            <w:col w:w="11300"/>
          </w:cols>
          <w:pgMar w:left="240" w:top="625" w:right="359" w:bottom="1440" w:gutter="0" w:footer="0" w:header="0"/>
        </w:sectPr>
      </w:pPr>
    </w:p>
    <w:bookmarkStart w:id="279" w:name="page280"/>
    <w:bookmarkEnd w:id="279"/>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Martha L. Minow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2466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Martha L. Minow</w:t>
      </w:r>
    </w:p>
    <w:p>
      <w:pPr>
        <w:sectPr>
          <w:pgSz w:w="11900" w:h="16838" w:orient="portrait"/>
          <w:cols w:equalWidth="0" w:num="1">
            <w:col w:w="11300"/>
          </w:cols>
          <w:pgMar w:left="240" w:top="626" w:right="359" w:bottom="1440" w:gutter="0" w:footer="0" w:header="0"/>
        </w:sectPr>
      </w:pPr>
    </w:p>
    <w:bookmarkStart w:id="280" w:name="page281"/>
    <w:bookmarkEnd w:id="280"/>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500"/>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Shari Redstone</w:t>
      </w:r>
    </w:p>
    <w:p>
      <w:pPr>
        <w:sectPr>
          <w:pgSz w:w="11900" w:h="16838" w:orient="portrait"/>
          <w:cols w:equalWidth="0" w:num="1">
            <w:col w:w="11300"/>
          </w:cols>
          <w:pgMar w:left="240" w:top="882" w:right="359" w:bottom="1440" w:gutter="0" w:footer="0" w:header="0"/>
        </w:sectPr>
      </w:pPr>
    </w:p>
    <w:bookmarkStart w:id="281" w:name="page282"/>
    <w:bookmarkEnd w:id="281"/>
    <w:p>
      <w:pPr>
        <w:jc w:val="center"/>
        <w:ind w:right="-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500"/>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Susan Schuman</w:t>
      </w:r>
    </w:p>
    <w:p>
      <w:pPr>
        <w:sectPr>
          <w:pgSz w:w="11900" w:h="16838" w:orient="portrait"/>
          <w:cols w:equalWidth="0" w:num="1">
            <w:col w:w="11420"/>
          </w:cols>
          <w:pgMar w:left="240" w:top="882" w:right="23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500"/>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Frederick O. Terrell</w:t>
      </w:r>
    </w:p>
    <w:p>
      <w:pPr>
        <w:sectPr>
          <w:pgSz w:w="11900" w:h="16838" w:orient="portrait"/>
          <w:cols w:equalWidth="0" w:num="1">
            <w:col w:w="11420"/>
          </w:cols>
          <w:pgMar w:left="240" w:top="626" w:right="239" w:bottom="1440" w:gutter="0" w:footer="0" w:header="0"/>
        </w:sectPr>
      </w:pPr>
    </w:p>
    <w:bookmarkStart w:id="283" w:name="page284"/>
    <w:bookmarkEnd w:id="283"/>
    <w:p>
      <w:pPr>
        <w:jc w:val="center"/>
        <w:ind w:right="-119"/>
        <w:spacing w:after="0"/>
        <w:rPr>
          <w:sz w:val="20"/>
          <w:szCs w:val="20"/>
          <w:color w:val="auto"/>
        </w:rPr>
      </w:pPr>
      <w:r>
        <w:rPr>
          <w:rFonts w:ascii="Arial" w:cs="Arial" w:eastAsia="Arial" w:hAnsi="Arial"/>
          <w:sz w:val="22"/>
          <w:szCs w:val="22"/>
          <w:b w:val="1"/>
          <w:bCs w:val="1"/>
          <w:color w:val="auto"/>
        </w:rPr>
        <w:t>CBS CORPORATION</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500"/>
        <w:spacing w:after="0" w:line="259" w:lineRule="auto"/>
        <w:rPr>
          <w:sz w:val="20"/>
          <w:szCs w:val="20"/>
          <w:color w:val="auto"/>
        </w:rPr>
      </w:pPr>
      <w:r>
        <w:rPr>
          <w:rFonts w:ascii="Arial" w:cs="Arial" w:eastAsia="Arial" w:hAnsi="Arial"/>
          <w:sz w:val="21"/>
          <w:szCs w:val="21"/>
          <w:b w:val="1"/>
          <w:bCs w:val="1"/>
          <w:color w:val="auto"/>
        </w:rPr>
        <w:t>KNOW ALL PERSONS BY THESE PRESENTS</w:t>
      </w:r>
      <w:r>
        <w:rPr>
          <w:rFonts w:ascii="Arial" w:cs="Arial" w:eastAsia="Arial" w:hAnsi="Arial"/>
          <w:sz w:val="21"/>
          <w:szCs w:val="21"/>
          <w:color w:val="auto"/>
        </w:rPr>
        <w:t>, that I, the undersigned director and/or officer of CBS Corporation,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“Company”), hereby constitute and appoint Lawrence P. Tu and Jonathan Anschell, and each of them, my true and lawful attorneys-in-fact and agents, with full power to act, together or each without the other, for me and in my name, place and stead, in any and all capacities, to sign the Company’s Annual Report on Form 10-K for the fiscal year ended December 31, 2018 (and any and all amendments thereto) (the “2018 Form 10K”); and to file said 2018 Form 10K, so signed with all exhibits thereto, and with any and all other documents in connection therewith, with the U.S. Securities and Exchange Commission, hereby granting unto said attorneys-in-fact and agents, and each of them, full power and authority to do and perform any and all acts and things requisite and necessary to be done in and about the premises, as fully for all intents and purposes as I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the undersigned, have executed this Power of Attorney as of this 15th day of February, 2019.</w:t>
      </w: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3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23837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Strauss Zelnick</w:t>
      </w:r>
    </w:p>
    <w:p>
      <w:pPr>
        <w:sectPr>
          <w:pgSz w:w="11900" w:h="16838" w:orient="portrait"/>
          <w:cols w:equalWidth="0" w:num="1">
            <w:col w:w="11300"/>
          </w:cols>
          <w:pgMar w:left="240" w:top="369" w:right="359" w:bottom="1440" w:gutter="0" w:footer="0" w:header="0"/>
        </w:sectPr>
      </w:pPr>
    </w:p>
    <w:bookmarkStart w:id="284" w:name="page285"/>
    <w:bookmarkEnd w:id="284"/>
    <w:p>
      <w:pPr>
        <w:jc w:val="right"/>
        <w:spacing w:after="0"/>
        <w:rPr>
          <w:sz w:val="20"/>
          <w:szCs w:val="20"/>
          <w:color w:val="auto"/>
        </w:rPr>
      </w:pPr>
      <w:r>
        <w:rPr>
          <w:rFonts w:ascii="Arial" w:cs="Arial" w:eastAsia="Arial" w:hAnsi="Arial"/>
          <w:sz w:val="20"/>
          <w:szCs w:val="20"/>
          <w:b w:val="1"/>
          <w:bCs w:val="1"/>
          <w:color w:val="auto"/>
        </w:rPr>
        <w:t>Exhibit 31(a)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Joseph R. Ianniello, certify that:</w:t>
      </w:r>
    </w:p>
    <w:p>
      <w:pPr>
        <w:spacing w:after="0" w:line="351" w:lineRule="exact"/>
        <w:rPr>
          <w:sz w:val="20"/>
          <w:szCs w:val="20"/>
          <w:color w:val="auto"/>
        </w:rPr>
      </w:pPr>
    </w:p>
    <w:p>
      <w:pPr>
        <w:ind w:left="340" w:hanging="332"/>
        <w:spacing w:after="0"/>
        <w:tabs>
          <w:tab w:leader="none" w:pos="3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CBS Corporation;</w:t>
      </w:r>
    </w:p>
    <w:p>
      <w:pPr>
        <w:spacing w:after="0" w:line="175"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340" w:right="640" w:hanging="332"/>
        <w:spacing w:after="0" w:line="250" w:lineRule="auto"/>
        <w:tabs>
          <w:tab w:leader="none" w:pos="3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40" w:hanging="408"/>
        <w:spacing w:after="0" w:line="269" w:lineRule="auto"/>
        <w:tabs>
          <w:tab w:leader="none" w:pos="7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right="200" w:hanging="408"/>
        <w:spacing w:after="0" w:line="250" w:lineRule="auto"/>
        <w:tabs>
          <w:tab w:leader="none" w:pos="7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20"/>
          <w:szCs w:val="20"/>
          <w:color w:val="auto"/>
        </w:rPr>
      </w:pPr>
    </w:p>
    <w:p>
      <w:pPr>
        <w:ind w:left="740" w:right="20" w:hanging="408"/>
        <w:spacing w:after="0" w:line="250" w:lineRule="auto"/>
        <w:tabs>
          <w:tab w:leader="none" w:pos="7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420" w:hanging="408"/>
        <w:spacing w:after="0" w:line="250" w:lineRule="auto"/>
        <w:tabs>
          <w:tab w:leader="none" w:pos="7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20"/>
          <w:szCs w:val="20"/>
          <w:color w:val="auto"/>
        </w:rPr>
      </w:pPr>
    </w:p>
    <w:p>
      <w:pPr>
        <w:ind w:left="340" w:right="320" w:hanging="332"/>
        <w:spacing w:after="0" w:line="250" w:lineRule="auto"/>
        <w:tabs>
          <w:tab w:leader="none" w:pos="3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740" w:right="260" w:hanging="408"/>
        <w:spacing w:after="0" w:line="316" w:lineRule="auto"/>
        <w:tabs>
          <w:tab w:leader="none" w:pos="7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560" w:hanging="408"/>
        <w:spacing w:after="0" w:line="260" w:lineRule="auto"/>
        <w:tabs>
          <w:tab w:leader="none" w:pos="7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Joseph R. Ianniello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President and Acting Chief Executive Officer</w:t>
      </w:r>
    </w:p>
    <w:p>
      <w:pPr>
        <w:sectPr>
          <w:pgSz w:w="11900" w:h="16838" w:orient="portrait"/>
          <w:cols w:equalWidth="0" w:num="1">
            <w:col w:w="11420"/>
          </w:cols>
          <w:pgMar w:left="240" w:top="576"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0"/>
          <w:szCs w:val="20"/>
          <w:b w:val="1"/>
          <w:bCs w:val="1"/>
          <w:color w:val="auto"/>
        </w:rPr>
        <w:t>Exhibit 31(b)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Christina Spade, certify that:</w:t>
      </w:r>
    </w:p>
    <w:p>
      <w:pPr>
        <w:spacing w:after="0" w:line="351" w:lineRule="exact"/>
        <w:rPr>
          <w:sz w:val="20"/>
          <w:szCs w:val="20"/>
          <w:color w:val="auto"/>
        </w:rPr>
      </w:pPr>
    </w:p>
    <w:p>
      <w:pPr>
        <w:ind w:left="340" w:hanging="332"/>
        <w:spacing w:after="0"/>
        <w:tabs>
          <w:tab w:leader="none" w:pos="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CBS Corporation;</w:t>
      </w:r>
    </w:p>
    <w:p>
      <w:pPr>
        <w:spacing w:after="0" w:line="175"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340" w:right="640" w:hanging="332"/>
        <w:spacing w:after="0" w:line="250" w:lineRule="auto"/>
        <w:tabs>
          <w:tab w:leader="none" w:pos="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40" w:hanging="408"/>
        <w:spacing w:after="0" w:line="269" w:lineRule="auto"/>
        <w:tabs>
          <w:tab w:leader="none" w:pos="74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right="200" w:hanging="408"/>
        <w:spacing w:after="0" w:line="250" w:lineRule="auto"/>
        <w:tabs>
          <w:tab w:leader="none" w:pos="74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20"/>
          <w:szCs w:val="20"/>
          <w:color w:val="auto"/>
        </w:rPr>
      </w:pPr>
    </w:p>
    <w:p>
      <w:pPr>
        <w:ind w:left="740" w:right="20" w:hanging="408"/>
        <w:spacing w:after="0" w:line="250" w:lineRule="auto"/>
        <w:tabs>
          <w:tab w:leader="none" w:pos="74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420" w:hanging="408"/>
        <w:spacing w:after="0" w:line="250" w:lineRule="auto"/>
        <w:tabs>
          <w:tab w:leader="none" w:pos="74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20"/>
          <w:szCs w:val="20"/>
          <w:color w:val="auto"/>
        </w:rPr>
      </w:pPr>
    </w:p>
    <w:p>
      <w:pPr>
        <w:ind w:left="340" w:right="320" w:hanging="332"/>
        <w:spacing w:after="0" w:line="250" w:lineRule="auto"/>
        <w:tabs>
          <w:tab w:leader="none" w:pos="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740" w:right="260" w:hanging="408"/>
        <w:spacing w:after="0" w:line="316" w:lineRule="auto"/>
        <w:tabs>
          <w:tab w:leader="none" w:pos="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560" w:hanging="408"/>
        <w:spacing w:after="0" w:line="260" w:lineRule="auto"/>
        <w:tabs>
          <w:tab w:leader="none" w:pos="74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2019</w:t>
      </w: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27305</wp:posOffset>
            </wp:positionV>
            <wp:extent cx="39103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Christina Spade</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Executive Vice President, Chief Financial Officer</w:t>
      </w:r>
    </w:p>
    <w:p>
      <w:pPr>
        <w:sectPr>
          <w:pgSz w:w="11900" w:h="16838" w:orient="portrait"/>
          <w:cols w:equalWidth="0" w:num="1">
            <w:col w:w="11420"/>
          </w:cols>
          <w:pgMar w:left="240" w:top="576"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20"/>
          <w:szCs w:val="20"/>
          <w:b w:val="1"/>
          <w:bCs w:val="1"/>
          <w:color w:val="auto"/>
        </w:rPr>
        <w:t>Exhibit 32(a)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ind w:right="120" w:firstLine="486"/>
        <w:spacing w:after="0" w:line="250" w:lineRule="auto"/>
        <w:rPr>
          <w:sz w:val="20"/>
          <w:szCs w:val="20"/>
          <w:color w:val="auto"/>
        </w:rPr>
      </w:pPr>
      <w:r>
        <w:rPr>
          <w:rFonts w:ascii="Arial" w:cs="Arial" w:eastAsia="Arial" w:hAnsi="Arial"/>
          <w:sz w:val="20"/>
          <w:szCs w:val="20"/>
          <w:color w:val="auto"/>
        </w:rPr>
        <w:t>In connection with the Annual Report of CBS Corporation (the “Company”) on Form 10-K for the year ended December 31, 2018 as filed with the Securities and Exchange Commission (the “Report”), I, Joseph R. Ianniello, President and Acting Chief Executive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right="20" w:hanging="6"/>
        <w:spacing w:after="0" w:line="260" w:lineRule="auto"/>
        <w:tabs>
          <w:tab w:leader="none" w:pos="84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780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Joseph R. Ianniello</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15, 2019</w:t>
      </w:r>
    </w:p>
    <w:p>
      <w:pPr>
        <w:sectPr>
          <w:pgSz w:w="11900" w:h="16838" w:orient="portrait"/>
          <w:cols w:equalWidth="0" w:num="1">
            <w:col w:w="11420"/>
          </w:cols>
          <w:pgMar w:left="240" w:top="765"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0"/>
          <w:szCs w:val="20"/>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ind w:right="60" w:firstLine="486"/>
        <w:spacing w:after="0" w:line="250" w:lineRule="auto"/>
        <w:rPr>
          <w:sz w:val="20"/>
          <w:szCs w:val="20"/>
          <w:color w:val="auto"/>
        </w:rPr>
      </w:pPr>
      <w:r>
        <w:rPr>
          <w:rFonts w:ascii="Arial" w:cs="Arial" w:eastAsia="Arial" w:hAnsi="Arial"/>
          <w:sz w:val="20"/>
          <w:szCs w:val="20"/>
          <w:color w:val="auto"/>
        </w:rPr>
        <w:t>In connection with the Annual Report of CBS Corporation (the “Company”) on Form 10-K for the year ended December 31, 2018 as filed with the Securities and Exchange Commission (the ”Report”), I, Christina Spade, Executive Vice President, Chief Financial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right="20" w:hanging="6"/>
        <w:spacing w:after="0" w:line="260" w:lineRule="auto"/>
        <w:tabs>
          <w:tab w:leader="none" w:pos="84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7151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Christina Spade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15, 2019</w:t>
      </w:r>
    </w:p>
    <w:sectPr>
      <w:pgSz w:w="11900" w:h="16838" w:orient="portrait"/>
      <w:cols w:equalWidth="0" w:num="1">
        <w:col w:w="11420"/>
      </w:cols>
      <w:pgMar w:left="240" w:top="7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x"/>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1)"/>
      <w:numFmt w:val="decimal"/>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1)"/>
      <w:numFmt w:val="lowerLetter"/>
      <w:start w:val="1"/>
    </w:lvl>
  </w:abstractNum>
  <w:abstractNum w:abstractNumId="6">
    <w:nsid w:val="379E21B5"/>
    <w:multiLevelType w:val="hybridMultilevel"/>
    <w:lvl w:ilvl="0">
      <w:lvlJc w:val="left"/>
      <w:lvlText w:val="(%1)"/>
      <w:numFmt w:val="lowerLetter"/>
      <w:start w:val="1"/>
    </w:lvl>
  </w:abstractNum>
  <w:abstractNum w:abstractNumId="7">
    <w:nsid w:val="69E373"/>
    <w:multiLevelType w:val="hybridMultilevel"/>
    <w:lvl w:ilvl="0">
      <w:lvlJc w:val="left"/>
      <w:lvlText w:val="(%1)"/>
      <w:numFmt w:val="lowerLetter"/>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1)"/>
      <w:numFmt w:val="lowerLetter"/>
      <w:start w:val="1"/>
    </w:lvl>
  </w:abstractNum>
  <w:abstractNum w:abstractNumId="10">
    <w:nsid w:val="6AA7B75C"/>
    <w:multiLevelType w:val="hybridMultilevel"/>
    <w:lvl w:ilvl="0">
      <w:lvlJc w:val="left"/>
      <w:lvlText w:val="(%1)"/>
      <w:numFmt w:val="lowerLetter"/>
      <w:start w:val="1"/>
    </w:lvl>
  </w:abstractNum>
  <w:abstractNum w:abstractNumId="11">
    <w:nsid w:val="1DF029D3"/>
    <w:multiLevelType w:val="hybridMultilevel"/>
    <w:lvl w:ilvl="0">
      <w:lvlJc w:val="left"/>
      <w:lvlText w:val="(%1)"/>
      <w:numFmt w:val="lowerLetter"/>
      <w:start w:val="1"/>
    </w:lvl>
  </w:abstractNum>
  <w:abstractNum w:abstractNumId="12">
    <w:nsid w:val="5675FF36"/>
    <w:multiLevelType w:val="hybridMultilevel"/>
    <w:lvl w:ilvl="0">
      <w:lvlJc w:val="left"/>
      <w:lvlText w:val="(%1)"/>
      <w:numFmt w:val="lowerLetter"/>
      <w:start w:val="1"/>
    </w:lvl>
  </w:abstractNum>
  <w:abstractNum w:abstractNumId="13">
    <w:nsid w:val="3DD15094"/>
    <w:multiLevelType w:val="hybridMultilevel"/>
    <w:lvl w:ilvl="0">
      <w:lvlJc w:val="left"/>
      <w:lvlText w:val="(%1)"/>
      <w:numFmt w:val="lowerLetter"/>
      <w:start w:val="1"/>
    </w:lvl>
  </w:abstractNum>
  <w:abstractNum w:abstractNumId="14">
    <w:nsid w:val="3DB012B3"/>
    <w:multiLevelType w:val="hybridMultilevel"/>
    <w:lvl w:ilvl="0">
      <w:lvlJc w:val="left"/>
      <w:lvlText w:val="(%1)"/>
      <w:numFmt w:val="lowerLetter"/>
      <w:start w:val="1"/>
    </w:lvl>
  </w:abstractNum>
  <w:abstractNum w:abstractNumId="15">
    <w:nsid w:val="2708C9AF"/>
    <w:multiLevelType w:val="hybridMultilevel"/>
    <w:lvl w:ilvl="0">
      <w:lvlJc w:val="left"/>
      <w:lvlText w:val="(%1)"/>
      <w:numFmt w:val="lowerLetter"/>
      <w:start w:val="1"/>
    </w:lvl>
  </w:abstractNum>
  <w:abstractNum w:abstractNumId="16">
    <w:nsid w:val="5B25ACE2"/>
    <w:multiLevelType w:val="hybridMultilevel"/>
    <w:lvl w:ilvl="0">
      <w:lvlJc w:val="left"/>
      <w:lvlText w:val="(%1)"/>
      <w:numFmt w:val="lowerLetter"/>
      <w:start w:val="1"/>
    </w:lvl>
  </w:abstractNum>
  <w:abstractNum w:abstractNumId="17">
    <w:nsid w:val="175DFCF0"/>
    <w:multiLevelType w:val="hybridMultilevel"/>
    <w:lvl w:ilvl="0">
      <w:lvlJc w:val="left"/>
      <w:lvlText w:val="(%1)"/>
      <w:numFmt w:val="lowerLetter"/>
      <w:start w:val="1"/>
    </w:lvl>
  </w:abstractNum>
  <w:abstractNum w:abstractNumId="18">
    <w:nsid w:val="4F97E3E4"/>
    <w:multiLevelType w:val="hybridMultilevel"/>
    <w:lvl w:ilvl="0">
      <w:lvlJc w:val="left"/>
      <w:lvlText w:val="(%1)"/>
      <w:numFmt w:val="lowerLetter"/>
      <w:start w:val="1"/>
    </w:lvl>
  </w:abstractNum>
  <w:abstractNum w:abstractNumId="19">
    <w:nsid w:val="53B0A9E"/>
    <w:multiLevelType w:val="hybridMultilevel"/>
    <w:lvl w:ilvl="0">
      <w:lvlJc w:val="left"/>
      <w:lvlText w:val="(%1)"/>
      <w:numFmt w:val="lowerLetter"/>
      <w:start w:val="1"/>
    </w:lvl>
  </w:abstractNum>
  <w:abstractNum w:abstractNumId="20">
    <w:nsid w:val="34FD6B4F"/>
    <w:multiLevelType w:val="hybridMultilevel"/>
    <w:lvl w:ilvl="0">
      <w:lvlJc w:val="left"/>
      <w:lvlText w:val="(%1)"/>
      <w:numFmt w:val="lowerLetter"/>
      <w:start w:val="1"/>
    </w:lvl>
  </w:abstractNum>
  <w:abstractNum w:abstractNumId="21">
    <w:nsid w:val="5915FF32"/>
    <w:multiLevelType w:val="hybridMultilevel"/>
    <w:lvl w:ilvl="0">
      <w:lvlJc w:val="left"/>
      <w:lvlText w:val="(%1)"/>
      <w:numFmt w:val="lowerLetter"/>
      <w:start w:val="1"/>
    </w:lvl>
  </w:abstractNum>
  <w:abstractNum w:abstractNumId="22">
    <w:nsid w:val="56438D15"/>
    <w:multiLevelType w:val="hybridMultilevel"/>
    <w:lvl w:ilvl="0">
      <w:lvlJc w:val="left"/>
      <w:lvlText w:val="(%1)"/>
      <w:numFmt w:val="lowerLetter"/>
      <w:start w:val="1"/>
    </w:lvl>
  </w:abstractNum>
  <w:abstractNum w:abstractNumId="23">
    <w:nsid w:val="519E3149"/>
    <w:multiLevelType w:val="hybridMultilevel"/>
    <w:lvl w:ilvl="0">
      <w:lvlJc w:val="left"/>
      <w:lvlText w:val="(%1)"/>
      <w:numFmt w:val="lowerLetter"/>
      <w:start w:val="1"/>
    </w:lvl>
  </w:abstractNum>
  <w:abstractNum w:abstractNumId="24">
    <w:nsid w:val="2C6E4AFD"/>
    <w:multiLevelType w:val="hybridMultilevel"/>
    <w:lvl w:ilvl="0">
      <w:lvlJc w:val="left"/>
      <w:lvlText w:val="(%1)"/>
      <w:numFmt w:val="lowerLetter"/>
      <w:start w:val="1"/>
    </w:lvl>
  </w:abstractNum>
  <w:abstractNum w:abstractNumId="25">
    <w:nsid w:val="17A1B582"/>
    <w:multiLevelType w:val="hybridMultilevel"/>
    <w:lvl w:ilvl="0">
      <w:lvlJc w:val="left"/>
      <w:lvlText w:val="(%1)"/>
      <w:numFmt w:val="lowerLetter"/>
      <w:start w:val="1"/>
    </w:lvl>
  </w:abstractNum>
  <w:abstractNum w:abstractNumId="26">
    <w:nsid w:val="4DF72E4E"/>
    <w:multiLevelType w:val="hybridMultilevel"/>
    <w:lvl w:ilvl="0">
      <w:lvlJc w:val="left"/>
      <w:lvlText w:val="(%1)"/>
      <w:numFmt w:val="lowerLetter"/>
      <w:start w:val="1"/>
    </w:lvl>
  </w:abstractNum>
  <w:abstractNum w:abstractNumId="27">
    <w:nsid w:val="5046B5A9"/>
    <w:multiLevelType w:val="hybridMultilevel"/>
    <w:lvl w:ilvl="0">
      <w:lvlJc w:val="left"/>
      <w:lvlText w:val="(%1)"/>
      <w:numFmt w:val="lowerLetter"/>
      <w:start w:val="1"/>
    </w:lvl>
  </w:abstractNum>
  <w:abstractNum w:abstractNumId="28">
    <w:nsid w:val="5D888A08"/>
    <w:multiLevelType w:val="hybridMultilevel"/>
    <w:lvl w:ilvl="0">
      <w:lvlJc w:val="left"/>
      <w:lvlText w:val="(%1)"/>
      <w:numFmt w:val="lowerLetter"/>
      <w:start w:val="1"/>
    </w:lvl>
  </w:abstractNum>
  <w:abstractNum w:abstractNumId="29">
    <w:nsid w:val="2A082C70"/>
    <w:multiLevelType w:val="hybridMultilevel"/>
    <w:lvl w:ilvl="0">
      <w:lvlJc w:val="left"/>
      <w:lvlText w:val="(%1)"/>
      <w:numFmt w:val="lowerLetter"/>
      <w:start w:val="1"/>
    </w:lvl>
  </w:abstractNum>
  <w:abstractNum w:abstractNumId="30">
    <w:nsid w:val="5EC6AFD4"/>
    <w:multiLevelType w:val="hybridMultilevel"/>
    <w:lvl w:ilvl="0">
      <w:lvlJc w:val="left"/>
      <w:lvlText w:val="(%1)"/>
      <w:numFmt w:val="lowerLetter"/>
      <w:start w:val="1"/>
    </w:lvl>
  </w:abstractNum>
  <w:abstractNum w:abstractNumId="31">
    <w:nsid w:val="19E21BB2"/>
    <w:multiLevelType w:val="hybridMultilevel"/>
    <w:lvl w:ilvl="0">
      <w:lvlJc w:val="left"/>
      <w:lvlText w:val="(%1)"/>
      <w:numFmt w:val="lowerLetter"/>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1)"/>
      <w:numFmt w:val="lowerLetter"/>
      <w:start w:val="1"/>
    </w:lvl>
  </w:abstractNum>
  <w:abstractNum w:abstractNumId="34">
    <w:nsid w:val="5399C654"/>
    <w:multiLevelType w:val="hybridMultilevel"/>
    <w:lvl w:ilvl="0">
      <w:lvlJc w:val="left"/>
      <w:lvlText w:val="(%1)"/>
      <w:numFmt w:val="lowerLetter"/>
      <w:start w:val="1"/>
    </w:lvl>
  </w:abstractNum>
  <w:abstractNum w:abstractNumId="35">
    <w:nsid w:val="20EE1348"/>
    <w:multiLevelType w:val="hybridMultilevel"/>
    <w:lvl w:ilvl="0">
      <w:lvlJc w:val="left"/>
      <w:lvlText w:val="%1)"/>
      <w:numFmt w:val="decimal"/>
      <w:start w:val="19"/>
    </w:lvl>
  </w:abstractNum>
  <w:abstractNum w:abstractNumId="36">
    <w:nsid w:val="4427069A"/>
    <w:multiLevelType w:val="hybridMultilevel"/>
    <w:lvl w:ilvl="0">
      <w:lvlJc w:val="left"/>
      <w:lvlText w:val="(%1)"/>
      <w:numFmt w:val="lowerLetter"/>
      <w:start w:val="1"/>
    </w:lvl>
  </w:abstractNum>
  <w:abstractNum w:abstractNumId="37">
    <w:nsid w:val="B37E80A"/>
    <w:multiLevelType w:val="hybridMultilevel"/>
    <w:lvl w:ilvl="0">
      <w:lvlJc w:val="left"/>
      <w:lvlText w:val="(%1)"/>
      <w:numFmt w:val="lowerLetter"/>
      <w:start w:val="2"/>
    </w:lvl>
  </w:abstractNum>
  <w:abstractNum w:abstractNumId="38">
    <w:nsid w:val="2157F6BC"/>
    <w:multiLevelType w:val="hybridMultilevel"/>
    <w:lvl w:ilvl="0">
      <w:lvlJc w:val="left"/>
      <w:lvlText w:val="(%1)"/>
      <w:numFmt w:val="lowerLetter"/>
      <w:start w:val="1"/>
    </w:lvl>
  </w:abstractNum>
  <w:abstractNum w:abstractNumId="39">
    <w:nsid w:val="704E1DD5"/>
    <w:multiLevelType w:val="hybridMultilevel"/>
    <w:lvl w:ilvl="0">
      <w:lvlJc w:val="left"/>
      <w:lvlText w:val="(%1)"/>
      <w:numFmt w:val="lowerLetter"/>
      <w:start w:val="5"/>
    </w:lvl>
  </w:abstractNum>
  <w:abstractNum w:abstractNumId="40">
    <w:nsid w:val="57D2F10E"/>
    <w:multiLevelType w:val="hybridMultilevel"/>
    <w:lvl w:ilvl="0">
      <w:lvlJc w:val="left"/>
      <w:lvlText w:val="%1."/>
      <w:numFmt w:val="decimal"/>
      <w:start w:val="1"/>
    </w:lvl>
  </w:abstractNum>
  <w:abstractNum w:abstractNumId="41">
    <w:nsid w:val="BFFAE18"/>
    <w:multiLevelType w:val="hybridMultilevel"/>
    <w:lvl w:ilvl="0">
      <w:lvlJc w:val="left"/>
      <w:lvlText w:val="%1."/>
      <w:numFmt w:val="decimal"/>
      <w:start w:val="2"/>
    </w:lvl>
  </w:abstractNum>
  <w:abstractNum w:abstractNumId="42">
    <w:nsid w:val="E3E47A8"/>
    <w:multiLevelType w:val="hybridMultilevel"/>
    <w:lvl w:ilvl="0">
      <w:lvlJc w:val="left"/>
      <w:lvlText w:val="%1."/>
      <w:numFmt w:val="decimal"/>
      <w:start w:val="3"/>
    </w:lvl>
  </w:abstractNum>
  <w:abstractNum w:abstractNumId="43">
    <w:nsid w:val="2E48F044"/>
    <w:multiLevelType w:val="hybridMultilevel"/>
    <w:lvl w:ilvl="0">
      <w:lvlJc w:val="left"/>
      <w:lvlText w:val="(%1)"/>
      <w:numFmt w:val="lowerLetter"/>
      <w:start w:val="2"/>
    </w:lvl>
  </w:abstractNum>
  <w:abstractNum w:abstractNumId="44">
    <w:nsid w:val="49D0FEAC"/>
    <w:multiLevelType w:val="hybridMultilevel"/>
    <w:lvl w:ilvl="0">
      <w:lvlJc w:val="left"/>
      <w:lvlText w:val="(%1)"/>
      <w:numFmt w:val="decimal"/>
      <w:start w:val="2"/>
    </w:lvl>
    <w:lvl w:ilvl="1">
      <w:lvlJc w:val="left"/>
      <w:lvlText w:val="(%2)"/>
      <w:numFmt w:val="lowerLetter"/>
      <w:start w:val="1"/>
    </w:lvl>
  </w:abstractNum>
  <w:abstractNum w:abstractNumId="45">
    <w:nsid w:val="4BEE5A5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6">
    <w:nsid w:val="5551B9F3"/>
    <w:multiLevelType w:val="hybridMultilevel"/>
    <w:lvl w:ilvl="0">
      <w:lvlJc w:val="left"/>
      <w:lvlText w:val="(%1)"/>
      <w:numFmt w:val="lowerLetter"/>
      <w:start w:val="4"/>
    </w:lvl>
  </w:abstractNum>
  <w:abstractNum w:abstractNumId="47">
    <w:nsid w:val="24F6AB8E"/>
    <w:multiLevelType w:val="hybridMultilevel"/>
    <w:lvl w:ilvl="0">
      <w:lvlJc w:val="left"/>
      <w:lvlText w:val="(%1)"/>
      <w:numFmt w:val="lowerLetter"/>
      <w:start w:val="7"/>
    </w:lvl>
  </w:abstractNum>
  <w:abstractNum w:abstractNumId="48">
    <w:nsid w:val="634C574C"/>
    <w:multiLevelType w:val="hybridMultilevel"/>
    <w:lvl w:ilvl="0">
      <w:lvlJc w:val="left"/>
      <w:lvlText w:val="(%1)"/>
      <w:numFmt w:val="lowerLetter"/>
      <w:start w:val="22"/>
    </w:lvl>
    <w:lvl w:ilvl="1">
      <w:lvlJc w:val="left"/>
      <w:lvlText w:val="(%2)"/>
      <w:numFmt w:val="lowerRoman"/>
      <w:start w:val="1"/>
    </w:lvl>
  </w:abstractNum>
  <w:abstractNum w:abstractNumId="49">
    <w:nsid w:val="24E99DD7"/>
    <w:multiLevelType w:val="hybridMultilevel"/>
    <w:lvl w:ilvl="0">
      <w:lvlJc w:val="left"/>
      <w:lvlText w:val="(%1)"/>
      <w:numFmt w:val="lowerLetter"/>
      <w:start w:val="27"/>
    </w:lvl>
  </w:abstractNum>
  <w:abstractNum w:abstractNumId="50">
    <w:nsid w:val="2A31B62D"/>
    <w:multiLevelType w:val="hybridMultilevel"/>
    <w:lvl w:ilvl="0">
      <w:lvlJc w:val="left"/>
      <w:lvlText w:val="(%1)"/>
      <w:numFmt w:val="decimal"/>
      <w:start w:val="21"/>
    </w:lvl>
  </w:abstractNum>
  <w:abstractNum w:abstractNumId="51">
    <w:nsid w:val="1849C29B"/>
    <w:multiLevelType w:val="hybridMultilevel"/>
    <w:lvl w:ilvl="0">
      <w:lvlJc w:val="left"/>
      <w:lvlText w:val="(%1)"/>
      <w:numFmt w:val="decimal"/>
      <w:start w:val="23"/>
    </w:lvl>
    <w:lvl w:ilvl="1">
      <w:lvlJc w:val="left"/>
      <w:lvlText w:val="(%2)"/>
      <w:numFmt w:val="lowerLetter"/>
      <w:start w:val="1"/>
    </w:lvl>
  </w:abstractNum>
  <w:abstractNum w:abstractNumId="52">
    <w:nsid w:val="7DFF9D09"/>
    <w:multiLevelType w:val="hybridMultilevel"/>
    <w:lvl w:ilvl="0">
      <w:lvlJc w:val="left"/>
      <w:lvlText w:val="(%1)"/>
      <w:numFmt w:val="decimal"/>
      <w:start w:val="31"/>
    </w:lvl>
    <w:lvl w:ilvl="1">
      <w:lvlJc w:val="left"/>
      <w:lvlText w:val="(%2)"/>
      <w:numFmt w:val="lowerLetter"/>
      <w:start w:val="1"/>
    </w:lvl>
  </w:abstractNum>
  <w:abstractNum w:abstractNumId="53">
    <w:nsid w:val="754342"/>
    <w:multiLevelType w:val="hybridMultilevel"/>
    <w:lvl w:ilvl="0">
      <w:lvlJc w:val="left"/>
      <w:lvlText w:val="(%1)"/>
      <w:numFmt w:val="decimal"/>
      <w:start w:val="101"/>
    </w:lvl>
  </w:abstractNum>
  <w:abstractNum w:abstractNumId="54">
    <w:nsid w:val="69E7F3E5"/>
    <w:multiLevelType w:val="hybridMultilevel"/>
    <w:lvl w:ilvl="0">
      <w:lvlJc w:val="left"/>
      <w:lvlText w:val="%1."/>
      <w:numFmt w:val="decimal"/>
      <w:start w:val="101"/>
    </w:lvl>
  </w:abstractNum>
  <w:abstractNum w:abstractNumId="55">
    <w:nsid w:val="2A6DE806"/>
    <w:multiLevelType w:val="hybridMultilevel"/>
    <w:lvl w:ilvl="0">
      <w:lvlJc w:val="left"/>
      <w:lvlText w:val="%1."/>
      <w:numFmt w:val="decimal"/>
      <w:start w:val="101"/>
    </w:lvl>
  </w:abstractNum>
  <w:abstractNum w:abstractNumId="56">
    <w:nsid w:val="1816F8C4"/>
    <w:multiLevelType w:val="hybridMultilevel"/>
    <w:lvl w:ilvl="0">
      <w:lvlJc w:val="left"/>
      <w:lvlText w:val="%1."/>
      <w:numFmt w:val="decimal"/>
      <w:start w:val="101"/>
    </w:lvl>
  </w:abstractNum>
  <w:abstractNum w:abstractNumId="57">
    <w:nsid w:val="37DF2233"/>
    <w:multiLevelType w:val="hybridMultilevel"/>
    <w:lvl w:ilvl="0">
      <w:lvlJc w:val="left"/>
      <w:lvlText w:val="%1."/>
      <w:numFmt w:val="decimal"/>
      <w:start w:val="101"/>
    </w:lvl>
  </w:abstractNum>
  <w:abstractNum w:abstractNumId="58">
    <w:nsid w:val="7AB49DAF"/>
    <w:multiLevelType w:val="hybridMultilevel"/>
    <w:lvl w:ilvl="0">
      <w:lvlJc w:val="left"/>
      <w:lvlText w:val="(%1)"/>
      <w:numFmt w:val="lowerLetter"/>
      <w:start w:val="1"/>
    </w:lvl>
  </w:abstractNum>
  <w:abstractNum w:abstractNumId="59">
    <w:nsid w:val="759F82CD"/>
    <w:multiLevelType w:val="hybridMultilevel"/>
    <w:lvl w:ilvl="0">
      <w:lvlJc w:val="left"/>
      <w:lvlText w:val="(%1)"/>
      <w:numFmt w:val="lowerLetter"/>
      <w:start w:val="10"/>
    </w:lvl>
  </w:abstractNum>
  <w:abstractNum w:abstractNumId="60">
    <w:nsid w:val="61E74EA3"/>
    <w:multiLevelType w:val="hybridMultilevel"/>
    <w:lvl w:ilvl="0">
      <w:lvlJc w:val="left"/>
      <w:lvlText w:val="(%1)"/>
      <w:numFmt w:val="lowerLetter"/>
      <w:start w:val="27"/>
    </w:lvl>
  </w:abstractNum>
  <w:abstractNum w:abstractNumId="61">
    <w:nsid w:val="597B4D84"/>
    <w:multiLevelType w:val="hybridMultilevel"/>
    <w:lvl w:ilvl="0">
      <w:lvlJc w:val="left"/>
      <w:lvlText w:val="(%1)"/>
      <w:numFmt w:val="lowerLetter"/>
      <w:start w:val="37"/>
    </w:lvl>
  </w:abstractNum>
  <w:abstractNum w:abstractNumId="62">
    <w:nsid w:val="F819E7F"/>
    <w:multiLevelType w:val="hybridMultilevel"/>
    <w:lvl w:ilvl="0">
      <w:lvlJc w:val="left"/>
      <w:lvlText w:val="(%1)"/>
      <w:numFmt w:val="lowerLetter"/>
      <w:start w:val="49"/>
    </w:lvl>
    <w:lvl w:ilvl="1">
      <w:lvlJc w:val="left"/>
      <w:lvlText w:val="(%2)"/>
      <w:numFmt w:val="lowerRoman"/>
      <w:start w:val="1"/>
    </w:lvl>
  </w:abstractNum>
  <w:abstractNum w:abstractNumId="63">
    <w:nsid w:val="57C7D42D"/>
    <w:multiLevelType w:val="hybridMultilevel"/>
    <w:lvl w:ilvl="0">
      <w:lvlJc w:val="left"/>
      <w:lvlText w:val="(%1)"/>
      <w:numFmt w:val="lowerLetter"/>
      <w:start w:val="1"/>
    </w:lvl>
  </w:abstractNum>
  <w:abstractNum w:abstractNumId="64">
    <w:nsid w:val="312167AD"/>
    <w:multiLevelType w:val="hybridMultilevel"/>
    <w:lvl w:ilvl="0">
      <w:lvlJc w:val="left"/>
      <w:lvlText w:val="(%1)"/>
      <w:numFmt w:val="lowerLetter"/>
      <w:start w:val="2"/>
    </w:lvl>
    <w:lvl w:ilvl="1">
      <w:lvlJc w:val="left"/>
      <w:lvlText w:val="(%2)"/>
      <w:numFmt w:val="lowerRoman"/>
      <w:start w:val="1"/>
    </w:lvl>
  </w:abstractNum>
  <w:abstractNum w:abstractNumId="65">
    <w:nsid w:val="631B64D4"/>
    <w:multiLevelType w:val="hybridMultilevel"/>
    <w:lvl w:ilvl="0">
      <w:lvlJc w:val="left"/>
      <w:lvlText w:val="(%1)"/>
      <w:numFmt w:val="lowerLetter"/>
      <w:start w:val="4"/>
    </w:lvl>
  </w:abstractNum>
  <w:abstractNum w:abstractNumId="66">
    <w:nsid w:val="78B5E776"/>
    <w:multiLevelType w:val="hybridMultilevel"/>
    <w:lvl w:ilvl="0">
      <w:lvlJc w:val="left"/>
      <w:lvlText w:val="(%1)"/>
      <w:numFmt w:val="lowerLetter"/>
      <w:start w:val="1"/>
    </w:lvl>
  </w:abstractNum>
  <w:abstractNum w:abstractNumId="67">
    <w:nsid w:val="75486E47"/>
    <w:multiLevelType w:val="hybridMultilevel"/>
    <w:lvl w:ilvl="0">
      <w:lvlJc w:val="left"/>
      <w:lvlText w:val="(%1)"/>
      <w:numFmt w:val="lowerLetter"/>
      <w:start w:val="2"/>
    </w:lvl>
    <w:lvl w:ilvl="1">
      <w:lvlJc w:val="left"/>
      <w:lvlText w:val="(%2)"/>
      <w:numFmt w:val="lowerRoman"/>
      <w:start w:val="1"/>
    </w:lvl>
  </w:abstractNum>
  <w:abstractNum w:abstractNumId="68">
    <w:nsid w:val="6E534CDE"/>
    <w:multiLevelType w:val="hybridMultilevel"/>
    <w:lvl w:ilvl="0">
      <w:lvlJc w:val="left"/>
      <w:lvlText w:val="%1"/>
      <w:numFmt w:val="lowerRoman"/>
      <w:start w:val="1"/>
    </w:lvl>
    <w:lvl w:ilvl="1">
      <w:lvlJc w:val="left"/>
      <w:lvlText w:val="(%2)"/>
      <w:numFmt w:val="upperLetter"/>
      <w:start w:val="1"/>
    </w:lvl>
  </w:abstractNum>
  <w:abstractNum w:abstractNumId="69">
    <w:nsid w:val="1A0DDE32"/>
    <w:multiLevelType w:val="hybridMultilevel"/>
    <w:lvl w:ilvl="0">
      <w:lvlJc w:val="left"/>
      <w:lvlText w:val="(%1)"/>
      <w:numFmt w:val="lowerRoman"/>
      <w:start w:val="3"/>
    </w:lvl>
    <w:lvl w:ilvl="1">
      <w:lvlJc w:val="left"/>
      <w:lvlText w:val="(%2)"/>
      <w:numFmt w:val="upperLetter"/>
      <w:start w:val="1"/>
    </w:lvl>
  </w:abstractNum>
  <w:abstractNum w:abstractNumId="70">
    <w:nsid w:val="65968C1C"/>
    <w:multiLevelType w:val="hybridMultilevel"/>
    <w:lvl w:ilvl="0">
      <w:lvlJc w:val="left"/>
      <w:lvlText w:val="(%1)"/>
      <w:numFmt w:val="lowerRoman"/>
      <w:start w:val="4"/>
    </w:lvl>
  </w:abstractNum>
  <w:abstractNum w:abstractNumId="71">
    <w:nsid w:val="46263DEC"/>
    <w:multiLevelType w:val="hybridMultilevel"/>
    <w:lvl w:ilvl="0">
      <w:lvlJc w:val="left"/>
      <w:lvlText w:val="(%1)"/>
      <w:numFmt w:val="lowerLetter"/>
      <w:start w:val="1"/>
    </w:lvl>
  </w:abstractNum>
  <w:abstractNum w:abstractNumId="72">
    <w:nsid w:val="260D8C4A"/>
    <w:multiLevelType w:val="hybridMultilevel"/>
    <w:lvl w:ilvl="0">
      <w:lvlJc w:val="left"/>
      <w:lvlText w:val="(%1)"/>
      <w:numFmt w:val="lowerLetter"/>
      <w:start w:val="1"/>
    </w:lvl>
  </w:abstractNum>
  <w:abstractNum w:abstractNumId="73">
    <w:nsid w:val="73D4D3C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4">
    <w:nsid w:val="746F2E30"/>
    <w:multiLevelType w:val="hybridMultilevel"/>
    <w:lvl w:ilvl="0">
      <w:lvlJc w:val="left"/>
      <w:lvlText w:val="(%1)"/>
      <w:numFmt w:val="lowerRoman"/>
      <w:start w:val="2"/>
    </w:lvl>
  </w:abstractNum>
  <w:abstractNum w:abstractNumId="75">
    <w:nsid w:val="6FDE8AF6"/>
    <w:multiLevelType w:val="hybridMultilevel"/>
    <w:lvl w:ilvl="0">
      <w:lvlJc w:val="left"/>
      <w:lvlText w:val="(%1)"/>
      <w:numFmt w:val="lowerLetter"/>
      <w:start w:val="1"/>
    </w:lvl>
  </w:abstractNum>
  <w:abstractNum w:abstractNumId="76">
    <w:nsid w:val="3FC32E20"/>
    <w:multiLevelType w:val="hybridMultilevel"/>
    <w:lvl w:ilvl="0">
      <w:lvlJc w:val="left"/>
      <w:lvlText w:val="%1"/>
      <w:numFmt w:val="lowerLetter"/>
      <w:start w:val="1"/>
    </w:lvl>
    <w:lvl w:ilvl="1">
      <w:lvlJc w:val="left"/>
      <w:lvlText w:val="(%2)"/>
      <w:numFmt w:val="lowerLetter"/>
      <w:start w:val="3"/>
    </w:lvl>
  </w:abstractNum>
  <w:abstractNum w:abstractNumId="77">
    <w:nsid w:val="49C0E823"/>
    <w:multiLevelType w:val="hybridMultilevel"/>
    <w:lvl w:ilvl="0">
      <w:lvlJc w:val="left"/>
      <w:lvlText w:val="(%1)"/>
      <w:numFmt w:val="lowerLetter"/>
      <w:start w:val="35"/>
    </w:lvl>
    <w:lvl w:ilvl="1">
      <w:lvlJc w:val="left"/>
      <w:lvlText w:val="%2"/>
      <w:numFmt w:val="lowerLetter"/>
      <w:start w:val="1"/>
    </w:lvl>
  </w:abstractNum>
  <w:abstractNum w:abstractNumId="78">
    <w:nsid w:val="14D53685"/>
    <w:multiLevelType w:val="hybridMultilevel"/>
    <w:lvl w:ilvl="0">
      <w:lvlJc w:val="left"/>
      <w:lvlText w:val="(%1)"/>
      <w:numFmt w:val="lowerLetter"/>
      <w:start w:val="1"/>
    </w:lvl>
  </w:abstractNum>
  <w:abstractNum w:abstractNumId="79">
    <w:nsid w:val="230F856C"/>
    <w:multiLevelType w:val="hybridMultilevel"/>
    <w:lvl w:ilvl="0">
      <w:lvlJc w:val="left"/>
      <w:lvlText w:val="(%1)"/>
      <w:numFmt w:val="lowerLetter"/>
      <w:start w:val="2"/>
    </w:lvl>
  </w:abstractNum>
  <w:abstractNum w:abstractNumId="80">
    <w:nsid w:val="6EAA85FB"/>
    <w:multiLevelType w:val="hybridMultilevel"/>
    <w:lvl w:ilvl="0">
      <w:lvlJc w:val="left"/>
      <w:lvlText w:val="(%1)"/>
      <w:numFmt w:val="lowerRoman"/>
      <w:start w:val="1"/>
    </w:lvl>
  </w:abstractNum>
  <w:abstractNum w:abstractNumId="81">
    <w:nsid w:val="3F06ECB2"/>
    <w:multiLevelType w:val="hybridMultilevel"/>
    <w:lvl w:ilvl="0">
      <w:lvlJc w:val="left"/>
      <w:lvlText w:val="%1."/>
      <w:numFmt w:val="decimal"/>
      <w:start w:val="1"/>
    </w:lvl>
    <w:lvl w:ilvl="1">
      <w:lvlJc w:val="left"/>
      <w:lvlText w:val="%2."/>
      <w:numFmt w:val="decimal"/>
      <w:start w:val="2"/>
    </w:lvl>
    <w:lvl w:ilvl="2">
      <w:lvlJc w:val="left"/>
      <w:lvlText w:val="%3."/>
      <w:numFmt w:val="decimal"/>
      <w:start w:val="4"/>
    </w:lvl>
  </w:abstractNum>
  <w:abstractNum w:abstractNumId="82">
    <w:nsid w:val="3B594807"/>
    <w:multiLevelType w:val="hybridMultilevel"/>
    <w:lvl w:ilvl="0">
      <w:lvlJc w:val="left"/>
      <w:lvlText w:val="%1"/>
      <w:numFmt w:val="decimal"/>
      <w:start w:val="1"/>
    </w:lvl>
    <w:lvl w:ilvl="1">
      <w:lvlJc w:val="left"/>
      <w:lvlText w:val="(%2)"/>
      <w:numFmt w:val="lowerRoman"/>
      <w:start w:val="1"/>
    </w:lvl>
  </w:abstractNum>
  <w:abstractNum w:abstractNumId="83">
    <w:nsid w:val="6CAA2304"/>
    <w:multiLevelType w:val="hybridMultilevel"/>
    <w:lvl w:ilvl="0">
      <w:lvlJc w:val="left"/>
      <w:lvlText w:val="%1."/>
      <w:numFmt w:val="decimal"/>
      <w:start w:val="5"/>
    </w:lvl>
    <w:lvl w:ilvl="1">
      <w:lvlJc w:val="left"/>
      <w:lvlText w:val="%2"/>
      <w:numFmt w:val="lowerRoman"/>
      <w:start w:val="1"/>
    </w:lvl>
  </w:abstractNum>
  <w:abstractNum w:abstractNumId="84">
    <w:nsid w:val="3F7C2FF4"/>
    <w:multiLevelType w:val="hybridMultilevel"/>
    <w:lvl w:ilvl="0">
      <w:lvlJc w:val="left"/>
      <w:lvlText w:val="%1."/>
      <w:numFmt w:val="decimal"/>
      <w:start w:val="6"/>
    </w:lvl>
  </w:abstractNum>
  <w:abstractNum w:abstractNumId="85">
    <w:nsid w:val="25413BEC"/>
    <w:multiLevelType w:val="hybridMultilevel"/>
    <w:lvl w:ilvl="0">
      <w:lvlJc w:val="left"/>
      <w:lvlText w:val="%1."/>
      <w:numFmt w:val="decimal"/>
      <w:start w:val="7"/>
    </w:lvl>
  </w:abstractNum>
  <w:abstractNum w:abstractNumId="86">
    <w:nsid w:val="17180B0B"/>
    <w:multiLevelType w:val="hybridMultilevel"/>
    <w:lvl w:ilvl="0">
      <w:lvlJc w:val="left"/>
      <w:lvlText w:val="%1."/>
      <w:numFmt w:val="decimal"/>
      <w:start w:val="9"/>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
      <w:numFmt w:val="bullet"/>
      <w:start w:val="1"/>
    </w:lvl>
  </w:abstractNum>
  <w:abstractNum w:abstractNumId="89">
    <w:nsid w:val="11CCA8BA"/>
    <w:multiLevelType w:val="hybridMultilevel"/>
    <w:lvl w:ilvl="0">
      <w:lvlJc w:val="left"/>
      <w:lvlText w:val="%1."/>
      <w:numFmt w:val="decimal"/>
      <w:start w:val="1"/>
    </w:lvl>
    <w:lvl w:ilvl="1">
      <w:lvlJc w:val="left"/>
      <w:lvlText w:val="(%2)"/>
      <w:numFmt w:val="lowerLetter"/>
      <w:start w:val="1"/>
    </w:lvl>
  </w:abstractNum>
  <w:abstractNum w:abstractNumId="90">
    <w:nsid w:val="4D32AB86"/>
    <w:multiLevelType w:val="hybridMultilevel"/>
    <w:lvl w:ilvl="0">
      <w:lvlJc w:val="left"/>
      <w:lvlText w:val="(%1)"/>
      <w:numFmt w:val="lowerLetter"/>
      <w:start w:val="2"/>
    </w:lvl>
    <w:lvl w:ilvl="1">
      <w:lvlJc w:val="left"/>
      <w:lvlText w:val="(%2)"/>
      <w:numFmt w:val="lowerRoman"/>
      <w:start w:val="1"/>
    </w:lvl>
  </w:abstractNum>
  <w:abstractNum w:abstractNumId="91">
    <w:nsid w:val="3F07ACC3"/>
    <w:multiLevelType w:val="hybridMultilevel"/>
    <w:lvl w:ilvl="0">
      <w:lvlJc w:val="left"/>
      <w:lvlText w:val="%1."/>
      <w:numFmt w:val="decimal"/>
      <w:start w:val="4"/>
    </w:lvl>
    <w:lvl w:ilvl="1">
      <w:lvlJc w:val="left"/>
      <w:lvlText w:val="(%2)"/>
      <w:numFmt w:val="lowerLetter"/>
      <w:start w:val="1"/>
    </w:lvl>
  </w:abstractNum>
  <w:abstractNum w:abstractNumId="92">
    <w:nsid w:val="6B47F63E"/>
    <w:multiLevelType w:val="hybridMultilevel"/>
    <w:lvl w:ilvl="0">
      <w:lvlJc w:val="left"/>
      <w:lvlText w:val="(%1)"/>
      <w:numFmt w:val="lowerRoman"/>
      <w:start w:val="2"/>
    </w:lvl>
  </w:abstractNum>
  <w:abstractNum w:abstractNumId="93">
    <w:nsid w:val="5CB44A05"/>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94">
    <w:nsid w:val="16CF80F1"/>
    <w:multiLevelType w:val="hybridMultilevel"/>
    <w:lvl w:ilvl="0">
      <w:lvlJc w:val="left"/>
      <w:lvlText w:val="(%1)"/>
      <w:numFmt w:val="lowerLetter"/>
      <w:start w:val="4"/>
    </w:lvl>
    <w:lvl w:ilvl="1">
      <w:lvlJc w:val="left"/>
      <w:lvlText w:val="(%2)"/>
      <w:numFmt w:val="lowerLetter"/>
      <w:start w:val="9"/>
    </w:lvl>
  </w:abstractNum>
  <w:abstractNum w:abstractNumId="95">
    <w:nsid w:val="1C695DEC"/>
    <w:multiLevelType w:val="hybridMultilevel"/>
    <w:lvl w:ilvl="0">
      <w:lvlJc w:val="left"/>
      <w:lvlText w:val="%1"/>
      <w:numFmt w:val="lowerLetter"/>
      <w:start w:val="1"/>
    </w:lvl>
    <w:lvl w:ilvl="1">
      <w:lvlJc w:val="left"/>
      <w:lvlText w:val="(%2)"/>
      <w:numFmt w:val="lowerRoman"/>
      <w:start w:val="2"/>
    </w:lvl>
  </w:abstractNum>
  <w:abstractNum w:abstractNumId="96">
    <w:nsid w:val="3FCFAED9"/>
    <w:multiLevelType w:val="hybridMultilevel"/>
    <w:lvl w:ilvl="0">
      <w:lvlJc w:val="left"/>
      <w:lvlText w:val="(%1)"/>
      <w:numFmt w:val="lowerLetter"/>
      <w:start w:val="6"/>
    </w:lvl>
    <w:lvl w:ilvl="1">
      <w:lvlJc w:val="left"/>
      <w:lvlText w:val="%2"/>
      <w:numFmt w:val="lowerRoman"/>
      <w:start w:val="1"/>
    </w:lvl>
  </w:abstractNum>
  <w:abstractNum w:abstractNumId="97">
    <w:nsid w:val="F856867"/>
    <w:multiLevelType w:val="hybridMultilevel"/>
    <w:lvl w:ilvl="0">
      <w:lvlJc w:val="left"/>
      <w:lvlText w:val="(%1)"/>
      <w:numFmt w:val="lowerLetter"/>
      <w:start w:val="8"/>
    </w:lvl>
  </w:abstractNum>
  <w:abstractNum w:abstractNumId="98">
    <w:nsid w:val="11B1CC3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99">
    <w:nsid w:val="2E22FBB7"/>
    <w:multiLevelType w:val="hybridMultilevel"/>
    <w:lvl w:ilvl="0">
      <w:lvlJc w:val="left"/>
      <w:lvlText w:val="%1"/>
      <w:numFmt w:val="lowerLetter"/>
      <w:start w:val="1"/>
    </w:lvl>
    <w:lvl w:ilvl="1">
      <w:lvlJc w:val="left"/>
      <w:lvlText w:val="(%2)"/>
      <w:numFmt w:val="lowerLetter"/>
      <w:start w:val="35"/>
    </w:lvl>
  </w:abstractNum>
  <w:abstractNum w:abstractNumId="100">
    <w:nsid w:val="29934699"/>
    <w:multiLevelType w:val="hybridMultilevel"/>
    <w:lvl w:ilvl="0">
      <w:lvlJc w:val="left"/>
      <w:lvlText w:val="(%1)"/>
      <w:numFmt w:val="lowerLetter"/>
      <w:start w:val="2"/>
    </w:lvl>
    <w:lvl w:ilvl="1">
      <w:lvlJc w:val="left"/>
      <w:lvlText w:val="(%2)"/>
      <w:numFmt w:val="lowerLetter"/>
      <w:start w:val="9"/>
    </w:lvl>
  </w:abstractNum>
  <w:abstractNum w:abstractNumId="101">
    <w:nsid w:val="77485850"/>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02">
    <w:nsid w:val="744939A3"/>
    <w:multiLevelType w:val="hybridMultilevel"/>
    <w:lvl w:ilvl="0">
      <w:lvlJc w:val="left"/>
      <w:lvlText w:val="(%1)"/>
      <w:numFmt w:val="upperLetter"/>
      <w:start w:val="35"/>
    </w:lvl>
  </w:abstractNum>
  <w:abstractNum w:abstractNumId="103">
    <w:nsid w:val="4FA0D2E3"/>
    <w:multiLevelType w:val="hybridMultilevel"/>
    <w:lvl w:ilvl="0">
      <w:lvlJc w:val="left"/>
      <w:lvlText w:val="(%1)"/>
      <w:numFmt w:val="upperLetter"/>
      <w:start w:val="61"/>
    </w:lvl>
  </w:abstractNum>
  <w:abstractNum w:abstractNumId="104">
    <w:nsid w:val="6B1D2C14"/>
    <w:multiLevelType w:val="hybridMultilevel"/>
    <w:lvl w:ilvl="0">
      <w:lvlJc w:val="left"/>
      <w:lvlText w:val="(%1)"/>
      <w:numFmt w:val="upperLetter"/>
      <w:start w:val="2"/>
    </w:lvl>
  </w:abstractNum>
  <w:abstractNum w:abstractNumId="105">
    <w:nsid w:val="68B867D3"/>
    <w:multiLevelType w:val="hybridMultilevel"/>
    <w:lvl w:ilvl="0">
      <w:lvlJc w:val="left"/>
      <w:lvlText w:val="(%1)"/>
      <w:numFmt w:val="upperLetter"/>
      <w:start w:val="9"/>
    </w:lvl>
  </w:abstractNum>
  <w:abstractNum w:abstractNumId="106">
    <w:nsid w:val="3F7F5DD9"/>
    <w:multiLevelType w:val="hybridMultilevel"/>
    <w:lvl w:ilvl="0">
      <w:lvlJc w:val="left"/>
      <w:lvlText w:val="(%1)"/>
      <w:numFmt w:val="upperLetter"/>
      <w:start w:val="35"/>
    </w:lvl>
  </w:abstractNum>
  <w:abstractNum w:abstractNumId="107">
    <w:nsid w:val="2AE05A34"/>
    <w:multiLevelType w:val="hybridMultilevel"/>
    <w:lvl w:ilvl="0">
      <w:lvlJc w:val="left"/>
      <w:lvlText w:val="%1"/>
      <w:numFmt w:val="upperLetter"/>
      <w:start w:val="1"/>
    </w:lvl>
    <w:lvl w:ilvl="1">
      <w:lvlJc w:val="left"/>
      <w:lvlText w:val="(%2)"/>
      <w:numFmt w:val="upperLetter"/>
      <w:start w:val="61"/>
    </w:lvl>
  </w:abstractNum>
  <w:abstractNum w:abstractNumId="108">
    <w:nsid w:val="32794FF7"/>
    <w:multiLevelType w:val="hybridMultilevel"/>
    <w:lvl w:ilvl="0">
      <w:lvlJc w:val="left"/>
      <w:lvlText w:val="(%1)"/>
      <w:numFmt w:val="upperLetter"/>
      <w:start w:val="3"/>
    </w:lvl>
    <w:lvl w:ilvl="1">
      <w:lvlJc w:val="left"/>
      <w:lvlText w:val="%2"/>
      <w:numFmt w:val="upperLetter"/>
      <w:start w:val="1"/>
    </w:lvl>
  </w:abstractNum>
  <w:abstractNum w:abstractNumId="109">
    <w:nsid w:val="5454945E"/>
    <w:multiLevelType w:val="hybridMultilevel"/>
    <w:lvl w:ilvl="0">
      <w:lvlJc w:val="left"/>
      <w:lvlText w:val="(%1)"/>
      <w:numFmt w:val="upperLetter"/>
      <w:start w:val="4"/>
    </w:lvl>
    <w:lvl w:ilvl="1">
      <w:lvlJc w:val="left"/>
      <w:lvlText w:val="(%2)"/>
      <w:numFmt w:val="upperLetter"/>
      <w:start w:val="9"/>
    </w:lvl>
  </w:abstractNum>
  <w:abstractNum w:abstractNumId="110">
    <w:nsid w:val="4DEFDFA0"/>
    <w:multiLevelType w:val="hybridMultilevel"/>
    <w:lvl w:ilvl="0">
      <w:lvlJc w:val="left"/>
      <w:lvlText w:val="(%1)"/>
      <w:numFmt w:val="upperLetter"/>
      <w:start w:val="35"/>
    </w:lvl>
  </w:abstractNum>
  <w:abstractNum w:abstractNumId="111">
    <w:nsid w:val="2123D5F2"/>
    <w:multiLevelType w:val="hybridMultilevel"/>
    <w:lvl w:ilvl="0">
      <w:lvlJc w:val="left"/>
      <w:lvlText w:val="(%1)"/>
      <w:numFmt w:val="upperLetter"/>
      <w:start w:val="61"/>
    </w:lvl>
  </w:abstractNum>
  <w:abstractNum w:abstractNumId="112">
    <w:nsid w:val="135B8110"/>
    <w:multiLevelType w:val="hybridMultilevel"/>
    <w:lvl w:ilvl="0">
      <w:lvlJc w:val="left"/>
      <w:lvlText w:val="%1"/>
      <w:numFmt w:val="lowerLetter"/>
      <w:start w:val="1"/>
    </w:lvl>
    <w:lvl w:ilvl="1">
      <w:lvlJc w:val="left"/>
      <w:lvlText w:val="(%2)"/>
      <w:numFmt w:val="lowerLetter"/>
      <w:start w:val="61"/>
    </w:lvl>
  </w:abstractNum>
  <w:abstractNum w:abstractNumId="113">
    <w:nsid w:val="94927A8"/>
    <w:multiLevelType w:val="hybridMultilevel"/>
    <w:lvl w:ilvl="0">
      <w:lvlJc w:val="left"/>
      <w:lvlText w:val="(%1)"/>
      <w:numFmt w:val="lowerLetter"/>
      <w:start w:val="3"/>
    </w:lvl>
    <w:lvl w:ilvl="1">
      <w:lvlJc w:val="left"/>
      <w:lvlText w:val="(%2)"/>
      <w:numFmt w:val="lowerLetter"/>
      <w:start w:val="9"/>
    </w:lvl>
  </w:abstractNum>
  <w:abstractNum w:abstractNumId="114">
    <w:nsid w:val="DCDF8F6"/>
    <w:multiLevelType w:val="hybridMultilevel"/>
    <w:lvl w:ilvl="0">
      <w:lvlJc w:val="left"/>
      <w:lvlText w:val="(%1)"/>
      <w:numFmt w:val="upperLetter"/>
      <w:start w:val="4"/>
    </w:lvl>
  </w:abstractNum>
  <w:abstractNum w:abstractNumId="115">
    <w:nsid w:val="52D7B105"/>
    <w:multiLevelType w:val="hybridMultilevel"/>
    <w:lvl w:ilvl="0">
      <w:lvlJc w:val="left"/>
      <w:lvlText w:val="(%1)"/>
      <w:numFmt w:val="lowerRoman"/>
      <w:start w:val="2"/>
    </w:lvl>
    <w:lvl w:ilvl="1">
      <w:lvlJc w:val="left"/>
      <w:lvlText w:val="(%2)"/>
      <w:numFmt w:val="upperLetter"/>
      <w:start w:val="1"/>
    </w:lvl>
  </w:abstractNum>
  <w:abstractNum w:abstractNumId="116">
    <w:nsid w:val="2E8A6394"/>
    <w:multiLevelType w:val="hybridMultilevel"/>
    <w:lvl w:ilvl="0">
      <w:lvlJc w:val="left"/>
      <w:lvlText w:val="(%1)"/>
      <w:numFmt w:val="upperLetter"/>
      <w:start w:val="9"/>
    </w:lvl>
  </w:abstractNum>
  <w:abstractNum w:abstractNumId="117">
    <w:nsid w:val="24E60401"/>
    <w:multiLevelType w:val="hybridMultilevel"/>
    <w:lvl w:ilvl="0">
      <w:lvlJc w:val="left"/>
      <w:lvlText w:val="(%1)"/>
      <w:numFmt w:val="upperLetter"/>
      <w:start w:val="35"/>
    </w:lvl>
  </w:abstractNum>
  <w:abstractNum w:abstractNumId="118">
    <w:nsid w:val="2A6AD9BE"/>
    <w:multiLevelType w:val="hybridMultilevel"/>
    <w:lvl w:ilvl="0">
      <w:lvlJc w:val="left"/>
      <w:lvlText w:val="(%1)"/>
      <w:numFmt w:val="upperLetter"/>
      <w:start w:val="61"/>
    </w:lvl>
  </w:abstractNum>
  <w:abstractNum w:abstractNumId="119">
    <w:nsid w:val="BAAC1B4"/>
    <w:multiLevelType w:val="hybridMultilevel"/>
    <w:lvl w:ilvl="0">
      <w:lvlJc w:val="left"/>
      <w:lvlText w:val="(%1)"/>
      <w:numFmt w:val="upperLetter"/>
      <w:start w:val="2"/>
    </w:lvl>
    <w:lvl w:ilvl="1">
      <w:lvlJc w:val="left"/>
      <w:lvlText w:val="(%2)"/>
      <w:numFmt w:val="upperLetter"/>
      <w:start w:val="9"/>
    </w:lvl>
  </w:abstractNum>
  <w:abstractNum w:abstractNumId="120">
    <w:nsid w:val="36B2ACBC"/>
    <w:multiLevelType w:val="hybridMultilevel"/>
    <w:lvl w:ilvl="0">
      <w:lvlJc w:val="left"/>
      <w:lvlText w:val="(%1)"/>
      <w:numFmt w:val="upperLetter"/>
      <w:start w:val="35"/>
    </w:lvl>
  </w:abstractNum>
  <w:abstractNum w:abstractNumId="121">
    <w:nsid w:val="779D8544"/>
    <w:multiLevelType w:val="hybridMultilevel"/>
    <w:lvl w:ilvl="0">
      <w:lvlJc w:val="left"/>
      <w:lvlText w:val="(%1)"/>
      <w:numFmt w:val="upperLetter"/>
      <w:start w:val="61"/>
    </w:lvl>
  </w:abstractNum>
  <w:abstractNum w:abstractNumId="122">
    <w:nsid w:val="4AB26E78"/>
    <w:multiLevelType w:val="hybridMultilevel"/>
    <w:lvl w:ilvl="0">
      <w:lvlJc w:val="left"/>
      <w:lvlText w:val="(%1)"/>
      <w:numFmt w:val="upperLetter"/>
      <w:start w:val="3"/>
    </w:lvl>
    <w:lvl w:ilvl="1">
      <w:lvlJc w:val="left"/>
      <w:lvlText w:val="(%2)"/>
      <w:numFmt w:val="upperLetter"/>
      <w:start w:val="9"/>
    </w:lvl>
  </w:abstractNum>
  <w:abstractNum w:abstractNumId="123">
    <w:nsid w:val="21FAA2FA"/>
    <w:multiLevelType w:val="hybridMultilevel"/>
    <w:lvl w:ilvl="0">
      <w:lvlJc w:val="left"/>
      <w:lvlText w:val="(%1)"/>
      <w:numFmt w:val="decimal"/>
      <w:start w:val="18"/>
    </w:lvl>
    <w:lvl w:ilvl="1">
      <w:lvlJc w:val="left"/>
      <w:lvlText w:val="(%2)"/>
      <w:numFmt w:val="upperLetter"/>
      <w:start w:val="35"/>
    </w:lvl>
  </w:abstractNum>
  <w:abstractNum w:abstractNumId="124">
    <w:nsid w:val="5451CF49"/>
    <w:multiLevelType w:val="hybridMultilevel"/>
    <w:lvl w:ilvl="0">
      <w:lvlJc w:val="left"/>
      <w:lvlText w:val="(%1)"/>
      <w:numFmt w:val="upperLetter"/>
      <w:start w:val="61"/>
    </w:lvl>
  </w:abstractNum>
  <w:abstractNum w:abstractNumId="125">
    <w:nsid w:val="6181EF69"/>
    <w:multiLevelType w:val="hybridMultilevel"/>
    <w:lvl w:ilvl="0">
      <w:lvlJc w:val="left"/>
      <w:lvlText w:val="%1"/>
      <w:numFmt w:val="lowerLetter"/>
      <w:start w:val="1"/>
    </w:lvl>
    <w:lvl w:ilvl="1">
      <w:lvlJc w:val="left"/>
      <w:lvlText w:val="(%2)"/>
      <w:numFmt w:val="lowerLetter"/>
      <w:start w:val="61"/>
    </w:lvl>
  </w:abstractNum>
  <w:abstractNum w:abstractNumId="126">
    <w:nsid w:val="3E6400E6"/>
    <w:multiLevelType w:val="hybridMultilevel"/>
    <w:lvl w:ilvl="0">
      <w:lvlJc w:val="left"/>
      <w:lvlText w:val="(%1)"/>
      <w:numFmt w:val="lowerLetter"/>
      <w:start w:val="4"/>
    </w:lvl>
    <w:lvl w:ilvl="1">
      <w:lvlJc w:val="left"/>
      <w:lvlText w:val="(%2)"/>
      <w:numFmt w:val="lowerLetter"/>
      <w:start w:val="9"/>
    </w:lvl>
  </w:abstractNum>
  <w:abstractNum w:abstractNumId="127">
    <w:nsid w:val="14217E23"/>
    <w:multiLevelType w:val="hybridMultilevel"/>
    <w:lvl w:ilvl="0">
      <w:lvlJc w:val="left"/>
      <w:lvlText w:val="(%1)"/>
      <w:numFmt w:val="lowerRoman"/>
      <w:start w:val="2"/>
    </w:lvl>
  </w:abstractNum>
  <w:abstractNum w:abstractNumId="128">
    <w:nsid w:val="710757D0"/>
    <w:multiLevelType w:val="hybridMultilevel"/>
    <w:lvl w:ilvl="0">
      <w:lvlJc w:val="left"/>
      <w:lvlText w:val="%1"/>
      <w:numFmt w:val="lowerLetter"/>
      <w:start w:val="1"/>
    </w:lvl>
    <w:lvl w:ilvl="1">
      <w:lvlJc w:val="left"/>
      <w:lvlText w:val="(%2)"/>
      <w:numFmt w:val="lowerLetter"/>
      <w:start w:val="61"/>
    </w:lvl>
  </w:abstractNum>
  <w:abstractNum w:abstractNumId="129">
    <w:nsid w:val="5015CD1A"/>
    <w:multiLevelType w:val="hybridMultilevel"/>
    <w:lvl w:ilvl="0">
      <w:lvlJc w:val="left"/>
      <w:lvlText w:val="(%1)"/>
      <w:numFmt w:val="lowerLetter"/>
      <w:start w:val="5"/>
    </w:lvl>
    <w:lvl w:ilvl="1">
      <w:lvlJc w:val="left"/>
      <w:lvlText w:val="(%2)"/>
      <w:numFmt w:val="lowerLetter"/>
      <w:start w:val="9"/>
    </w:lvl>
  </w:abstractNum>
  <w:abstractNum w:abstractNumId="130">
    <w:nsid w:val="424479DA"/>
    <w:multiLevelType w:val="hybridMultilevel"/>
    <w:lvl w:ilvl="0">
      <w:lvlJc w:val="left"/>
      <w:lvlText w:val="(%1)"/>
      <w:numFmt w:val="lowerRoman"/>
      <w:start w:val="2"/>
    </w:lvl>
  </w:abstractNum>
  <w:abstractNum w:abstractNumId="131">
    <w:nsid w:val="1A9A9E69"/>
    <w:multiLevelType w:val="hybridMultilevel"/>
    <w:lvl w:ilvl="0">
      <w:lvlJc w:val="left"/>
      <w:lvlText w:val="%1"/>
      <w:numFmt w:val="lowerRoman"/>
      <w:start w:val="1"/>
    </w:lvl>
    <w:lvl w:ilvl="1">
      <w:lvlJc w:val="left"/>
      <w:lvlText w:val="(%2)"/>
      <w:numFmt w:val="upperLetter"/>
      <w:start w:val="1"/>
    </w:lvl>
  </w:abstractNum>
  <w:abstractNum w:abstractNumId="132">
    <w:nsid w:val="475E256A"/>
    <w:multiLevelType w:val="hybridMultilevel"/>
    <w:lvl w:ilvl="0">
      <w:lvlJc w:val="left"/>
      <w:lvlText w:val="(%1)"/>
      <w:numFmt w:val="lowerRoman"/>
      <w:start w:val="3"/>
    </w:lvl>
    <w:lvl w:ilvl="1">
      <w:lvlJc w:val="left"/>
      <w:lvlText w:val="%2"/>
      <w:numFmt w:val="upperLetter"/>
      <w:start w:val="1"/>
    </w:lvl>
  </w:abstractNum>
  <w:abstractNum w:abstractNumId="133">
    <w:nsid w:val="368DB37E"/>
    <w:multiLevelType w:val="hybridMultilevel"/>
    <w:lvl w:ilvl="0">
      <w:lvlJc w:val="left"/>
      <w:lvlText w:val="(%1)"/>
      <w:numFmt w:val="lowerLetter"/>
      <w:start w:val="6"/>
    </w:lvl>
    <w:lvl w:ilvl="1">
      <w:lvlJc w:val="left"/>
      <w:lvlText w:val="(%2)"/>
      <w:numFmt w:val="lowerRoman"/>
      <w:start w:val="1"/>
    </w:lvl>
  </w:abstractNum>
  <w:abstractNum w:abstractNumId="134">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35">
    <w:nsid w:val="327B517E"/>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36">
    <w:nsid w:val="1F461B51"/>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137">
    <w:nsid w:val="29BACF25"/>
    <w:multiLevelType w:val="hybridMultilevel"/>
    <w:lvl w:ilvl="0">
      <w:lvlJc w:val="left"/>
      <w:lvlText w:val="(%1)"/>
      <w:numFmt w:val="lowerRoman"/>
      <w:start w:val="1"/>
    </w:lvl>
    <w:lvl w:ilvl="1">
      <w:lvlJc w:val="left"/>
      <w:lvlText w:val="(%2)"/>
      <w:numFmt w:val="lowerRoman"/>
      <w:start w:val="1"/>
    </w:lvl>
  </w:abstractNum>
  <w:abstractNum w:abstractNumId="138">
    <w:nsid w:val="5D5BABB3"/>
    <w:multiLevelType w:val="hybridMultilevel"/>
    <w:lvl w:ilvl="0">
      <w:lvlJc w:val="left"/>
      <w:lvlText w:val="(%1)"/>
      <w:numFmt w:val="lowerLetter"/>
      <w:start w:val="10"/>
    </w:lvl>
    <w:lvl w:ilvl="1">
      <w:lvlJc w:val="left"/>
      <w:lvlText w:val="(%2)"/>
      <w:numFmt w:val="lowerLetter"/>
      <w:start w:val="9"/>
    </w:lvl>
  </w:abstractNum>
  <w:abstractNum w:abstractNumId="139">
    <w:nsid w:val="51BF6B48"/>
    <w:multiLevelType w:val="hybridMultilevel"/>
    <w:lvl w:ilvl="0">
      <w:lvlJc w:val="left"/>
      <w:lvlText w:val="%1"/>
      <w:numFmt w:val="upperLetter"/>
      <w:start w:val="1"/>
    </w:lvl>
    <w:lvl w:ilvl="1">
      <w:lvlJc w:val="left"/>
      <w:lvlText w:val="(%2)"/>
      <w:numFmt w:val="upperLetter"/>
      <w:start w:val="1"/>
    </w:lvl>
  </w:abstractNum>
  <w:abstractNum w:abstractNumId="140">
    <w:nsid w:val="7E0F6384"/>
    <w:multiLevelType w:val="hybridMultilevel"/>
    <w:lvl w:ilvl="0">
      <w:lvlJc w:val="left"/>
      <w:lvlText w:val="(%1)"/>
      <w:numFmt w:val="upperLetter"/>
      <w:start w:val="61"/>
    </w:lvl>
    <w:lvl w:ilvl="1">
      <w:lvlJc w:val="left"/>
      <w:lvlText w:val="(%2)"/>
      <w:numFmt w:val="upperLetter"/>
      <w:start w:val="2"/>
    </w:lvl>
  </w:abstractNum>
  <w:abstractNum w:abstractNumId="141">
    <w:nsid w:val="2B4B8B53"/>
    <w:multiLevelType w:val="hybridMultilevel"/>
    <w:lvl w:ilvl="0">
      <w:lvlJc w:val="left"/>
      <w:lvlText w:val="(%1)"/>
      <w:numFmt w:val="lowerRoman"/>
      <w:start w:val="2"/>
    </w:lvl>
    <w:lvl w:ilvl="1">
      <w:lvlJc w:val="left"/>
      <w:lvlText w:val="(%2)"/>
      <w:numFmt w:val="upperLetter"/>
      <w:start w:val="1"/>
    </w:lvl>
  </w:abstractNum>
  <w:abstractNum w:abstractNumId="142">
    <w:nsid w:val="72E3413A"/>
    <w:multiLevelType w:val="hybridMultilevel"/>
    <w:lvl w:ilvl="0">
      <w:lvlJc w:val="left"/>
      <w:lvlText w:val="(%1)"/>
      <w:numFmt w:val="upperLetter"/>
      <w:start w:val="3"/>
    </w:lvl>
  </w:abstractNum>
  <w:abstractNum w:abstractNumId="143">
    <w:nsid w:val="116AE494"/>
    <w:multiLevelType w:val="hybridMultilevel"/>
    <w:lvl w:ilvl="0">
      <w:lvlJc w:val="left"/>
      <w:lvlText w:val="(%1)"/>
      <w:numFmt w:val="upperLetter"/>
      <w:start w:val="4"/>
    </w:lvl>
  </w:abstractNum>
  <w:abstractNum w:abstractNumId="144">
    <w:nsid w:val="3494B2FB"/>
    <w:multiLevelType w:val="hybridMultilevel"/>
    <w:lvl w:ilvl="0">
      <w:lvlJc w:val="left"/>
      <w:lvlText w:val="(%1)"/>
      <w:numFmt w:val="upperLetter"/>
      <w:start w:val="9"/>
    </w:lvl>
  </w:abstractNum>
  <w:abstractNum w:abstractNumId="145">
    <w:nsid w:val="B13A31"/>
    <w:multiLevelType w:val="hybridMultilevel"/>
    <w:lvl w:ilvl="0">
      <w:lvlJc w:val="left"/>
      <w:lvlText w:val="(%1)"/>
      <w:numFmt w:val="upperLetter"/>
      <w:start w:val="35"/>
    </w:lvl>
  </w:abstractNum>
  <w:abstractNum w:abstractNumId="146">
    <w:nsid w:val="64429599"/>
    <w:multiLevelType w:val="hybridMultilevel"/>
    <w:lvl w:ilvl="0">
      <w:lvlJc w:val="left"/>
      <w:lvlText w:val="(%1)"/>
      <w:numFmt w:val="upperLetter"/>
      <w:start w:val="61"/>
    </w:lvl>
  </w:abstractNum>
  <w:abstractNum w:abstractNumId="147">
    <w:nsid w:val="631F1690"/>
    <w:multiLevelType w:val="hybridMultilevel"/>
    <w:lvl w:ilvl="0">
      <w:lvlJc w:val="left"/>
      <w:lvlText w:val="%1"/>
      <w:numFmt w:val="lowerRoman"/>
      <w:start w:val="1"/>
    </w:lvl>
    <w:lvl w:ilvl="1">
      <w:lvlJc w:val="left"/>
      <w:lvlText w:val="(%2)"/>
      <w:numFmt w:val="upperLetter"/>
      <w:start w:val="6"/>
    </w:lvl>
  </w:abstractNum>
  <w:abstractNum w:abstractNumId="148">
    <w:nsid w:val="25973E32"/>
    <w:multiLevelType w:val="hybridMultilevel"/>
    <w:lvl w:ilvl="0">
      <w:lvlJc w:val="left"/>
      <w:lvlText w:val="(%1)"/>
      <w:numFmt w:val="lowerRoman"/>
      <w:start w:val="3"/>
    </w:lvl>
    <w:lvl w:ilvl="1">
      <w:lvlJc w:val="left"/>
      <w:lvlText w:val="%2"/>
      <w:numFmt w:val="upperLetter"/>
      <w:start w:val="1"/>
    </w:lvl>
  </w:abstractNum>
  <w:abstractNum w:abstractNumId="149">
    <w:nsid w:val="EAD6F57"/>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abstractNum>
  <w:abstractNum w:abstractNumId="150">
    <w:nsid w:val="6EC9D844"/>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51">
    <w:nsid w:val="5C49EAEE"/>
    <w:multiLevelType w:val="hybridMultilevel"/>
    <w:lvl w:ilvl="0">
      <w:lvlJc w:val="left"/>
      <w:lvlText w:val="%1."/>
      <w:numFmt w:val="decimal"/>
      <w:start w:val="9"/>
    </w:lvl>
    <w:lvl w:ilvl="1">
      <w:lvlJc w:val="left"/>
      <w:lvlText w:val="%2"/>
      <w:numFmt w:val="decimal"/>
      <w:start w:val="1"/>
    </w:lvl>
    <w:lvl w:ilvl="2">
      <w:lvlJc w:val="left"/>
      <w:lvlText w:val="%3"/>
      <w:numFmt w:val="lowerRoman"/>
      <w:start w:val="1"/>
    </w:lvl>
  </w:abstractNum>
  <w:abstractNum w:abstractNumId="152">
    <w:nsid w:val="64AF49B"/>
    <w:multiLevelType w:val="hybridMultilevel"/>
    <w:lvl w:ilvl="0">
      <w:lvlJc w:val="left"/>
      <w:lvlText w:val="%1."/>
      <w:numFmt w:val="decimal"/>
      <w:start w:val="13"/>
    </w:lvl>
    <w:lvl w:ilvl="1">
      <w:lvlJc w:val="left"/>
      <w:lvlText w:val="(%2)"/>
      <w:numFmt w:val="lowerLetter"/>
      <w:start w:val="1"/>
    </w:lvl>
  </w:abstractNum>
  <w:abstractNum w:abstractNumId="153">
    <w:nsid w:val="397C46B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54">
    <w:nsid w:val="7E448DE9"/>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155">
    <w:nsid w:val="5A9CC3E5"/>
    <w:multiLevelType w:val="hybridMultilevel"/>
    <w:lvl w:ilvl="0">
      <w:lvlJc w:val="left"/>
      <w:lvlText w:val="(%1)"/>
      <w:numFmt w:val="lowerRoman"/>
      <w:start w:val="1"/>
    </w:lvl>
  </w:abstractNum>
  <w:abstractNum w:abstractNumId="156">
    <w:nsid w:val="1AFE3625"/>
    <w:multiLevelType w:val="hybridMultilevel"/>
    <w:lvl w:ilvl="0">
      <w:lvlJc w:val="left"/>
      <w:lvlText w:val="(%1)"/>
      <w:numFmt w:val="lowerLetter"/>
      <w:start w:val="2"/>
    </w:lvl>
    <w:lvl w:ilvl="1">
      <w:lvlJc w:val="left"/>
      <w:lvlText w:val="(%2)"/>
      <w:numFmt w:val="lowerRoman"/>
      <w:start w:val="1"/>
    </w:lvl>
  </w:abstractNum>
  <w:abstractNum w:abstractNumId="157">
    <w:nsid w:val="3CA88ECF"/>
    <w:multiLevelType w:val="hybridMultilevel"/>
    <w:lvl w:ilvl="0">
      <w:lvlJc w:val="left"/>
      <w:lvlText w:val="(%1)"/>
      <w:numFmt w:val="lowerLetter"/>
      <w:start w:val="3"/>
    </w:lvl>
  </w:abstractNum>
  <w:abstractNum w:abstractNumId="158">
    <w:nsid w:val="6EBE4208"/>
    <w:multiLevelType w:val="hybridMultilevel"/>
    <w:lvl w:ilvl="0">
      <w:lvlJc w:val="left"/>
      <w:lvlText w:val="%1."/>
      <w:numFmt w:val="decimal"/>
      <w:start w:val="20"/>
    </w:lvl>
  </w:abstractNum>
  <w:abstractNum w:abstractNumId="159">
    <w:nsid w:val="C058DF5"/>
    <w:multiLevelType w:val="hybridMultilevel"/>
    <w:lvl w:ilvl="0">
      <w:lvlJc w:val="left"/>
      <w:lvlText w:val="%1."/>
      <w:numFmt w:val="decimal"/>
      <w:start w:val="1"/>
    </w:lvl>
    <w:lvl w:ilvl="1">
      <w:lvlJc w:val="left"/>
      <w:lvlText w:val="%2."/>
      <w:numFmt w:val="upperLetter"/>
      <w:start w:val="1"/>
    </w:lvl>
  </w:abstractNum>
  <w:abstractNum w:abstractNumId="160">
    <w:nsid w:val="CBE5BE9"/>
    <w:multiLevelType w:val="hybridMultilevel"/>
    <w:lvl w:ilvl="0">
      <w:lvlJc w:val="left"/>
      <w:lvlText w:val="%1."/>
      <w:numFmt w:val="upperLetter"/>
      <w:start w:val="2"/>
    </w:lvl>
  </w:abstractNum>
  <w:abstractNum w:abstractNumId="161">
    <w:nsid w:val="3102BBE2"/>
    <w:multiLevelType w:val="hybridMultilevel"/>
    <w:lvl w:ilvl="0">
      <w:lvlJc w:val="left"/>
      <w:lvlText w:val="%1."/>
      <w:numFmt w:val="decimal"/>
      <w:start w:val="1"/>
    </w:lvl>
    <w:lvl w:ilvl="1">
      <w:lvlJc w:val="left"/>
      <w:lvlText w:val="(%2)"/>
      <w:numFmt w:val="lowerLetter"/>
      <w:start w:val="1"/>
    </w:lvl>
  </w:abstractNum>
  <w:abstractNum w:abstractNumId="162">
    <w:nsid w:val="26A02C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3">
    <w:nsid w:val="541C815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4">
    <w:nsid w:val="67906F60"/>
    <w:multiLevelType w:val="hybridMultilevel"/>
    <w:lvl w:ilvl="0">
      <w:lvlJc w:val="left"/>
      <w:lvlText w:val="%1."/>
      <w:numFmt w:val="decimal"/>
      <w:start w:val="5"/>
    </w:lvl>
    <w:lvl w:ilvl="1">
      <w:lvlJc w:val="left"/>
      <w:lvlText w:val="(%2)"/>
      <w:numFmt w:val="lowerLetter"/>
      <w:start w:val="1"/>
    </w:lvl>
  </w:abstractNum>
  <w:abstractNum w:abstractNumId="165">
    <w:nsid w:val="10DB9DAA"/>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66">
    <w:nsid w:val="697D2D2"/>
    <w:multiLevelType w:val="hybridMultilevel"/>
    <w:lvl w:ilvl="0">
      <w:lvlJc w:val="left"/>
      <w:lvlText w:val="(%1)"/>
      <w:numFmt w:val="lowerLetter"/>
      <w:start w:val="5"/>
    </w:lvl>
    <w:lvl w:ilvl="1">
      <w:lvlJc w:val="left"/>
      <w:lvlText w:val="(%2)"/>
      <w:numFmt w:val="lowerRoman"/>
      <w:start w:val="1"/>
    </w:lvl>
  </w:abstractNum>
  <w:abstractNum w:abstractNumId="167">
    <w:nsid w:val="6D68AB2"/>
    <w:multiLevelType w:val="hybridMultilevel"/>
    <w:lvl w:ilvl="0">
      <w:lvlJc w:val="left"/>
      <w:lvlText w:val="%1"/>
      <w:numFmt w:val="lowerLetter"/>
      <w:start w:val="1"/>
    </w:lvl>
    <w:lvl w:ilvl="1">
      <w:lvlJc w:val="left"/>
      <w:lvlText w:val="(%2)"/>
      <w:numFmt w:val="lowerLetter"/>
      <w:start w:val="61"/>
    </w:lvl>
  </w:abstractNum>
  <w:abstractNum w:abstractNumId="168">
    <w:nsid w:val="3A966CD0"/>
    <w:multiLevelType w:val="hybridMultilevel"/>
    <w:lvl w:ilvl="0">
      <w:lvlJc w:val="left"/>
      <w:lvlText w:val="(%1)"/>
      <w:numFmt w:val="lowerLetter"/>
      <w:start w:val="6"/>
    </w:lvl>
    <w:lvl w:ilvl="1">
      <w:lvlJc w:val="left"/>
      <w:lvlText w:val="%2"/>
      <w:numFmt w:val="lowerLetter"/>
      <w:start w:val="1"/>
    </w:lvl>
  </w:abstractNum>
  <w:abstractNum w:abstractNumId="169">
    <w:nsid w:val="63F37E85"/>
    <w:multiLevelType w:val="hybridMultilevel"/>
    <w:lvl w:ilvl="0">
      <w:lvlJc w:val="left"/>
      <w:lvlText w:val="(%1)"/>
      <w:numFmt w:val="lowerLetter"/>
      <w:start w:val="8"/>
    </w:lvl>
  </w:abstractNum>
  <w:abstractNum w:abstractNumId="170">
    <w:nsid w:val="5895F5F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71">
    <w:nsid w:val="38A5D054"/>
    <w:multiLevelType w:val="hybridMultilevel"/>
    <w:lvl w:ilvl="0">
      <w:lvlJc w:val="left"/>
      <w:lvlText w:val="%1"/>
      <w:numFmt w:val="lowerLetter"/>
      <w:start w:val="1"/>
    </w:lvl>
    <w:lvl w:ilvl="1">
      <w:lvlJc w:val="left"/>
      <w:lvlText w:val="(%2)"/>
      <w:numFmt w:val="lowerLetter"/>
      <w:start w:val="35"/>
    </w:lvl>
  </w:abstractNum>
  <w:abstractNum w:abstractNumId="172">
    <w:nsid w:val="F3F09D8"/>
    <w:multiLevelType w:val="hybridMultilevel"/>
    <w:lvl w:ilvl="0">
      <w:lvlJc w:val="left"/>
      <w:lvlText w:val="(%1)"/>
      <w:numFmt w:val="lowerLetter"/>
      <w:start w:val="2"/>
    </w:lvl>
    <w:lvl w:ilvl="1">
      <w:lvlJc w:val="left"/>
      <w:lvlText w:val="(%2)"/>
      <w:numFmt w:val="lowerLetter"/>
      <w:start w:val="9"/>
    </w:lvl>
  </w:abstractNum>
  <w:abstractNum w:abstractNumId="173">
    <w:nsid w:val="4B79373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74">
    <w:nsid w:val="4A10B4E8"/>
    <w:multiLevelType w:val="hybridMultilevel"/>
    <w:lvl w:ilvl="0">
      <w:lvlJc w:val="left"/>
      <w:lvlText w:val="(%1)"/>
      <w:numFmt w:val="upperLetter"/>
      <w:start w:val="35"/>
    </w:lvl>
  </w:abstractNum>
  <w:abstractNum w:abstractNumId="175">
    <w:nsid w:val="43D3BCD4"/>
    <w:multiLevelType w:val="hybridMultilevel"/>
    <w:lvl w:ilvl="0">
      <w:lvlJc w:val="left"/>
      <w:lvlText w:val="(%1)"/>
      <w:numFmt w:val="upperLetter"/>
      <w:start w:val="61"/>
    </w:lvl>
  </w:abstractNum>
  <w:abstractNum w:abstractNumId="176">
    <w:nsid w:val="4C2A7166"/>
    <w:multiLevelType w:val="hybridMultilevel"/>
    <w:lvl w:ilvl="0">
      <w:lvlJc w:val="left"/>
      <w:lvlText w:val="(%1)"/>
      <w:numFmt w:val="upperLetter"/>
      <w:start w:val="2"/>
    </w:lvl>
    <w:lvl w:ilvl="1">
      <w:lvlJc w:val="left"/>
      <w:lvlText w:val="(%2)"/>
      <w:numFmt w:val="upperLetter"/>
      <w:start w:val="9"/>
    </w:lvl>
  </w:abstractNum>
  <w:abstractNum w:abstractNumId="177">
    <w:nsid w:val="2E534A82"/>
    <w:multiLevelType w:val="hybridMultilevel"/>
    <w:lvl w:ilvl="0">
      <w:lvlJc w:val="left"/>
      <w:lvlText w:val="(%1)"/>
      <w:numFmt w:val="upperLetter"/>
      <w:start w:val="35"/>
    </w:lvl>
  </w:abstractNum>
  <w:abstractNum w:abstractNumId="178">
    <w:nsid w:val="26F2D364"/>
    <w:multiLevelType w:val="hybridMultilevel"/>
    <w:lvl w:ilvl="0">
      <w:lvlJc w:val="left"/>
      <w:lvlText w:val="%1"/>
      <w:numFmt w:val="upperLetter"/>
      <w:start w:val="1"/>
    </w:lvl>
    <w:lvl w:ilvl="1">
      <w:lvlJc w:val="left"/>
      <w:lvlText w:val="(%2)"/>
      <w:numFmt w:val="upperLetter"/>
      <w:start w:val="61"/>
    </w:lvl>
  </w:abstractNum>
  <w:abstractNum w:abstractNumId="179">
    <w:nsid w:val="71C1AF98"/>
    <w:multiLevelType w:val="hybridMultilevel"/>
    <w:lvl w:ilvl="0">
      <w:lvlJc w:val="left"/>
      <w:lvlText w:val="(%1)"/>
      <w:numFmt w:val="upperLetter"/>
      <w:start w:val="3"/>
    </w:lvl>
    <w:lvl w:ilvl="1">
      <w:lvlJc w:val="left"/>
      <w:lvlText w:val="%2"/>
      <w:numFmt w:val="upperLetter"/>
      <w:start w:val="1"/>
    </w:lvl>
  </w:abstractNum>
  <w:abstractNum w:abstractNumId="180">
    <w:nsid w:val="3D00B9D9"/>
    <w:multiLevelType w:val="hybridMultilevel"/>
    <w:lvl w:ilvl="0">
      <w:lvlJc w:val="left"/>
      <w:lvlText w:val="(%1)"/>
      <w:numFmt w:val="upperLetter"/>
      <w:start w:val="4"/>
    </w:lvl>
    <w:lvl w:ilvl="1">
      <w:lvlJc w:val="left"/>
      <w:lvlText w:val="(%2)"/>
      <w:numFmt w:val="upperLetter"/>
      <w:start w:val="9"/>
    </w:lvl>
  </w:abstractNum>
  <w:abstractNum w:abstractNumId="181">
    <w:nsid w:val="15BCABA8"/>
    <w:multiLevelType w:val="hybridMultilevel"/>
    <w:lvl w:ilvl="0">
      <w:lvlJc w:val="left"/>
      <w:lvlText w:val="(%1)"/>
      <w:numFmt w:val="upperLetter"/>
      <w:start w:val="35"/>
    </w:lvl>
  </w:abstractNum>
  <w:abstractNum w:abstractNumId="182">
    <w:nsid w:val="4E0B9A87"/>
    <w:multiLevelType w:val="hybridMultilevel"/>
    <w:lvl w:ilvl="0">
      <w:lvlJc w:val="left"/>
      <w:lvlText w:val="(%1)"/>
      <w:numFmt w:val="upperLetter"/>
      <w:start w:val="61"/>
    </w:lvl>
  </w:abstractNum>
  <w:abstractNum w:abstractNumId="183">
    <w:nsid w:val="434BAE75"/>
    <w:multiLevelType w:val="hybridMultilevel"/>
    <w:lvl w:ilvl="0">
      <w:lvlJc w:val="left"/>
      <w:lvlText w:val="%1"/>
      <w:numFmt w:val="lowerLetter"/>
      <w:start w:val="1"/>
    </w:lvl>
    <w:lvl w:ilvl="1">
      <w:lvlJc w:val="left"/>
      <w:lvlText w:val="(%2)"/>
      <w:numFmt w:val="lowerLetter"/>
      <w:start w:val="61"/>
    </w:lvl>
  </w:abstractNum>
  <w:abstractNum w:abstractNumId="184">
    <w:nsid w:val="4F38F265"/>
    <w:multiLevelType w:val="hybridMultilevel"/>
    <w:lvl w:ilvl="0">
      <w:lvlJc w:val="left"/>
      <w:lvlText w:val="(%1)"/>
      <w:numFmt w:val="lowerLetter"/>
      <w:start w:val="3"/>
    </w:lvl>
    <w:lvl w:ilvl="1">
      <w:lvlJc w:val="left"/>
      <w:lvlText w:val="(%2)"/>
      <w:numFmt w:val="lowerLetter"/>
      <w:start w:val="9"/>
    </w:lvl>
  </w:abstractNum>
  <w:abstractNum w:abstractNumId="185">
    <w:nsid w:val="4C502870"/>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86">
    <w:nsid w:val="1DE8725A"/>
    <w:multiLevelType w:val="hybridMultilevel"/>
    <w:lvl w:ilvl="0">
      <w:lvlJc w:val="left"/>
      <w:lvlText w:val="(%1)"/>
      <w:numFmt w:val="upperLetter"/>
      <w:start w:val="35"/>
    </w:lvl>
  </w:abstractNum>
  <w:abstractNum w:abstractNumId="187">
    <w:nsid w:val="6A37288A"/>
    <w:multiLevelType w:val="hybridMultilevel"/>
    <w:lvl w:ilvl="0">
      <w:lvlJc w:val="left"/>
      <w:lvlText w:val="(%1)"/>
      <w:numFmt w:val="upperLetter"/>
      <w:start w:val="61"/>
    </w:lvl>
  </w:abstractNum>
  <w:abstractNum w:abstractNumId="188">
    <w:nsid w:val="8F8B73F"/>
    <w:multiLevelType w:val="hybridMultilevel"/>
    <w:lvl w:ilvl="0">
      <w:lvlJc w:val="left"/>
      <w:lvlText w:val="(%1)"/>
      <w:numFmt w:val="upperLetter"/>
      <w:start w:val="2"/>
    </w:lvl>
    <w:lvl w:ilvl="1">
      <w:lvlJc w:val="left"/>
      <w:lvlText w:val="(%2)"/>
      <w:numFmt w:val="upperLetter"/>
      <w:start w:val="9"/>
    </w:lvl>
  </w:abstractNum>
  <w:abstractNum w:abstractNumId="189">
    <w:nsid w:val="CA6B462"/>
    <w:multiLevelType w:val="hybridMultilevel"/>
    <w:lvl w:ilvl="0">
      <w:lvlJc w:val="left"/>
      <w:lvlText w:val="(%1)"/>
      <w:numFmt w:val="upperLetter"/>
      <w:start w:val="35"/>
    </w:lvl>
  </w:abstractNum>
  <w:abstractNum w:abstractNumId="190">
    <w:nsid w:val="763CB680"/>
    <w:multiLevelType w:val="hybridMultilevel"/>
    <w:lvl w:ilvl="0">
      <w:lvlJc w:val="left"/>
      <w:lvlText w:val="%1"/>
      <w:numFmt w:val="upperLetter"/>
      <w:start w:val="1"/>
    </w:lvl>
    <w:lvl w:ilvl="1">
      <w:lvlJc w:val="left"/>
      <w:lvlText w:val="(%2)"/>
      <w:numFmt w:val="upperLetter"/>
      <w:start w:val="61"/>
    </w:lvl>
  </w:abstractNum>
  <w:abstractNum w:abstractNumId="191">
    <w:nsid w:val="15B71329"/>
    <w:multiLevelType w:val="hybridMultilevel"/>
    <w:lvl w:ilvl="0">
      <w:lvlJc w:val="left"/>
      <w:lvlText w:val="(%1)"/>
      <w:numFmt w:val="upperLetter"/>
      <w:start w:val="3"/>
    </w:lvl>
    <w:lvl w:ilvl="1">
      <w:lvlJc w:val="left"/>
      <w:lvlText w:val="%2"/>
      <w:numFmt w:val="upperLetter"/>
      <w:start w:val="1"/>
    </w:lvl>
  </w:abstractNum>
  <w:abstractNum w:abstractNumId="192">
    <w:nsid w:val="3DA97044"/>
    <w:multiLevelType w:val="hybridMultilevel"/>
    <w:lvl w:ilvl="0">
      <w:lvlJc w:val="left"/>
      <w:lvlText w:val="(%1)"/>
      <w:numFmt w:val="upperLetter"/>
      <w:start w:val="4"/>
    </w:lvl>
  </w:abstractNum>
  <w:abstractNum w:abstractNumId="193">
    <w:nsid w:val="1CDCE2DE"/>
    <w:multiLevelType w:val="hybridMultilevel"/>
    <w:lvl w:ilvl="0">
      <w:lvlJc w:val="left"/>
      <w:lvlText w:val="(%1)"/>
      <w:numFmt w:val="upperLetter"/>
      <w:start w:val="9"/>
    </w:lvl>
  </w:abstractNum>
  <w:abstractNum w:abstractNumId="194">
    <w:nsid w:val="69D3947C"/>
    <w:multiLevelType w:val="hybridMultilevel"/>
    <w:lvl w:ilvl="0">
      <w:lvlJc w:val="left"/>
      <w:lvlText w:val="(%1)"/>
      <w:numFmt w:val="upperLetter"/>
      <w:start w:val="35"/>
    </w:lvl>
  </w:abstractNum>
  <w:abstractNum w:abstractNumId="195">
    <w:nsid w:val="2539DFA5"/>
    <w:multiLevelType w:val="hybridMultilevel"/>
    <w:lvl w:ilvl="0">
      <w:lvlJc w:val="left"/>
      <w:lvlText w:val="(%1)"/>
      <w:numFmt w:val="upperLetter"/>
      <w:start w:val="61"/>
    </w:lvl>
  </w:abstractNum>
  <w:abstractNum w:abstractNumId="196">
    <w:nsid w:val="2DB88089"/>
    <w:multiLevelType w:val="hybridMultilevel"/>
    <w:lvl w:ilvl="0">
      <w:lvlJc w:val="left"/>
      <w:lvlText w:val="(%1)"/>
      <w:numFmt w:val="lowerRoman"/>
      <w:start w:val="3"/>
    </w:lvl>
  </w:abstractNum>
  <w:abstractNum w:abstractNumId="197">
    <w:nsid w:val="706B674E"/>
    <w:multiLevelType w:val="hybridMultilevel"/>
    <w:lvl w:ilvl="0">
      <w:lvlJc w:val="left"/>
      <w:lvlText w:val="(%1)"/>
      <w:numFmt w:val="lowerLetter"/>
      <w:start w:val="4"/>
    </w:lvl>
    <w:lvl w:ilvl="1">
      <w:lvlJc w:val="left"/>
      <w:lvlText w:val="(%2)"/>
      <w:numFmt w:val="lowerRoman"/>
      <w:start w:val="1"/>
    </w:lvl>
  </w:abstractNum>
  <w:abstractNum w:abstractNumId="198">
    <w:nsid w:val="2C106A5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99">
    <w:nsid w:val="684EED59"/>
    <w:multiLevelType w:val="hybridMultilevel"/>
    <w:lvl w:ilvl="0">
      <w:lvlJc w:val="left"/>
      <w:lvlText w:val="%1"/>
      <w:numFmt w:val="lowerLetter"/>
      <w:start w:val="1"/>
    </w:lvl>
    <w:lvl w:ilvl="1">
      <w:lvlJc w:val="left"/>
      <w:lvlText w:val="(%2)"/>
      <w:numFmt w:val="lowerLetter"/>
      <w:start w:val="61"/>
    </w:lvl>
  </w:abstractNum>
  <w:abstractNum w:abstractNumId="200">
    <w:nsid w:val="545EE5D3"/>
    <w:multiLevelType w:val="hybridMultilevel"/>
    <w:lvl w:ilvl="0">
      <w:lvlJc w:val="left"/>
      <w:lvlText w:val="(%1)"/>
      <w:numFmt w:val="lowerLetter"/>
      <w:start w:val="6"/>
    </w:lvl>
    <w:lvl w:ilvl="1">
      <w:lvlJc w:val="left"/>
      <w:lvlText w:val="%2"/>
      <w:numFmt w:val="lowerLetter"/>
      <w:start w:val="1"/>
    </w:lvl>
  </w:abstractNum>
  <w:abstractNum w:abstractNumId="201">
    <w:nsid w:val="4A66051"/>
    <w:multiLevelType w:val="hybridMultilevel"/>
    <w:lvl w:ilvl="0">
      <w:lvlJc w:val="left"/>
      <w:lvlText w:val="%1"/>
      <w:numFmt w:val="lowerLetter"/>
      <w:start w:val="1"/>
    </w:lvl>
    <w:lvl w:ilvl="1">
      <w:lvlJc w:val="left"/>
      <w:lvlText w:val="(%2)"/>
      <w:numFmt w:val="lowerLetter"/>
      <w:start w:val="7"/>
    </w:lvl>
  </w:abstractNum>
  <w:abstractNum w:abstractNumId="202">
    <w:nsid w:val="20F4BDAD"/>
    <w:multiLevelType w:val="hybridMultilevel"/>
    <w:lvl w:ilvl="0">
      <w:lvlJc w:val="left"/>
      <w:lvlText w:val="(%1)"/>
      <w:numFmt w:val="lowerLetter"/>
      <w:start w:val="8"/>
    </w:lvl>
    <w:lvl w:ilvl="1">
      <w:lvlJc w:val="left"/>
      <w:lvlText w:val="%2"/>
      <w:numFmt w:val="lowerLetter"/>
      <w:start w:val="1"/>
    </w:lvl>
  </w:abstractNum>
  <w:abstractNum w:abstractNumId="203">
    <w:nsid w:val="639DEFAC"/>
    <w:multiLevelType w:val="hybridMultilevel"/>
    <w:lvl w:ilvl="0">
      <w:lvlJc w:val="left"/>
      <w:lvlText w:val="(%1)"/>
      <w:numFmt w:val="lowerRoman"/>
      <w:start w:val="1"/>
    </w:lvl>
    <w:lvl w:ilvl="1">
      <w:lvlJc w:val="left"/>
      <w:lvlText w:val="(%2)"/>
      <w:numFmt w:val="lowerRoman"/>
      <w:start w:val="1"/>
    </w:lvl>
  </w:abstractNum>
  <w:abstractNum w:abstractNumId="204">
    <w:nsid w:val="501F9786"/>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05">
    <w:nsid w:val="6B057295"/>
    <w:multiLevelType w:val="hybridMultilevel"/>
    <w:lvl w:ilvl="0">
      <w:lvlJc w:val="left"/>
      <w:lvlText w:val="(%1)"/>
      <w:numFmt w:val="upperLetter"/>
      <w:start w:val="2"/>
    </w:lvl>
  </w:abstractNum>
  <w:abstractNum w:abstractNumId="206">
    <w:nsid w:val="2771AC80"/>
    <w:multiLevelType w:val="hybridMultilevel"/>
    <w:lvl w:ilvl="0">
      <w:lvlJc w:val="left"/>
      <w:lvlText w:val="(%1)"/>
      <w:numFmt w:val="lowerRoman"/>
      <w:start w:val="2"/>
    </w:lvl>
    <w:lvl w:ilvl="1">
      <w:lvlJc w:val="left"/>
      <w:lvlText w:val="(%2)"/>
      <w:numFmt w:val="upperLetter"/>
      <w:start w:val="1"/>
    </w:lvl>
  </w:abstractNum>
  <w:abstractNum w:abstractNumId="207">
    <w:nsid w:val="1C4A08EC"/>
    <w:multiLevelType w:val="hybridMultilevel"/>
    <w:lvl w:ilvl="0">
      <w:lvlJc w:val="left"/>
      <w:lvlText w:val="(%1)"/>
      <w:numFmt w:val="upperLetter"/>
      <w:start w:val="3"/>
    </w:lvl>
  </w:abstractNum>
  <w:abstractNum w:abstractNumId="208">
    <w:nsid w:val="1958BD17"/>
    <w:multiLevelType w:val="hybridMultilevel"/>
    <w:lvl w:ilvl="0">
      <w:lvlJc w:val="left"/>
      <w:lvlText w:val="(%1)"/>
      <w:numFmt w:val="upperLetter"/>
      <w:start w:val="4"/>
    </w:lvl>
  </w:abstractNum>
  <w:abstractNum w:abstractNumId="209">
    <w:nsid w:val="4E647FE4"/>
    <w:multiLevelType w:val="hybridMultilevel"/>
    <w:lvl w:ilvl="0">
      <w:lvlJc w:val="left"/>
      <w:lvlText w:val="(%1)"/>
      <w:numFmt w:val="upperLetter"/>
      <w:start w:val="9"/>
    </w:lvl>
  </w:abstractNum>
  <w:abstractNum w:abstractNumId="210">
    <w:nsid w:val="E0BB885"/>
    <w:multiLevelType w:val="hybridMultilevel"/>
    <w:lvl w:ilvl="0">
      <w:lvlJc w:val="left"/>
      <w:lvlText w:val="(%1)"/>
      <w:numFmt w:val="upperLetter"/>
      <w:start w:val="35"/>
    </w:lvl>
  </w:abstractNum>
  <w:abstractNum w:abstractNumId="211">
    <w:nsid w:val="565976F1"/>
    <w:multiLevelType w:val="hybridMultilevel"/>
    <w:lvl w:ilvl="0">
      <w:lvlJc w:val="left"/>
      <w:lvlText w:val="(%1)"/>
      <w:numFmt w:val="upperLetter"/>
      <w:start w:val="61"/>
    </w:lvl>
  </w:abstractNum>
  <w:abstractNum w:abstractNumId="212">
    <w:nsid w:val="64212B8C"/>
    <w:multiLevelType w:val="hybridMultilevel"/>
    <w:lvl w:ilvl="0">
      <w:lvlJc w:val="left"/>
      <w:lvlText w:val="(%1)"/>
      <w:numFmt w:val="decimal"/>
      <w:start w:val="10"/>
    </w:lvl>
  </w:abstractNum>
  <w:abstractNum w:abstractNumId="213">
    <w:nsid w:val="5C17530C"/>
    <w:multiLevelType w:val="hybridMultilevel"/>
    <w:lvl w:ilvl="0">
      <w:lvlJc w:val="left"/>
      <w:lvlText w:val="%1"/>
      <w:numFmt w:val="lowerRoman"/>
      <w:start w:val="1"/>
    </w:lvl>
    <w:lvl w:ilvl="1">
      <w:lvlJc w:val="left"/>
      <w:lvlText w:val="(%2)"/>
      <w:numFmt w:val="upperLetter"/>
      <w:start w:val="6"/>
    </w:lvl>
  </w:abstractNum>
  <w:abstractNum w:abstractNumId="214">
    <w:nsid w:val="19A52566"/>
    <w:multiLevelType w:val="hybridMultilevel"/>
    <w:lvl w:ilvl="0">
      <w:lvlJc w:val="left"/>
      <w:lvlText w:val="(%1)"/>
      <w:numFmt w:val="lowerRoman"/>
      <w:start w:val="3"/>
    </w:lvl>
    <w:lvl w:ilvl="1">
      <w:lvlJc w:val="left"/>
      <w:lvlText w:val="%2"/>
      <w:numFmt w:val="upperLetter"/>
      <w:start w:val="1"/>
    </w:lvl>
  </w:abstractNum>
  <w:abstractNum w:abstractNumId="215">
    <w:nsid w:val="335A1DF1"/>
    <w:multiLevelType w:val="hybridMultilevel"/>
    <w:lvl w:ilvl="0">
      <w:lvlJc w:val="left"/>
      <w:lvlText w:val="(%1)"/>
      <w:numFmt w:val="lowerRoman"/>
      <w:start w:val="2"/>
    </w:lvl>
    <w:lvl w:ilvl="1">
      <w:lvlJc w:val="left"/>
      <w:lvlText w:val="(%2)"/>
      <w:numFmt w:val="lowerRoman"/>
      <w:start w:val="4"/>
    </w:lvl>
  </w:abstractNum>
  <w:abstractNum w:abstractNumId="216">
    <w:nsid w:val="28677B7C"/>
    <w:multiLevelType w:val="hybridMultilevel"/>
    <w:lvl w:ilvl="0">
      <w:lvlJc w:val="left"/>
      <w:lvlText w:val="%1."/>
      <w:numFmt w:val="decimal"/>
      <w:start w:val="8"/>
    </w:lvl>
  </w:abstractNum>
  <w:abstractNum w:abstractNumId="217">
    <w:nsid w:val="378D97C0"/>
    <w:multiLevelType w:val="hybridMultilevel"/>
    <w:lvl w:ilvl="0">
      <w:lvlJc w:val="left"/>
      <w:lvlText w:val="%1."/>
      <w:numFmt w:val="decimal"/>
      <w:start w:val="13"/>
    </w:lvl>
  </w:abstractNum>
  <w:abstractNum w:abstractNumId="218">
    <w:nsid w:val="1D91467C"/>
    <w:multiLevelType w:val="hybridMultilevel"/>
    <w:lvl w:ilvl="0">
      <w:lvlJc w:val="left"/>
      <w:lvlText w:val="%1."/>
      <w:numFmt w:val="decimal"/>
      <w:start w:val="17"/>
    </w:lvl>
    <w:lvl w:ilvl="1">
      <w:lvlJc w:val="left"/>
      <w:lvlText w:val="(%2)"/>
      <w:numFmt w:val="lowerLetter"/>
      <w:start w:val="1"/>
    </w:lvl>
  </w:abstractNum>
  <w:abstractNum w:abstractNumId="219">
    <w:nsid w:val="316032B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220">
    <w:nsid w:val="44344C22"/>
    <w:multiLevelType w:val="hybridMultilevel"/>
    <w:lvl w:ilvl="0">
      <w:lvlJc w:val="left"/>
      <w:lvlText w:val="(%1)"/>
      <w:numFmt w:val="lowerLetter"/>
      <w:start w:val="2"/>
    </w:lvl>
    <w:lvl w:ilvl="1">
      <w:lvlJc w:val="left"/>
      <w:lvlText w:val="(%2)"/>
      <w:numFmt w:val="lowerRoman"/>
      <w:start w:val="1"/>
    </w:lvl>
  </w:abstractNum>
  <w:abstractNum w:abstractNumId="221">
    <w:nsid w:val="13CDFCFC"/>
    <w:multiLevelType w:val="hybridMultilevel"/>
    <w:lvl w:ilvl="0">
      <w:lvlJc w:val="left"/>
      <w:lvlText w:val="(%1)"/>
      <w:numFmt w:val="lowerRoman"/>
      <w:start w:val="4"/>
    </w:lvl>
  </w:abstractNum>
  <w:abstractNum w:abstractNumId="222">
    <w:nsid w:val="471745E4"/>
    <w:multiLevelType w:val="hybridMultilevel"/>
    <w:lvl w:ilvl="0">
      <w:lvlJc w:val="left"/>
      <w:lvlText w:val="%1"/>
      <w:numFmt w:val="decimal"/>
      <w:start w:val="1"/>
    </w:lvl>
    <w:lvl w:ilvl="1">
      <w:lvlJc w:val="left"/>
      <w:lvlText w:val="(%2)"/>
      <w:numFmt w:val="lowerLetter"/>
      <w:start w:val="3"/>
    </w:lvl>
  </w:abstractNum>
  <w:abstractNum w:abstractNumId="223">
    <w:nsid w:val="1DDBC66"/>
    <w:multiLevelType w:val="hybridMultilevel"/>
    <w:lvl w:ilvl="0">
      <w:lvlJc w:val="left"/>
      <w:lvlText w:val="%1."/>
      <w:numFmt w:val="decimal"/>
      <w:start w:val="20"/>
    </w:lvl>
    <w:lvl w:ilvl="1">
      <w:lvlJc w:val="left"/>
      <w:lvlText w:val="%2"/>
      <w:numFmt w:val="lowerLetter"/>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6" Type="http://schemas.openxmlformats.org/officeDocument/2006/relationships/image" Target="media/image169.png"/><Relationship Id="rId204" Type="http://schemas.openxmlformats.org/officeDocument/2006/relationships/image" Target="media/image170.png"/><Relationship Id="rId219"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jpe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jpeg"/><Relationship Id="rId256" Type="http://schemas.openxmlformats.org/officeDocument/2006/relationships/image" Target="media/image194.png"/><Relationship Id="rId257" Type="http://schemas.openxmlformats.org/officeDocument/2006/relationships/image" Target="media/image195.jpe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176" Type="http://schemas.openxmlformats.org/officeDocument/2006/relationships/hyperlink" Target="http://www.sec.gov/Archives/edgar/data/813828/000119312518346616/d662593dex21.htm" TargetMode="External"/><Relationship Id="rId177" Type="http://schemas.openxmlformats.org/officeDocument/2006/relationships/hyperlink" Target="http://www.sec.gov/Archives/edgar/data/813828/000104746906003576/a2168282zex-3_a.htm" TargetMode="External"/><Relationship Id="rId178" Type="http://schemas.openxmlformats.org/officeDocument/2006/relationships/hyperlink" Target="http://www.sec.gov/Archives/edgar/data/813828/000081382818000044/cbs_ex3b-093018.htm" TargetMode="External"/><Relationship Id="rId179" Type="http://schemas.openxmlformats.org/officeDocument/2006/relationships/hyperlink" Target="http://www.sec.gov/Archives/edgar/data/813828/000095015708000907/ex4-1.htm" TargetMode="External"/><Relationship Id="rId180" Type="http://schemas.openxmlformats.org/officeDocument/2006/relationships/hyperlink" Target="http://www.sec.gov/Archives/edgar/data/813828/000119312510076759/dex43.htm" TargetMode="External"/><Relationship Id="rId181" Type="http://schemas.openxmlformats.org/officeDocument/2006/relationships/hyperlink" Target="http://www.sec.gov/Archives/edgar/data/813828/000104746912001373/a2207377zex-10_cii.htm" TargetMode="External"/><Relationship Id="rId182" Type="http://schemas.openxmlformats.org/officeDocument/2006/relationships/hyperlink" Target="http://www.sec.gov/Archives/edgar/data/813828/000104746912001373/a2207377zex-10_cv.htm" TargetMode="External"/><Relationship Id="rId183" Type="http://schemas.openxmlformats.org/officeDocument/2006/relationships/hyperlink" Target="http://www.sec.gov/Archives/edgar/data/813828/000104746912001373/a2207377zex-10_cvii.htm" TargetMode="External"/><Relationship Id="rId184" Type="http://schemas.openxmlformats.org/officeDocument/2006/relationships/hyperlink" Target="http://www.sec.gov/Archives/edgar/data/813828/000104746906003576/a2168282zex-10_f.htm" TargetMode="External"/><Relationship Id="rId185" Type="http://schemas.openxmlformats.org/officeDocument/2006/relationships/hyperlink" Target="http://www.sec.gov/Archives/edgar/data/813828/000104746909001824/a2190706zex-10_d.htm" TargetMode="External"/><Relationship Id="rId187" Type="http://schemas.openxmlformats.org/officeDocument/2006/relationships/hyperlink" Target="http://www.sec.gov/Archives/edgar/data/813828/000104746906003576/a2168282zex-10_o.htm" TargetMode="External"/><Relationship Id="rId188" Type="http://schemas.openxmlformats.org/officeDocument/2006/relationships/hyperlink" Target="http://www.sec.gov/Archives/edgar/data/813828/000104746911001419/a2202111zex-10_g.htm" TargetMode="External"/><Relationship Id="rId189" Type="http://schemas.openxmlformats.org/officeDocument/2006/relationships/hyperlink" Target="http://www.sec.gov/Archives/edgar/data/813828/000104746913001192/a2212776zex-10_e.htm" TargetMode="External"/><Relationship Id="rId190" Type="http://schemas.openxmlformats.org/officeDocument/2006/relationships/hyperlink" Target="http://www.sec.gov/Archives/edgar/data/813828/000104746906003576/a2168282zex-10_p.htm" TargetMode="External"/><Relationship Id="rId191" Type="http://schemas.openxmlformats.org/officeDocument/2006/relationships/hyperlink" Target="http://www.sec.gov/Archives/edgar/data/813828/000104746909001824/a2190706zex-10_f.htm" TargetMode="External"/><Relationship Id="rId192" Type="http://schemas.openxmlformats.org/officeDocument/2006/relationships/hyperlink" Target="http://www.sec.gov/Archives/edgar/data/813828/000104746910004823/a2198177zex-10_b.htm" TargetMode="External"/><Relationship Id="rId193" Type="http://schemas.openxmlformats.org/officeDocument/2006/relationships/hyperlink" Target="http://www.sec.gov/Archives/edgar/data/813828/000104746911001419/a2202111zex-10_h.htm" TargetMode="External"/><Relationship Id="rId194" Type="http://schemas.openxmlformats.org/officeDocument/2006/relationships/hyperlink" Target="http://www.sec.gov/Archives/edgar/data/813828/000104746914000934/a2218239zex-10_f.htm" TargetMode="External"/><Relationship Id="rId195" Type="http://schemas.openxmlformats.org/officeDocument/2006/relationships/hyperlink" Target="http://www.sec.gov/Archives/edgar/data/813828/000081382815000009/cbs_ex10f-123114.htm" TargetMode="External"/><Relationship Id="rId196" Type="http://schemas.openxmlformats.org/officeDocument/2006/relationships/hyperlink" Target="http://www.sec.gov/Archives/edgar/data/813828/000081382818000018/cbs_ex10e-123117.htm" TargetMode="External"/><Relationship Id="rId197" Type="http://schemas.openxmlformats.org/officeDocument/2006/relationships/hyperlink" Target="http://www.sec.gov/Archives/edgar/data/813828/000104746906003576/a2168282zex-10_q.htm" TargetMode="External"/><Relationship Id="rId198" Type="http://schemas.openxmlformats.org/officeDocument/2006/relationships/hyperlink" Target="http://www.sec.gov/Archives/edgar/data/813828/000104746909001824/a2190706zex-10_g.htm" TargetMode="External"/><Relationship Id="rId199" Type="http://schemas.openxmlformats.org/officeDocument/2006/relationships/hyperlink" Target="http://www.sec.gov/Archives/edgar/data/813828/000104746910004823/a2198177zex-10_c.htm" TargetMode="External"/><Relationship Id="rId200" Type="http://schemas.openxmlformats.org/officeDocument/2006/relationships/hyperlink" Target="http://www.sec.gov/Archives/edgar/data/813828/000104746911001419/a2202111zex-10_i.htm" TargetMode="External"/><Relationship Id="rId201" Type="http://schemas.openxmlformats.org/officeDocument/2006/relationships/hyperlink" Target="http://www.sec.gov/Archives/edgar/data/813828/000104746914000934/a2218239zex-10_g.htm" TargetMode="External"/><Relationship Id="rId202" Type="http://schemas.openxmlformats.org/officeDocument/2006/relationships/hyperlink" Target="http://www.sec.gov/Archives/edgar/data/813828/000081382815000009/cbs_ex10g-123114.htm" TargetMode="External"/><Relationship Id="rId203" Type="http://schemas.openxmlformats.org/officeDocument/2006/relationships/hyperlink" Target="http://www.sec.gov/Archives/edgar/data/813828/000081382818000018/cbs_ex10f-123117.htm" TargetMode="External"/><Relationship Id="rId205" Type="http://schemas.openxmlformats.org/officeDocument/2006/relationships/hyperlink" Target="http://www.sec.gov/Archives/edgar/data/813828/000081382809000192/directorindem_ag.htm" TargetMode="External"/><Relationship Id="rId206" Type="http://schemas.openxmlformats.org/officeDocument/2006/relationships/hyperlink" Target="http://www.sec.gov/Archives/edgar/data/813828/000104746904007840/a2129816zex-10_e.htm" TargetMode="External"/><Relationship Id="rId207" Type="http://schemas.openxmlformats.org/officeDocument/2006/relationships/hyperlink" Target="http://www.sec.gov/Archives/edgar/data/813828/000081382815000009/cbs_ex10k-123114.htm" TargetMode="External"/><Relationship Id="rId208" Type="http://schemas.openxmlformats.org/officeDocument/2006/relationships/hyperlink" Target="http://www.sec.gov/Archives/edgar/data/813828/000081382817000005/cbs_ex10k-123316.htm" TargetMode="External"/><Relationship Id="rId209" Type="http://schemas.openxmlformats.org/officeDocument/2006/relationships/hyperlink" Target="http://www.sec.gov/Archives/edgar/data/813828/000081382815000009/cbs_ex10m-123114.htm" TargetMode="External"/><Relationship Id="rId210" Type="http://schemas.openxmlformats.org/officeDocument/2006/relationships/hyperlink" Target="http://www.sec.gov/Archives/edgar/data/813828/000081382815000045/cbs_ex10a-063015.htm" TargetMode="External"/><Relationship Id="rId211" Type="http://schemas.openxmlformats.org/officeDocument/2006/relationships/hyperlink" Target="http://www.sec.gov/Archives/edgar/data/813828/000081382817000048/cbs_ex10a-093017.htm" TargetMode="External"/><Relationship Id="rId212" Type="http://schemas.openxmlformats.org/officeDocument/2006/relationships/hyperlink" Target="http://www.sec.gov/Archives/edgar/data/813828/000119312518285653/d614811dex10a.htm" TargetMode="External"/><Relationship Id="rId213" Type="http://schemas.openxmlformats.org/officeDocument/2006/relationships/hyperlink" Target="http://www.sec.gov/Archives/edgar/data/813828/000119312518303081/d634998dex10.htm" TargetMode="External"/><Relationship Id="rId214" Type="http://schemas.openxmlformats.org/officeDocument/2006/relationships/hyperlink" Target="http://www.sec.gov/Archives/edgar/data/813828/000081382817000048/cbs_ex10b-093017.htm" TargetMode="External"/><Relationship Id="rId215" Type="http://schemas.openxmlformats.org/officeDocument/2006/relationships/hyperlink" Target="http://www.sec.gov/Archives/edgar/data/813828/000081382818000026/cbs_ex10a-033118.htm" TargetMode="External"/><Relationship Id="rId216" Type="http://schemas.openxmlformats.org/officeDocument/2006/relationships/hyperlink" Target="http://www.sec.gov/Archives/edgar/data/813828/000081382817000031/cbs_ex10a-063017.htm" TargetMode="External"/><Relationship Id="rId217" Type="http://schemas.openxmlformats.org/officeDocument/2006/relationships/hyperlink" Target="http://www.sec.gov/Archives/edgar/data/813828/000081382815000009/cbs_ex10p-123114.htm" TargetMode="External"/><Relationship Id="rId218" Type="http://schemas.openxmlformats.org/officeDocument/2006/relationships/hyperlink" Target="http://www.sec.gov/Archives/edgar/data/813828/000119312518269601/d622048dex10b.htm" TargetMode="External"/><Relationship Id="rId220" Type="http://schemas.openxmlformats.org/officeDocument/2006/relationships/hyperlink" Target="http://www.sec.gov/Archives/edgar/data/813828/000081382816000106/cbs_ex10a-093016.htm" TargetMode="External"/><Relationship Id="rId221" Type="http://schemas.openxmlformats.org/officeDocument/2006/relationships/hyperlink" Target="http://www.sec.gov/Archives/edgar/data/813828/000081382817000048/cbs_ex10c-093017.htm" TargetMode="External"/><Relationship Id="rId222" Type="http://schemas.openxmlformats.org/officeDocument/2006/relationships/hyperlink" Target="http://www.sec.gov/Archives/edgar/data/813828/000119312518298458/d631857dex10.htm" TargetMode="External"/><Relationship Id="rId223" Type="http://schemas.openxmlformats.org/officeDocument/2006/relationships/hyperlink" Target="http://www.sec.gov/Archives/edgar/data/813828/000081382816000065/cbs_ex10u-123115.htm" TargetMode="External"/><Relationship Id="rId224" Type="http://schemas.openxmlformats.org/officeDocument/2006/relationships/hyperlink" Target="http://www.sec.gov/Archives/edgar/data/813828/000081382817000048/cbs_ex10d-093017.htm" TargetMode="External"/><Relationship Id="rId225" Type="http://schemas.openxmlformats.org/officeDocument/2006/relationships/hyperlink" Target="http://www.sec.gov/Archives/edgar/data/813828/000081382818000018/cbs_ex10s-123117.htm" TargetMode="External"/><Relationship Id="rId226" Type="http://schemas.openxmlformats.org/officeDocument/2006/relationships/hyperlink" Target="http://www.sec.gov/Archives/edgar/data/813828/000119312518285653/d614811dex10b.htm" TargetMode="External"/><Relationship Id="rId227" Type="http://schemas.openxmlformats.org/officeDocument/2006/relationships/hyperlink" Target="http://www.sec.gov/Archives/edgar/data/106413/000091205799005602/0000912057-99-005602.txt" TargetMode="External"/><Relationship Id="rId228" Type="http://schemas.openxmlformats.org/officeDocument/2006/relationships/hyperlink" Target="http://www.sec.gov/Archives/edgar/data/813828/000104746913001192/a2212776zex-10_ti.htm" TargetMode="External"/><Relationship Id="rId229" Type="http://schemas.openxmlformats.org/officeDocument/2006/relationships/hyperlink" Target="http://www.sec.gov/Archives/edgar/data/813828/000104746913001192/a2212776zex-10_tii.htm" TargetMode="External"/><Relationship Id="rId230" Type="http://schemas.openxmlformats.org/officeDocument/2006/relationships/hyperlink" Target="http://www.sec.gov/Archives/edgar/data/813828/000081382816000080/ex_101.htm" TargetMode="External"/><Relationship Id="rId231" Type="http://schemas.openxmlformats.org/officeDocument/2006/relationships/hyperlink" Target="http://www.sec.gov/Archives/edgar/data/813828/000119312518269601/d622048dex10a.htm" TargetMode="External"/><Relationship Id="rId232" Type="http://schemas.openxmlformats.org/officeDocument/2006/relationships/hyperlink" Target="http://www.sec.gov/Archives/edgar/data/813828/000110465905061897/a05-22088_1ex10d1.htm" TargetMode="External"/><Relationship Id="rId233" Type="http://schemas.openxmlformats.org/officeDocument/2006/relationships/hyperlink" Target="http://www.sec.gov/Archives/edgar/data/813828/000110465906000670/a05-22538_5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2019-12-28T16:45:59Z</dcterms:created>
  <dcterms:modified xsi:type="dcterms:W3CDTF">2019-12-28T16:45:59Z</dcterms:modified>
</cp:coreProperties>
</file>