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28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-271780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1885950</wp:posOffset>
            </wp:positionH>
            <wp:positionV relativeFrom="paragraph">
              <wp:posOffset>104140</wp:posOffset>
            </wp:positionV>
            <wp:extent cx="20828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right="1759"/>
        <w:spacing w:after="0" w:line="505" w:lineRule="auto"/>
        <w:rPr>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 For the fiscal year ended December 31, 2021</w:t>
      </w:r>
    </w:p>
    <w:p>
      <w:pPr>
        <w:spacing w:after="0" w:line="2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8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Commission file number 001-09553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PARAMOUNT GLOBAL 401(k) PLAN (fka CBS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-144780</wp:posOffset>
            </wp:positionH>
            <wp:positionV relativeFrom="paragraph">
              <wp:posOffset>73660</wp:posOffset>
            </wp:positionV>
            <wp:extent cx="6137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20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00" w:lineRule="exact"/>
        <w:rPr>
          <w:sz w:val="24"/>
          <w:szCs w:val="24"/>
          <w:color w:val="auto"/>
        </w:rPr>
      </w:pPr>
    </w:p>
    <w:p>
      <w:pPr>
        <w:sectPr>
          <w:pgSz w:w="11900" w:h="16838" w:orient="portrait"/>
          <w:cols w:equalWidth="0" w:num="2">
            <w:col w:w="780" w:space="240"/>
            <w:col w:w="911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PARAMOUNT GLOBAL (fka VIACOMCBS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27940</wp:posOffset>
            </wp:positionV>
            <wp:extent cx="60521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2185" cy="17145"/>
                    </a:xfrm>
                    <a:prstGeom prst="rect">
                      <a:avLst/>
                    </a:prstGeom>
                    <a:noFill/>
                  </pic:spPr>
                </pic:pic>
              </a:graphicData>
            </a:graphic>
          </wp:anchor>
        </w:drawing>
      </w:r>
    </w:p>
    <w:p>
      <w:pPr>
        <w:spacing w:after="0" w:line="11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 of issuer of the securities held pursuant to the plan)</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1515 Broadway</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New York, New York 10036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12065</wp:posOffset>
            </wp:positionV>
            <wp:extent cx="6137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10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PARAMOUNT GLOBAL 401(k) PLAN (fka CBS 401(k) Plan)</w:t>
      </w: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FINANCIAL STATEMENTS AND SUPPLEMENTAL SCHEDULES</w:t>
      </w:r>
    </w:p>
    <w:p>
      <w:pPr>
        <w:spacing w:after="0" w:line="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DECEMBER 31, 2021 AND 2020</w:t>
      </w: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u w:val="single" w:color="auto"/>
          <w:color w:val="auto"/>
        </w:rPr>
        <w:t>INDEX</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6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4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8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9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at December 31, 2021 and 2020</w:t>
            </w:r>
          </w:p>
        </w:tc>
        <w:tc>
          <w:tcPr>
            <w:tcW w:w="420" w:type="dxa"/>
            <w:vAlign w:val="bottom"/>
            <w:gridSpan w:val="4"/>
          </w:tcPr>
          <w:p>
            <w:pPr>
              <w:jc w:val="center"/>
              <w:ind w:left="23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2021</w:t>
            </w:r>
          </w:p>
        </w:tc>
        <w:tc>
          <w:tcPr>
            <w:tcW w:w="4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278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0" w:type="dxa"/>
            <w:vAlign w:val="bottom"/>
          </w:tcPr>
          <w:p>
            <w:pPr>
              <w:spacing w:after="0"/>
              <w:rPr>
                <w:sz w:val="1"/>
                <w:szCs w:val="1"/>
                <w:color w:val="auto"/>
              </w:rPr>
            </w:pPr>
          </w:p>
        </w:tc>
      </w:tr>
      <w:tr>
        <w:trPr>
          <w:trHeight w:val="245"/>
        </w:trPr>
        <w:tc>
          <w:tcPr>
            <w:tcW w:w="10080" w:type="dxa"/>
            <w:vAlign w:val="bottom"/>
            <w:gridSpan w:val="8"/>
            <w:vMerge w:val="continue"/>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9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4a - Schedule of Delinquent Participant Contributions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2801FF"/>
                <w:w w:val="99"/>
              </w:rPr>
              <w:t xml:space="preserve">S - </w:t>
            </w:r>
            <w:r>
              <w:rPr>
                <w:rFonts w:ascii="Times New Roman" w:cs="Times New Roman" w:eastAsia="Times New Roman" w:hAnsi="Times New Roman"/>
                <w:sz w:val="18"/>
                <w:szCs w:val="18"/>
                <w:color w:val="0000FF"/>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801FF"/>
          </w:tcPr>
          <w:p>
            <w:pPr>
              <w:spacing w:after="0" w:line="20" w:lineRule="exact"/>
              <w:rPr>
                <w:sz w:val="1"/>
                <w:szCs w:val="1"/>
                <w:color w:val="auto"/>
              </w:rPr>
            </w:pPr>
          </w:p>
        </w:tc>
        <w:tc>
          <w:tcPr>
            <w:tcW w:w="80" w:type="dxa"/>
            <w:vAlign w:val="bottom"/>
            <w:shd w:val="clear" w:color="auto" w:fill="2801FF"/>
          </w:tcPr>
          <w:p>
            <w:pPr>
              <w:spacing w:after="0" w:line="20" w:lineRule="exact"/>
              <w:rPr>
                <w:sz w:val="1"/>
                <w:szCs w:val="1"/>
                <w:color w:val="auto"/>
              </w:rPr>
            </w:pPr>
          </w:p>
        </w:tc>
        <w:tc>
          <w:tcPr>
            <w:tcW w:w="140" w:type="dxa"/>
            <w:vAlign w:val="bottom"/>
            <w:tcBorders>
              <w:left w:val="single" w:sz="8" w:color="2801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47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2801FF"/>
                <w:w w:val="99"/>
              </w:rPr>
              <w:t xml:space="preserve">S - </w:t>
            </w:r>
            <w:r>
              <w:rPr>
                <w:rFonts w:ascii="Times New Roman" w:cs="Times New Roman" w:eastAsia="Times New Roman" w:hAnsi="Times New Roman"/>
                <w:sz w:val="18"/>
                <w:szCs w:val="18"/>
                <w:color w:val="0000FF"/>
                <w:w w:val="99"/>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801FF"/>
          </w:tcPr>
          <w:p>
            <w:pPr>
              <w:spacing w:after="0" w:line="20" w:lineRule="exact"/>
              <w:rPr>
                <w:sz w:val="1"/>
                <w:szCs w:val="1"/>
                <w:color w:val="auto"/>
              </w:rPr>
            </w:pPr>
          </w:p>
        </w:tc>
        <w:tc>
          <w:tcPr>
            <w:tcW w:w="80" w:type="dxa"/>
            <w:vAlign w:val="bottom"/>
            <w:shd w:val="clear" w:color="auto" w:fill="2801FF"/>
          </w:tcPr>
          <w:p>
            <w:pPr>
              <w:spacing w:after="0" w:line="20" w:lineRule="exact"/>
              <w:rPr>
                <w:sz w:val="1"/>
                <w:szCs w:val="1"/>
                <w:color w:val="auto"/>
              </w:rPr>
            </w:pPr>
          </w:p>
        </w:tc>
        <w:tc>
          <w:tcPr>
            <w:tcW w:w="140" w:type="dxa"/>
            <w:vAlign w:val="bottom"/>
            <w:tcBorders>
              <w:left w:val="single" w:sz="8" w:color="2801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All other schedules required by the Department of Labor’s Rules and Regulations for Reporting and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right="4040"/>
        <w:spacing w:after="0" w:line="292" w:lineRule="auto"/>
        <w:rPr>
          <w:sz w:val="20"/>
          <w:szCs w:val="20"/>
          <w:color w:val="auto"/>
        </w:rPr>
      </w:pPr>
      <w:r>
        <w:rPr>
          <w:rFonts w:ascii="Times New Roman" w:cs="Times New Roman" w:eastAsia="Times New Roman" w:hAnsi="Times New Roman"/>
          <w:sz w:val="18"/>
          <w:szCs w:val="18"/>
          <w:color w:val="auto"/>
        </w:rPr>
        <w:t>Disclosure under the Employee Retirement Income Security Act of 1974 are omitted as not applicable or not required.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0000FF"/>
        </w:rPr>
        <w:t>23.1 Consent of Independent Registered Public Accounting Firm</w:t>
      </w:r>
    </w:p>
    <w:p>
      <w:pPr>
        <w:sectPr>
          <w:pgSz w:w="11900" w:h="16838" w:orient="portrait"/>
          <w:cols w:equalWidth="0" w:num="1">
            <w:col w:w="10840"/>
          </w:cols>
          <w:pgMar w:left="420" w:top="1083" w:right="639" w:bottom="1440" w:gutter="0" w:footer="0" w:header="0"/>
        </w:sectPr>
      </w:pPr>
    </w:p>
    <w:bookmarkStart w:id="2" w:name="page3"/>
    <w:bookmarkEnd w:id="2"/>
    <w:p>
      <w:pPr>
        <w:spacing w:after="0" w:line="2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Paramount Global Administrative Committee and Plan Participants of Paramount Global 401(k)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Paramount Global 401(k) Plan (fka CBS 401(k) Plan) (the “Plan”) as of December 31, 2021 and 2020 and the related statement of changes in net assets available for benefits for the year ended December 31, 2021, including the related notes (collectively referred to as the “financial statements”). In our opinion, the financial statements present fairly, in all material respects, the net assets available for benefits of the Plan as of December 31, 2021 and 2020, and the changes in net assets available for benefits for the year ended December 31, 2021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supplemental Schedule of Delinquent Participant Contributions for the year ended December 31, 2021 and Schedule of Assets (Held at End of Year) as of December 31, 2021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1996. We have not been able to determine the specific year we began serving as auditor of the Plan.</w:t>
      </w:r>
    </w:p>
    <w:p>
      <w:pPr>
        <w:sectPr>
          <w:pgSz w:w="11900" w:h="16838" w:orient="portrait"/>
          <w:cols w:equalWidth="0" w:num="1">
            <w:col w:w="11220"/>
          </w:cols>
          <w:pgMar w:left="320" w:top="1440" w:right="359" w:bottom="1440" w:gutter="0" w:footer="0" w:header="0"/>
        </w:sectPr>
      </w:pPr>
    </w:p>
    <w:bookmarkStart w:id="3" w:name="page4"/>
    <w:bookmarkEnd w:id="3"/>
    <w:p>
      <w:pPr>
        <w:ind w:left="1740"/>
        <w:spacing w:after="0"/>
        <w:rPr>
          <w:sz w:val="20"/>
          <w:szCs w:val="20"/>
          <w:color w:val="auto"/>
        </w:rPr>
      </w:pPr>
      <w:r>
        <w:rPr>
          <w:rFonts w:ascii="Times New Roman" w:cs="Times New Roman" w:eastAsia="Times New Roman" w:hAnsi="Times New Roman"/>
          <w:sz w:val="22"/>
          <w:szCs w:val="22"/>
          <w:b w:val="1"/>
          <w:bCs w:val="1"/>
          <w:color w:val="auto"/>
        </w:rPr>
        <w:t>PARAMOUNT GLOBAL 401(k) PLAN (fka CBS 401(k) Plan)</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800" w:type="dxa"/>
            <w:vAlign w:val="bottom"/>
            <w:tcBorders>
              <w:top w:val="single" w:sz="8" w:color="auto"/>
              <w:bottom w:val="single" w:sz="8" w:color="auto"/>
            </w:tcBorders>
          </w:tcPr>
          <w:p>
            <w:pPr>
              <w:spacing w:after="0"/>
              <w:rPr>
                <w:sz w:val="22"/>
                <w:szCs w:val="22"/>
                <w:color w:val="auto"/>
              </w:rPr>
            </w:pPr>
          </w:p>
        </w:tc>
      </w:tr>
      <w:tr>
        <w:trPr>
          <w:trHeight w:val="223"/>
        </w:trPr>
        <w:tc>
          <w:tcPr>
            <w:tcW w:w="6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5,467,127</w:t>
            </w: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3,247,355</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Synthetic guaranteed investment contracts, at contract value</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970,787</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951,081</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32,841</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21,636</w:t>
            </w:r>
          </w:p>
        </w:tc>
      </w:tr>
      <w:tr>
        <w:trPr>
          <w:trHeight w:val="229"/>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33,323</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dividends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3,250</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34"/>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1,311</w:t>
            </w: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6,508,639</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4,226,845</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2,080</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4"/>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5,985</w:t>
            </w: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8,065</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6,500,574</w:t>
            </w: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4,223,818</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240"/>
          </w:cols>
          <w:pgMar w:left="1320" w:top="1094" w:right="1339" w:bottom="1440" w:gutter="0" w:footer="0" w:header="0"/>
        </w:sectPr>
      </w:pPr>
    </w:p>
    <w:bookmarkStart w:id="4" w:name="page5"/>
    <w:bookmarkEnd w:id="4"/>
    <w:p>
      <w:pPr>
        <w:ind w:left="1720"/>
        <w:spacing w:after="0"/>
        <w:rPr>
          <w:sz w:val="20"/>
          <w:szCs w:val="20"/>
          <w:color w:val="auto"/>
        </w:rPr>
      </w:pPr>
      <w:r>
        <w:rPr>
          <w:rFonts w:ascii="Times New Roman" w:cs="Times New Roman" w:eastAsia="Times New Roman" w:hAnsi="Times New Roman"/>
          <w:sz w:val="22"/>
          <w:szCs w:val="22"/>
          <w:b w:val="1"/>
          <w:bCs w:val="1"/>
          <w:color w:val="auto"/>
        </w:rPr>
        <w:t>PARAMOUNT GLOBAL 401(k) PLAN (fka CBS 401(k) Plan)</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0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626,454</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118,797</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92,480</w:t>
            </w:r>
          </w:p>
        </w:tc>
      </w:tr>
      <w:tr>
        <w:trPr>
          <w:trHeight w:val="234"/>
        </w:trPr>
        <w:tc>
          <w:tcPr>
            <w:tcW w:w="5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Rollover</w:t>
            </w: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w:t>
            </w:r>
          </w:p>
        </w:tc>
      </w:tr>
      <w:tr>
        <w:trPr>
          <w:trHeight w:val="223"/>
        </w:trPr>
        <w:tc>
          <w:tcPr>
            <w:tcW w:w="55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additions</w:t>
            </w:r>
          </w:p>
        </w:tc>
        <w:tc>
          <w:tcPr>
            <w:tcW w:w="18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870,733</w:t>
            </w: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(477,331)</w:t>
            </w:r>
          </w:p>
        </w:tc>
      </w:tr>
      <w:tr>
        <w:trPr>
          <w:trHeight w:val="234"/>
        </w:trPr>
        <w:tc>
          <w:tcPr>
            <w:tcW w:w="5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Plan expenses</w:t>
            </w: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23"/>
        </w:trPr>
        <w:tc>
          <w:tcPr>
            <w:tcW w:w="55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deductions</w:t>
            </w:r>
          </w:p>
        </w:tc>
        <w:tc>
          <w:tcPr>
            <w:tcW w:w="18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(480,853)</w:t>
            </w: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1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389,880</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4,223,818</w:t>
            </w:r>
          </w:p>
        </w:tc>
      </w:tr>
      <w:tr>
        <w:trPr>
          <w:trHeight w:val="238"/>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Transfer of assets into this plan (see Note 1)</w:t>
            </w: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1,886,876</w:t>
            </w:r>
          </w:p>
        </w:tc>
      </w:tr>
      <w:tr>
        <w:trPr>
          <w:trHeight w:val="25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end of year</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6,500,574</w:t>
            </w: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20"/>
          </w:cols>
          <w:pgMar w:left="1340" w:top="1094" w:right="1339" w:bottom="1440" w:gutter="0" w:footer="0" w:header="0"/>
        </w:sectPr>
      </w:pPr>
    </w:p>
    <w:bookmarkStart w:id="5" w:name="page6"/>
    <w:bookmarkEnd w:id="5"/>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PLAN DESCRIPTION</w:t>
      </w:r>
    </w:p>
    <w:p>
      <w:pPr>
        <w:spacing w:after="0" w:line="1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On December 4, 2019 (“Effective Time”), Viacom Inc. (“Viacom”) merged with and into CBS Corporation (“CBS”), with CBS continuing as the surviving company. At the Effective Time of the merger, the combined company changed its name to ViacomCBS Inc. (“ViacomCBS”). On February 16, 2022, ViacomCBS was renamed Paramount Global (“Paramount” or the “Company”).</w:t>
      </w:r>
    </w:p>
    <w:p>
      <w:pPr>
        <w:spacing w:after="0" w:line="2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Effective on October 1, 2021, the Viacom 401(k) Plan was merged into the Paramount Global 401(k) Plan (the “Plan,” which prior to October 1, 2021 was named the CBS 401(k) Plan and which during the period of October 1, 2021 through February 15, 2022 was named the ViacomCBS 401(k) Plan).</w:t>
      </w:r>
    </w:p>
    <w:p>
      <w:pPr>
        <w:spacing w:after="0" w:line="2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The following is a brief description of the Plan and is provided for general information only. Participants should refer to the Plan document, as amended, for more complete information regarding the Plan.</w:t>
      </w:r>
    </w:p>
    <w:p>
      <w:pPr>
        <w:spacing w:after="0" w:line="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Plan, sponsored by the Company, is a defined contribution plan offered to substantially all of the Company’s employees who (i) immediately prior to the Effective Time were employed by CBS Corporation or any of its subsidiaries, and paid through a CBS Corporation payroll system (“CBS Payroll”), (ii) on or after the Effective Time were hired by the Company or any of its subsidiaries or affiliates and paid through CBS Payroll, or (iii) on or after the Effective Time were transferred or reassigned and paid through CBS Payroll, or (iv) on or after October 1, 2021, were paid through CBS Payroll or a Viacom payroll system (“Viacom Payroll”).</w:t>
      </w:r>
    </w:p>
    <w:p>
      <w:pPr>
        <w:spacing w:after="0" w:line="22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Eligible full-time, newly hired employees may enroll in the Plan immediately or are automatically enrolled following 60 days after hire or rehire and attainment of age 21, unless they elect not to participate. Part-time employees are automatically enrolled in the Plan on the first day of the month following the attainment of age 21 and completion of 1,000 hours of service within a consecutive twelve-month period, unless they already voluntarily enrolled upon meeting the age and service requirements or have elected not to participate. The Plan is subject to the provisions of the Internal Revenue Code of 1986, as amended (the “Code”), and the Employee Retirement Income Security Act of 1974, as amended (“ERISA”). The Plan is overseen by the Paramount Global Administrative Committee (the “Administrative Committee”). The Administrative Committee has been designated as the administrator of the Plan as defined under ERISA (the “Plan Administrator”) under the Plan document.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Transfer of Viacom 401(k) Plan Assets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On September 30, 2021, $1,887 million of plan assets were transferred into the Paramount Global 401(k) Plan from the Viacom 401(k) plan (the “Plan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Exempt Party-in-Interest Transactions</w:t>
      </w:r>
    </w:p>
    <w:p>
      <w:pPr>
        <w:spacing w:after="0" w:line="1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Certain Plan investments are shares of Paramount Global Class A Common Stock and Class B Common Stock and therefore qualify as party-in-interest transactions. The fair value of these investments was $143 million and $169 million at December 31, 2021 and 2020, respectively. For the year ended December 31, 2021, these investments depreciated by $14 million and earned dividends of $4 million. During the year ended December 31, 2021, the Plan sold shares of Paramount Global for total proceeds of $72 million and purchased shares of Paramount Global at a cost of $30 million. As a result of the Plan Merger, $30 million of Paramount Global Common Stock was transferred into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365" w:right="339" w:bottom="1440" w:gutter="0" w:footer="0" w:header="0"/>
        </w:sectPr>
      </w:pPr>
    </w:p>
    <w:bookmarkStart w:id="6" w:name="page7"/>
    <w:bookmarkEnd w:id="6"/>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Fidelity Management Trust Company (the “Trustee”) is the trustee and custodian of the Plan, Fidelity Workplace Services LLC (the “Recordkeeper”) is the recordkeeper of the Plan, and State Street Global Advisors Trust Company (“State Street”) is an independent fiduciary for the Plan’s Paramount Global common stock funds. Certain Plan investments are shares of funds and bonds managed by the Trustee, State Street or their affiliates and therefore qualify as party-in-interest transactions. The fair value of these investments was $62 million and $35 million at December 31, 2021 and 2020, respectively. The Plan’s investments also include a synthetic guaranteed investment contract issued by State Street. The contract value of this synthetic guaranteed investment contract was $89 million at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 Accounts</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Plan participant’s account is credited with the participant’s contributions, the employer contributions, if applicable, and the participant’s share of the interest, dividends, and any realized or unrealized gains or losses of the Plan’s assets, net of certain Plan expenses.</w:t>
      </w:r>
    </w:p>
    <w:p>
      <w:pPr>
        <w:spacing w:after="0" w:line="20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Participants have the option of investing contributions to their accounts and their existing account balances among various investment options. These investment options include common collective funds, registered investment companies (mutual funds), proprietary funds that consist of common collective funds and/or separately managed accounts, which primarily invest in common stocks, a stable value fund and the Paramount Global Class B Stock Fund. Some participants are invested in the Paramount Global Class A Stock Fund, but that fund is closed to new investment.</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Within the Plan, the Paramount Global Class A Stock Fund and Paramount Global Class B Stock Fund are part of an Employee Stock Ownership Plan (“ESOP”). As a result, the Plan offers an ESOP dividend election under which Plan participants can elect to reinvest any ESOP dividends paid on vested shares in the Paramount Global Class B Stock Fund or to receive dividends as a cash payout. If a participant does not make an election, the dividends are reinvested in the Paramount Global Class B Stock Fund.</w:t>
      </w:r>
    </w:p>
    <w:p>
      <w:pPr>
        <w:spacing w:after="0" w:line="1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Participants may also elect to open a self-directed brokerage account (“SDA”). Participants may not contribute directly to the SDA, but may transfer balances to the SDA from other investment funds except the Stable Value Fund. A participant may transfer up to 25% of their account balance (net of loans) to the SDA. The initial transfer to the SDA may not be less than $2,500 and there is no minimum for subsequent individual transfers.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15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Plan permits participants paid through CBS Payroll to contribute up to 50% of eligible annual compensation on a traditional before-tax, Roth 401(k) after-tax, or combination basis and up to 15% of eligible annual compensation on a traditional after-tax basis, subject to the Code limitations set forth below. The Plan permits participants paid through Viacom Payroll to contribute up to 50% of eligible annual compensation on a traditional before-tax basis, subject to the Code limitations set forth below. Total combined contributions for all participants may not exceed 50% of eligible annual compensation. Roth 401(k) contributions and the related earnings can be withdrawn tax-free if certain requirements are met. Prior to 2021, the level of employer matching contributions is entirely at the discretion of the Company and is determined annually for all participants in the Plan. For 2020, the Company set the employer’s matching contribution at 60% of the first 5% of eligible compensation contributed on a before-tax or Roth 401(k) basis.</w:t>
      </w:r>
    </w:p>
    <w:p>
      <w:pPr>
        <w:spacing w:after="0" w:line="2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Effective January 1, 2021, the Plan was amended to provide (1) nondiscretionary employer matching contributions and (2) discretionary profit-sharing contributions. The formula for the nondiscretionary matching contributions is (a) 100% of a participant’s deferrals on the first 1% of the participant’s eligible compensation, plus (b) 80% of a participant’s deferrals on the next 5% of the participant’s eligible compensation. Discretionary profit sharing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365" w:right="379" w:bottom="1440" w:gutter="0" w:footer="0" w:header="0"/>
        </w:sectPr>
      </w:pPr>
    </w:p>
    <w:bookmarkStart w:id="7" w:name="page8"/>
    <w:bookmarkEnd w:id="7"/>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contributions (a) are based on a target 1.5% of each eligible participant’s eligible compensation and (b) are contributed for those participants who are active employees eligible for the Plan on December 31. For 2021, a discretionary profit-sharing contribution of 1.5% was made in March 2022 and is included in employer contribution receivable in the Statement of Net Assets Available for Benefits.</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Participants may elect to invest their contributions in any investment option, including the Paramount Global Class B Common Stock fund. If no option is elected by the participant, the contribution is invested in the Plan’s Qualified Default Investment Alternative (“QDIA”), a common collective fund that is primarily invested in a mix of equities and bonds appropriate for the participant’s target retirement year, which is assumed to be at age 65.</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Upon date of hire and, effective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date upon which an employee becomes eligible to participate in the Plan, newly hired employees are deemed to have authorized the Company to make before-tax contributions to the Plan in an amount equal to 6% of the employee’s eligible compensation. However, a deemed authorization does not take effect if, during the 60-day period, the employee elects not to participate in the Plan or to participate at a different contribution rate.</w:t>
      </w:r>
    </w:p>
    <w:p>
      <w:pPr>
        <w:spacing w:after="0" w:line="22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The Code limits the amount of annual participant contributions that can be made on a before-tax or Roth 401(k) basis to $19,500 for 2021. Total compensation considered under the Plan, based on Code limits, could not exceed $290,000 for 2021. The Code also limits annual aggregate participant and employer contributions to the lesser of $58,000 or 100% of compensation in 2021. All contributions made to the Plan on an annual basis may be further limited due to certain nondiscrimination requirements prescribed by the Code.</w:t>
      </w:r>
    </w:p>
    <w:p>
      <w:pPr>
        <w:spacing w:after="0" w:line="21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All participants who have attained age 50 before the close of the Plan year (calendar year) are eligible to make catch-up contributions. These contributions are not treated as matchable contributions. Catch-up contributions can be made if the eligible participant makes the maximum $19,500 contribution permitted for the Plan year. The limit for catch-up contributions was $6,500 in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Vesting</w:t>
      </w:r>
    </w:p>
    <w:p>
      <w:pPr>
        <w:spacing w:after="0" w:line="152"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9"/>
          <w:szCs w:val="19"/>
          <w:color w:val="auto"/>
        </w:rPr>
        <w:t>Participants in the Plan are immediately vested in their own contributions and earnings thereon. As of January 1, 2021, the Plan includes a two-year cliff vesting schedule for employer matching contributions and profit-sharing contributions (collectively “employer contributions”).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Forfeitures</w:t>
      </w:r>
    </w:p>
    <w:p>
      <w:pPr>
        <w:spacing w:after="0" w:line="1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If a participant’s employment terminates prior to being fully vested in their employer contributions, the non-vested portion of their account is forfeited and may be used for future employer contributions and to pay administrative expenses. Forfeitures are recorded at the time vested benefits are distributed or as of the close of the fifth consecutive year of break in service if no distribution was elected. During 2021, the Plan utilized forfeitures of approximately $449,900 to pay administrative expenses, and $2 million was transferred into forfeitures in connection with the Plan Merger. As of December 31, 2021 and 2020, the Plan had forfeitures of approximately $6.4 million and $831,000, respectively, available to be used as noted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152"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0"/>
          <w:szCs w:val="20"/>
          <w:color w:val="auto"/>
        </w:rPr>
        <w:t xml:space="preserve">Eligible participants may request a loan for up to the lesser of 50% of the participant’s vested account balance or $50,000, reduced by the highest outstanding balance of any Plan loan made to the participant during the twelve-month period ending on the day before the loan is made. The minimum loan available to a participant is $500. The interest rate on participant loans is one percentage point above the annual prime commercial rate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on the first day of the calendar month in which the loan is approved. Principal and interest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365" w:right="359" w:bottom="1440" w:gutter="0" w:footer="0" w:header="0"/>
        </w:sectPr>
      </w:pPr>
    </w:p>
    <w:bookmarkStart w:id="8" w:name="page9"/>
    <w:bookmarkEnd w:id="8"/>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is payable through payroll deductions. Generally, only one loan may be outstanding at any time. Participants may elect repayment periods from 12 to 60 months commencing as soon as administratively possible following the distribution of the loan proceeds to the participant. The Plan allows participants to elect a repayment term of up to 300 months for loans used for the acquisition of a principal residence. Repayments of loan principal and interest are allocated in accordance with the participant’s current investment elections. Loans outstanding at December 31, 2021 carry interest rates ranging from 4.25% to 9.50%.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 and Withdrawals</w:t>
      </w:r>
    </w:p>
    <w:p>
      <w:pPr>
        <w:spacing w:after="0" w:line="15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Earnings on employee contributions (other than after-tax contributions) and employer contributions are not subject to income tax until they are distributed or withdrawn from the Plan.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Participants in the Plan, or their beneficiaries, may receive their vested account balances in a lump sum, in installments over a period of up to 20 years, or in partial distributions of the account balance in the event of retirement, termination of employment, disability or death. For vested account balances invested in the Paramount Global Class A Common Stock fund and Paramount Global Class B Common Stock fund, participants may elect to receive distributions in cash or whole shares. In general, participants must receive a required minimum distribution (“RMD”) upon attainment of a certain age, unless they are still employed. For individuals who attained age 70 ½ on or before December 31, 2019, that age is 70 ½. For individuals who attain age 70 ½ on or after January 1, 2020, in accordance with the Setting Every Community Up for Retirement Enhancement Act of 2019 (the “SECURE Act”), that age is 72.</w:t>
      </w:r>
    </w:p>
    <w:p>
      <w:pPr>
        <w:spacing w:after="0" w:line="22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Participants in the Plan may withdraw part or all of their after-tax and rollover contributions and the vested portion of employer matching contributions. Upon attainment of age 59 ½, participants may also withdraw all or part of their before-tax or Roth 401(k) contributions and earnings thereon. The Plan limits participants to two of the above withdrawal elections in each Plan year.</w:t>
      </w:r>
    </w:p>
    <w:p>
      <w:pPr>
        <w:spacing w:after="0" w:line="19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0"/>
          <w:szCs w:val="20"/>
          <w:color w:val="auto"/>
        </w:rPr>
        <w:t>A participant may obtain a financial hardship withdrawal of the vested portion of employer matching contributions and employee before-tax or Roth 401(k) contributions provided that the requirements for hardship are met and only to the extent required to relieve such financial hardship. There is no restriction on the number of hardship withdrawals permitted.</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When a participant terminates employment with the Company, the full value of employee contributions and earnings thereon plus the value of all vested employer contributions and earnings thereon are eligible for distribution and can be rolled over to a tax qualified retirement plan or an Individual Retirement Account (“IRA”) or remain in the Plan rather than being distributed. If the vested account balance is $1,000 or less and the participant does not make an election to rollover the vested account balance, it will be automatically paid in a single lump sum cash payment, and taxes will be withheld from the distribution.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 Expenses</w:t>
      </w:r>
    </w:p>
    <w:p>
      <w:pPr>
        <w:spacing w:after="0" w:line="15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Trustee fees and fees for investment of Plan assets are charged to the Plan’s investment funds. Certain administrative expenses such as fees for accounting, investment consulting and employee communications may be paid by the Plan using forfeitures or may be paid by the Company. Recordkeeping fees are paid from participant accounts. For 2021, $3.3 million was paid to the Trustee and the Recordkeeper, parties in interest, for services provided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365" w:right="359" w:bottom="1440" w:gutter="0" w:footer="0" w:header="0"/>
        </w:sectPr>
      </w:pPr>
    </w:p>
    <w:bookmarkStart w:id="9" w:name="page10"/>
    <w:bookmarkEnd w:id="9"/>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347" w:lineRule="exact"/>
        <w:rPr>
          <w:sz w:val="20"/>
          <w:szCs w:val="20"/>
          <w:color w:val="auto"/>
        </w:rPr>
      </w:pPr>
    </w:p>
    <w:p>
      <w:pPr>
        <w:ind w:right="5180"/>
        <w:spacing w:after="0" w:line="396" w:lineRule="auto"/>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b w:val="1"/>
          <w:bCs w:val="1"/>
          <w:i w:val="1"/>
          <w:iCs w:val="1"/>
          <w:color w:val="auto"/>
        </w:rPr>
        <w:t>Basis of Accounting</w:t>
      </w:r>
    </w:p>
    <w:p>
      <w:pPr>
        <w:spacing w:after="0" w:line="1" w:lineRule="exact"/>
        <w:rPr>
          <w:sz w:val="20"/>
          <w:szCs w:val="20"/>
          <w:color w:val="auto"/>
        </w:rPr>
      </w:pPr>
    </w:p>
    <w:p>
      <w:pPr>
        <w:ind w:right="880"/>
        <w:spacing w:after="0" w:line="283" w:lineRule="auto"/>
        <w:rPr>
          <w:sz w:val="20"/>
          <w:szCs w:val="20"/>
          <w:color w:val="auto"/>
        </w:rPr>
      </w:pPr>
      <w:r>
        <w:rPr>
          <w:rFonts w:ascii="Times New Roman" w:cs="Times New Roman" w:eastAsia="Times New Roman" w:hAnsi="Times New Roman"/>
          <w:sz w:val="20"/>
          <w:szCs w:val="20"/>
          <w:color w:val="auto"/>
        </w:rPr>
        <w:t>The financial statements are prepared in conformity with accounting principles generally accepted in the United States of America (“GAAP”).</w:t>
      </w:r>
    </w:p>
    <w:p>
      <w:pPr>
        <w:spacing w:after="0" w:line="17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In accordance with Financial Accounting Standards Board (“FASB”) guidance, investments are reported at fair value, except for fully benefit-responsive investment contracts which are reported at contract value. Contract value was determined to be the relevant measurement for the portion of net assets available for benefits attributable to fully benefit-responsive investment contracts because contract value is the amount participants would receive if they were to initiate permitted transactions under the terms of the Plan. The Statement of Changes in Net Assets Available for Benefits is prepared on a contract value basis with respect to the fully benefit-responsive investment contracts.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Valuation</w:t>
      </w:r>
    </w:p>
    <w:p>
      <w:pPr>
        <w:spacing w:after="0" w:line="16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Short-term money market investments are carried at amortized cost which approximates fair value due to the short-term maturity of these investments. Investments in common stock are reported at fair value based on quoted market prices on national security exchanges. Investments in registered investment companies are reported at fair value based on quoted market prices in active markets. The fair value of investments in separately managed accounts is determined by the Trustee based upon the fair value of the underlying securities. The fair values of investments in common collective funds are determined using the net asset value per share (“NAV”) provided by the administrator of the fund. The NAV is determined by each fund’s trustee based upon the fair value of the underlying assets owned by the fund, less liabilities, divided by the number of outstanding units. The common collective funds have no restrictions on participant redemptions. The notice period applicable to the Plan in the case of a full redemption varies by fund and ranges from one day to one month. The Plan had no unfunded commitments relating to the common collective funds at December 31, 2021 and 2020. The fair value of fixed income, asset-backed and mortgage-backed securities is determined by independent pricing sources based on quoted market prices, when available, or using valuation models which incorporate certain other observable inputs including recent trading activity for comparable securities and broker quoted prices. Cash and cash equivalents are valued at cost plus accrued interest, which approximates fair value.</w:t>
      </w:r>
    </w:p>
    <w:p>
      <w:pPr>
        <w:spacing w:after="0" w:line="2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As part of their investment strategy, the managers of the Stable Value Fund, which invests in synthetic guaranteed investment contracts, may use derivative financial instruments for various purposes, including managing exposure to sector risk or movements in interest rates, extending the duration of the investment portfolio and as a substitute for cash securities. The derivative instruments typically used are interest rate futures and swaps. Interest rate swaps are recorded at fair value and marked-to-market through the duration of the contract term with an offsetting increase to unrealized appreciation (depreciation). Futures are marked-to-market and settled daily. The daily receipt or payment is recognized as unrealized appreciation (depreciation) until the contract is closed at which time the total fair value of the futures contract is recognized as a realized gain (loss).</w:t>
      </w:r>
    </w:p>
    <w:p>
      <w:pPr>
        <w:spacing w:after="0" w:line="22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Plan invests in fully benefit-responsive synthetic guaranteed investment contracts through the Stable Value Fund. The contract value of these contracts represents the aggregate amount of deposits thereto, plus interest at the contract rate, less withdrawals.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 Transactions and Income Recognition</w:t>
      </w:r>
    </w:p>
    <w:p>
      <w:pPr>
        <w:spacing w:after="0" w:line="152"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auto"/>
        </w:rPr>
        <w:t>Purchases and sales of securities are recorded on the trade date. The average cost basis is used to determine gains or losses on security dispositions. Interest income is accrued as earned and dividend income is recorded on the ex-dividend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365" w:right="359" w:bottom="1440" w:gutter="0" w:footer="0" w:header="0"/>
        </w:sectPr>
      </w:pPr>
    </w:p>
    <w:bookmarkStart w:id="10" w:name="page11"/>
    <w:bookmarkEnd w:id="10"/>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3"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9"/>
          <w:szCs w:val="19"/>
          <w:color w:val="auto"/>
        </w:rPr>
        <w:t>Net appreciation or depreciation in the fair value of investments, included in the Statement of Changes in Net Assets Available for Benefits, consists of the realized gains and losses and the unrealized appreciation and depreciation on those investments presented at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15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Delinquent participant loans are reclassified as distributions based upon the terms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of Benefits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 payments are recorded when paid.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Plan to make estimates and assumptions, such as those regarding the fair value of investments, that affect the reported amounts of assets and liabilities, disclosure of contingent assets and liabilities at the date of the financial statements and the reported amounts of changes in net assets available for benefits during the reporting period. Actual results could differ from these estimates.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RISKS AND UNCERTAINTIES</w:t>
      </w:r>
    </w:p>
    <w:p>
      <w:pPr>
        <w:spacing w:after="0" w:line="1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Plan provides for various investment options. Investment securities are exposed to various risks such as market, interest rate and credit risk. Market values of investments could decline for several reasons including changes in prevailing markets and interest rates, increases in defaults, and credit rating downgrades. In addition, the COVID-19 pandemic continues to impact the macroeconomic environment in the United States and globally. The magnitude of the impact of COVID-19 and its variants will depend on numerous evolving factors, including the duration and extent of the pandemic, the impact of governmental actions, consumer behavior in response to the pandemic and such governmental actions, and economic and operating conditions in the aftermath of COVID-19. Due to the evolving and uncertain nature of the pandemic, as well as the level of risk associated with certain investment securities and the level of uncertainty related to changes in the value of such securities, it is at least reasonably possible that changes in investment values in the near term could materially affect participants’ account balances and the amounts reported in the Statements of Net Assets Available for Benefits and the related Statement of Changes in Net Assets Available for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INVESTMENTS AT CONTRACT VALUE</w:t>
      </w:r>
    </w:p>
    <w:p>
      <w:pPr>
        <w:spacing w:after="0" w:line="1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Plan invests in synthetic guaranteed investment contracts, which provide for the repayment of principal plus interest through benefit-responsive wrapper contracts. A wrapper contract is issued by a third party insurance company, financial institution or bank, and is held in combination with fixed income securities to form a synthetic guaranteed investment contract. The interest crediting rate on synthetic guaranteed investment contracts reflects the yield of the associated fixed income investments, plus the amortization of realized and unrealized gains and losses on those investments, typically over the duration of the investments. Interest crediting rates are reset on a monthly or quarterly basis, and the wrapper contracts provide that adjustments to the interest crediting rate cannot result in a future interest crediting rate that is less than zero. Certain factors can influence the future interest crediting rates, including the level of market interest rates, the amount and timing of participant contributions and withdrawals, and the returns generated by the fixed income investments that are associated with the synthetic guaranteed investment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5" w:right="339" w:bottom="1440" w:gutter="0" w:footer="0" w:header="0"/>
        </w:sectPr>
      </w:pPr>
    </w:p>
    <w:bookmarkStart w:id="11" w:name="page12"/>
    <w:bookmarkEnd w:id="11"/>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Certain employer initiated events may limit the ability of the Plan to transact at contract value with the issuer. These events include, but are not limited to, full or partial termination of the Plan, a material adverse change to the provisions of the Plan, an employer election to withdraw from the contract to switch to a different investment provider, an employer’s bankruptcy, layoffs, plant closings, corporate spin-offs, mergers, divestitures or other workforce restructurings, or if the terms of a successor plan do not meet the contract issuer’s underwriting criteria for issuance of a replacement contract with identical terms. The Plan Administrator believes that no events are probable of occurring that may limit the ability of the Plan to transact at contract value.</w:t>
      </w:r>
    </w:p>
    <w:p>
      <w:pPr>
        <w:spacing w:after="0" w:line="2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contract issuer is permitted to terminate the fully benefit-responsive investment contracts with the Plan and settle at an amount different from contract value in certain events, including loss of the Plan’s qualified status, an uncured material breach of responsibility, or material adverse changes to the provisions of the Plan.</w:t>
      </w:r>
    </w:p>
    <w:p>
      <w:pPr>
        <w:spacing w:after="0" w:line="195"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At December 31, 2021 and 2020, the contract value of the Plan’s synthetic guaranteed investment contracts was $971 million and $951 million,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FAIR VALUE MEASUREMENTS</w:t>
      </w:r>
    </w:p>
    <w:p>
      <w:pPr>
        <w:spacing w:after="0" w:line="1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following tables set forth the Plan’s financial assets measured at fair value on a recurring basis at December 31, 2021 and 2020. See Note 2 for the valuation methodology used to measure the fair value of these investments. There have been no changes to the methodologies used to measure the fair value of each asset from December 31, 2020 to December 31, 2021. These assets have been categorized according to the three-level fair value hierarchy established by the FASB, which prioritizes the inputs used in measuring fair value. Level 1 is based on quoted prices for the asset in active markets. Level 2 is based on inputs that are observable other than quoted market prices in Level 1, such as quoted prices for the asset in inactive markets or quoted prices for similar assets. Level 3 is based on unobservable inputs reflecting the Plan’s own assumptions about the assumptions that market participants would use in pricing the asset. The asset’s level within the fair value hierarchy is based on the lowest level of any input that is significant to the fair value measurement. Valuation techniques maximize the use of relevant observable inputs and minimize the use of unobservable inputs. The Plan has no investments classified within Level 3 of the valuation hierarchy.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0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Self-directed accounts </w:t>
            </w:r>
            <w:r>
              <w:rPr>
                <w:rFonts w:ascii="Times New Roman" w:cs="Times New Roman" w:eastAsia="Times New Roman" w:hAnsi="Times New Roman"/>
                <w:sz w:val="23"/>
                <w:szCs w:val="23"/>
                <w:color w:val="auto"/>
                <w:vertAlign w:val="superscript"/>
              </w:rPr>
              <w:t>(a)</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57,863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7,304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65,167</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Separately managed accounts:</w:t>
            </w: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Sanders Capital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181,501</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4,824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186,325</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Wellington Management Company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180,010</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3,614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183,624</w:t>
            </w: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Sustainable Growth Advisers</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179,188</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3,015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182,203</w:t>
            </w: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Dodge &amp; Cox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178,710</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180,741</w:t>
            </w: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Snyder Capital Management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39,361</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40,608</w:t>
            </w:r>
          </w:p>
        </w:tc>
      </w:tr>
      <w:tr>
        <w:trPr>
          <w:trHeight w:val="229"/>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Paramount Global Common Stock funds </w:t>
            </w:r>
            <w:r>
              <w:rPr>
                <w:rFonts w:ascii="Times New Roman" w:cs="Times New Roman" w:eastAsia="Times New Roman" w:hAnsi="Times New Roman"/>
                <w:sz w:val="23"/>
                <w:szCs w:val="23"/>
                <w:color w:val="auto"/>
                <w:vertAlign w:val="superscript"/>
              </w:rPr>
              <w:t>(c)</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142,925</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30"/>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Registered investment companies </w:t>
            </w:r>
            <w:r>
              <w:rPr>
                <w:rFonts w:ascii="Times New Roman" w:cs="Times New Roman" w:eastAsia="Times New Roman" w:hAnsi="Times New Roman"/>
                <w:sz w:val="23"/>
                <w:szCs w:val="23"/>
                <w:color w:val="auto"/>
                <w:vertAlign w:val="superscript"/>
              </w:rPr>
              <w:t>(d)</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94,198</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94,198</w:t>
            </w:r>
          </w:p>
        </w:tc>
      </w:tr>
      <w:tr>
        <w:trPr>
          <w:trHeight w:val="234"/>
        </w:trPr>
        <w:tc>
          <w:tcPr>
            <w:tcW w:w="5080" w:type="dxa"/>
            <w:vAlign w:val="bottom"/>
            <w:tcBorders>
              <w:bottom w:val="single" w:sz="8" w:color="auto"/>
            </w:tcBorders>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35,079</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1,053,756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57,480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1,111,236</w:t>
            </w:r>
          </w:p>
        </w:tc>
      </w:tr>
      <w:tr>
        <w:trPr>
          <w:trHeight w:val="238"/>
        </w:trPr>
        <w:tc>
          <w:tcPr>
            <w:tcW w:w="508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Common collective funds measured at net asset value </w:t>
            </w:r>
            <w:r>
              <w:rPr>
                <w:rFonts w:ascii="Times New Roman" w:cs="Times New Roman" w:eastAsia="Times New Roman" w:hAnsi="Times New Roman"/>
                <w:sz w:val="23"/>
                <w:szCs w:val="23"/>
                <w:b w:val="1"/>
                <w:bCs w:val="1"/>
                <w:color w:val="auto"/>
                <w:vertAlign w:val="superscript"/>
              </w:rPr>
              <w:t>(f)</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4,355,891</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65" w:right="339" w:bottom="1440" w:gutter="0" w:footer="0" w:header="0"/>
        </w:sectPr>
      </w:pPr>
    </w:p>
    <w:bookmarkStart w:id="12" w:name="page13"/>
    <w:bookmarkEnd w:id="12"/>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0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Self-directed accounts </w:t>
            </w:r>
            <w:r>
              <w:rPr>
                <w:rFonts w:ascii="Times New Roman" w:cs="Times New Roman" w:eastAsia="Times New Roman" w:hAnsi="Times New Roman"/>
                <w:sz w:val="23"/>
                <w:szCs w:val="23"/>
                <w:color w:val="auto"/>
                <w:vertAlign w:val="superscript"/>
              </w:rPr>
              <w:t>(a)</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48,283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6,420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54,703</w:t>
            </w: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Separately managed accounts:</w:t>
            </w: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Wellington Growth Portfolio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317,686</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317,737</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Dodge &amp; Cox Value Equity Fund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132,889</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1,971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134,860</w:t>
            </w:r>
          </w:p>
        </w:tc>
      </w:tr>
      <w:tr>
        <w:trPr>
          <w:trHeight w:val="230"/>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Paramount Global Common Stock funds </w:t>
            </w:r>
            <w:r>
              <w:rPr>
                <w:rFonts w:ascii="Times New Roman" w:cs="Times New Roman" w:eastAsia="Times New Roman" w:hAnsi="Times New Roman"/>
                <w:sz w:val="23"/>
                <w:szCs w:val="23"/>
                <w:color w:val="auto"/>
                <w:vertAlign w:val="superscript"/>
              </w:rPr>
              <w:t>(c)</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168,603</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168,849</w:t>
            </w:r>
          </w:p>
        </w:tc>
      </w:tr>
      <w:tr>
        <w:trPr>
          <w:trHeight w:val="229"/>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Registered investment companies </w:t>
            </w:r>
            <w:r>
              <w:rPr>
                <w:rFonts w:ascii="Times New Roman" w:cs="Times New Roman" w:eastAsia="Times New Roman" w:hAnsi="Times New Roman"/>
                <w:sz w:val="23"/>
                <w:szCs w:val="23"/>
                <w:color w:val="auto"/>
                <w:vertAlign w:val="superscript"/>
              </w:rPr>
              <w:t>(d)</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153,307</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153,307</w:t>
            </w:r>
          </w:p>
        </w:tc>
      </w:tr>
      <w:tr>
        <w:trPr>
          <w:trHeight w:val="238"/>
        </w:trPr>
        <w:tc>
          <w:tcPr>
            <w:tcW w:w="508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22,590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820,768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31,278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852,046</w:t>
            </w:r>
          </w:p>
        </w:tc>
      </w:tr>
      <w:tr>
        <w:trPr>
          <w:trHeight w:val="240"/>
        </w:trPr>
        <w:tc>
          <w:tcPr>
            <w:tcW w:w="508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Common collective funds measured at net asset value </w:t>
            </w:r>
            <w:r>
              <w:rPr>
                <w:rFonts w:ascii="Times New Roman" w:cs="Times New Roman" w:eastAsia="Times New Roman" w:hAnsi="Times New Roman"/>
                <w:sz w:val="23"/>
                <w:szCs w:val="23"/>
                <w:b w:val="1"/>
                <w:bCs w:val="1"/>
                <w:color w:val="auto"/>
                <w:vertAlign w:val="superscript"/>
              </w:rPr>
              <w:t>(f)</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2,395,309</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3,247,355</w:t>
            </w:r>
          </w:p>
        </w:tc>
      </w:tr>
    </w:tbl>
    <w:p>
      <w:pPr>
        <w:spacing w:after="0" w:line="126"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common stock and registered investment companies. Assets categorized as Level 2 reflect investments in money market funds.</w:t>
      </w:r>
    </w:p>
    <w:p>
      <w:pPr>
        <w:spacing w:after="0" w:line="41"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large and small capitalization equities. Assets categorized as Level 2 reflect investments in money market funds.</w:t>
      </w:r>
    </w:p>
    <w:p>
      <w:pPr>
        <w:spacing w:after="0" w:line="55"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categorized as Level 2 reflect investments in money market funds.</w:t>
      </w:r>
    </w:p>
    <w:p>
      <w:pPr>
        <w:spacing w:after="0" w:line="41"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equities.</w:t>
      </w:r>
    </w:p>
    <w:p>
      <w:pPr>
        <w:spacing w:after="0" w:line="41"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U.S. government securities and U.S. government agency securities.</w:t>
      </w:r>
    </w:p>
    <w:p>
      <w:pPr>
        <w:spacing w:after="0" w:line="55" w:lineRule="exact"/>
        <w:rPr>
          <w:rFonts w:ascii="Times New Roman" w:cs="Times New Roman" w:eastAsia="Times New Roman" w:hAnsi="Times New Roman"/>
          <w:sz w:val="14"/>
          <w:szCs w:val="14"/>
          <w:color w:val="auto"/>
        </w:rPr>
      </w:pPr>
    </w:p>
    <w:p>
      <w:pPr>
        <w:ind w:left="980" w:right="740" w:hanging="324"/>
        <w:spacing w:after="0" w:line="281" w:lineRule="auto"/>
        <w:tabs>
          <w:tab w:leader="none" w:pos="97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FASB guidance, investments that are measured at fair value using the net asset value per share (or its equivalent) as a practical expedient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INCOME TAX STATUS</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Internal Revenue Service (“IRS”) issued a favorable determination letter dated January 13, 2015, indicating that the Plan document satisfied the requirements of Section 401(a) of the Code and that the trust thereunder is exempt from federal income taxes under the provisions of Section 501(a) of the Code. The Plan Administrator believes that, although the Plan has been amended subsequent to the date of the IRS determination, it is designed and is currently being operated in compliance with the applicable provisions of the Code.</w:t>
      </w:r>
    </w:p>
    <w:p>
      <w:pPr>
        <w:spacing w:after="0" w:line="2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of December 31, 2021, there are no uncertain tax positions taken or expected to be taken that require recognition of an asset or liability or disclosure in the financial statements. The Plan is subject to routine audits by taxing jurisdictions; however, there are no audits in progress for any tax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TERMINATION PRIORITIES</w:t>
      </w:r>
    </w:p>
    <w:p>
      <w:pPr>
        <w:spacing w:after="0" w:line="1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The Company has reserved the right by action of the Paramount Global Board of Directors or Administrative Committee to amend or terminate the Plan provided that such action does not retroactively reduce earned participant benefits. In the event of termination of the Plan, participants become fully vested.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RECONCILIATION OF FINANCIAL STATEMENTS TO FORM 5500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net assets available for benefits per the financial statements to the Form 5500:</w:t>
      </w:r>
    </w:p>
    <w:p>
      <w:pPr>
        <w:spacing w:after="0" w:line="272" w:lineRule="exact"/>
        <w:rPr>
          <w:sz w:val="20"/>
          <w:szCs w:val="20"/>
          <w:color w:val="auto"/>
        </w:rPr>
      </w:pPr>
    </w:p>
    <w:tbl>
      <w:tblPr>
        <w:tblLayout w:type="fixed"/>
        <w:tblInd w:w="840" w:type="dxa"/>
        <w:tblCellMar>
          <w:top w:w="0" w:type="dxa"/>
          <w:left w:w="0" w:type="dxa"/>
          <w:bottom w:w="0" w:type="dxa"/>
          <w:right w:w="0" w:type="dxa"/>
        </w:tblCellMar>
      </w:tblPr>
      <w:tr>
        <w:trPr>
          <w:trHeight w:val="256"/>
        </w:trPr>
        <w:tc>
          <w:tcPr>
            <w:tcW w:w="63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40" w:type="dxa"/>
            <w:vAlign w:val="bottom"/>
            <w:tcBorders>
              <w:top w:val="single" w:sz="8" w:color="auto"/>
              <w:bottom w:val="single" w:sz="8" w:color="auto"/>
            </w:tcBorders>
          </w:tcPr>
          <w:p>
            <w:pPr>
              <w:spacing w:after="0"/>
              <w:rPr>
                <w:sz w:val="22"/>
                <w:szCs w:val="22"/>
                <w:color w:val="auto"/>
              </w:rPr>
            </w:pPr>
          </w:p>
        </w:tc>
      </w:tr>
      <w:tr>
        <w:trPr>
          <w:trHeight w:val="223"/>
        </w:trPr>
        <w:tc>
          <w:tcPr>
            <w:tcW w:w="6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6,500,574</w:t>
            </w: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4,223,818</w:t>
            </w:r>
          </w:p>
        </w:tc>
      </w:tr>
      <w:tr>
        <w:trPr>
          <w:trHeight w:val="234"/>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(1,711)</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6,498,863</w:t>
            </w: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365" w:right="339" w:bottom="1440" w:gutter="0" w:footer="0" w:header="0"/>
        </w:sectPr>
      </w:pPr>
    </w:p>
    <w:bookmarkStart w:id="13" w:name="page14"/>
    <w:bookmarkEnd w:id="13"/>
    <w:p>
      <w:pPr>
        <w:ind w:left="2900"/>
        <w:spacing w:after="0"/>
        <w:rPr>
          <w:sz w:val="20"/>
          <w:szCs w:val="20"/>
          <w:color w:val="auto"/>
        </w:rPr>
      </w:pPr>
      <w:r>
        <w:rPr>
          <w:rFonts w:ascii="Times New Roman" w:cs="Times New Roman" w:eastAsia="Times New Roman" w:hAnsi="Times New Roman"/>
          <w:sz w:val="20"/>
          <w:szCs w:val="20"/>
          <w:b w:val="1"/>
          <w:bCs w:val="1"/>
          <w:color w:val="auto"/>
        </w:rPr>
        <w:t xml:space="preserve">PARAMOUNT GLOBAL 401(k) PLAN </w:t>
      </w:r>
      <w:r>
        <w:rPr>
          <w:rFonts w:ascii="Times New Roman" w:cs="Times New Roman" w:eastAsia="Times New Roman" w:hAnsi="Times New Roman"/>
          <w:sz w:val="21"/>
          <w:szCs w:val="21"/>
          <w:b w:val="1"/>
          <w:bCs w:val="1"/>
          <w:color w:val="auto"/>
        </w:rPr>
        <w:t>(fka CBS 401(k) Plan)</w:t>
      </w:r>
    </w:p>
    <w:p>
      <w:pPr>
        <w:spacing w:after="0" w:line="1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following is a reconciliation of the net increase in net assets available for benefits as reflected in the financial statements to the Form 5500:</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66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6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389,880</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 at December 31, 2021</w:t>
            </w:r>
          </w:p>
        </w:tc>
        <w:tc>
          <w:tcPr>
            <w:tcW w:w="1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3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 at December 31, 2020</w:t>
            </w:r>
          </w:p>
        </w:tc>
        <w:tc>
          <w:tcPr>
            <w:tcW w:w="1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30"/>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Form 5500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389,591</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SUBSEQUENT EVENTS</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Subsequent events and transactions have been evaluated through the date the financial statements were issued, and are incorporated herein as applicable.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365" w:right="399" w:bottom="1440" w:gutter="0" w:footer="0" w:header="0"/>
        </w:sectPr>
      </w:pPr>
    </w:p>
    <w:bookmarkStart w:id="14" w:name="page15"/>
    <w:bookmarkEnd w:id="14"/>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SCHEDULE H, line 4a</w:t>
      </w:r>
    </w:p>
    <w:p>
      <w:pPr>
        <w:spacing w:after="0" w:line="25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PARAMOUNT GLOBAL 401(k) PLAN (fka CBS 401(k) Plan)</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SCHEDULE OF DELINQUENT PARTICIPANT CONTRIBUTIONS</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For the year ended December 31, 2021</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Total Fully Corrected</w:t>
            </w:r>
          </w:p>
        </w:tc>
        <w:tc>
          <w:tcPr>
            <w:tcW w:w="0" w:type="dxa"/>
            <w:vAlign w:val="bottom"/>
          </w:tcPr>
          <w:p>
            <w:pPr>
              <w:spacing w:after="0"/>
              <w:rPr>
                <w:sz w:val="1"/>
                <w:szCs w:val="1"/>
                <w:color w:val="auto"/>
              </w:rPr>
            </w:pPr>
          </w:p>
        </w:tc>
      </w:tr>
      <w:tr>
        <w:trPr>
          <w:trHeight w:val="162"/>
        </w:trPr>
        <w:tc>
          <w:tcPr>
            <w:tcW w:w="192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2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Total That Constitute Nonexempt Prohibited Transactions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2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Transferred late to Plan</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gridSpan w:val="6"/>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Under Voluntary</w:t>
            </w:r>
          </w:p>
        </w:tc>
        <w:tc>
          <w:tcPr>
            <w:tcW w:w="0" w:type="dxa"/>
            <w:vAlign w:val="bottom"/>
          </w:tcPr>
          <w:p>
            <w:pPr>
              <w:spacing w:after="0"/>
              <w:rPr>
                <w:sz w:val="1"/>
                <w:szCs w:val="1"/>
                <w:color w:val="auto"/>
              </w:rPr>
            </w:pPr>
          </w:p>
        </w:tc>
      </w:tr>
      <w:tr>
        <w:trPr>
          <w:trHeight w:val="159"/>
        </w:trPr>
        <w:tc>
          <w:tcPr>
            <w:tcW w:w="19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Check Here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center"/>
              <w:ind w:right="59"/>
              <w:spacing w:after="0" w:line="159" w:lineRule="exact"/>
              <w:rPr>
                <w:sz w:val="20"/>
                <w:szCs w:val="20"/>
                <w:color w:val="auto"/>
              </w:rPr>
            </w:pPr>
            <w:r>
              <w:rPr>
                <w:rFonts w:ascii="Times New Roman" w:cs="Times New Roman" w:eastAsia="Times New Roman" w:hAnsi="Times New Roman"/>
                <w:sz w:val="16"/>
                <w:szCs w:val="16"/>
                <w:b w:val="1"/>
                <w:bCs w:val="1"/>
                <w:color w:val="auto"/>
              </w:rPr>
              <w:t>Fiduciary Correction</w:t>
            </w:r>
          </w:p>
        </w:tc>
        <w:tc>
          <w:tcPr>
            <w:tcW w:w="0" w:type="dxa"/>
            <w:vAlign w:val="bottom"/>
          </w:tcPr>
          <w:p>
            <w:pPr>
              <w:spacing w:after="0"/>
              <w:rPr>
                <w:sz w:val="1"/>
                <w:szCs w:val="1"/>
                <w:color w:val="auto"/>
              </w:rPr>
            </w:pPr>
          </w:p>
        </w:tc>
      </w:tr>
      <w:tr>
        <w:trPr>
          <w:trHeight w:val="212"/>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If Late Participant Loan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Program (VFCP) and</w:t>
            </w:r>
          </w:p>
        </w:tc>
        <w:tc>
          <w:tcPr>
            <w:tcW w:w="0" w:type="dxa"/>
            <w:vAlign w:val="bottom"/>
          </w:tcPr>
          <w:p>
            <w:pPr>
              <w:spacing w:after="0"/>
              <w:rPr>
                <w:sz w:val="1"/>
                <w:szCs w:val="1"/>
                <w:color w:val="auto"/>
              </w:rPr>
            </w:pPr>
          </w:p>
        </w:tc>
      </w:tr>
      <w:tr>
        <w:trPr>
          <w:trHeight w:val="166"/>
        </w:trPr>
        <w:tc>
          <w:tcPr>
            <w:tcW w:w="192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Repayments 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2000" w:type="dxa"/>
            <w:vAlign w:val="bottom"/>
          </w:tcPr>
          <w:p>
            <w:pPr>
              <w:jc w:val="center"/>
              <w:ind w:left="119"/>
              <w:spacing w:after="0" w:line="166" w:lineRule="exact"/>
              <w:rPr>
                <w:sz w:val="20"/>
                <w:szCs w:val="20"/>
                <w:color w:val="auto"/>
              </w:rPr>
            </w:pPr>
            <w:r>
              <w:rPr>
                <w:rFonts w:ascii="Times New Roman" w:cs="Times New Roman" w:eastAsia="Times New Roman" w:hAnsi="Times New Roman"/>
                <w:sz w:val="16"/>
                <w:szCs w:val="16"/>
                <w:b w:val="1"/>
                <w:bCs w:val="1"/>
                <w:color w:val="auto"/>
              </w:rPr>
              <w:t>Contributions Corrected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center"/>
              <w:ind w:left="139"/>
              <w:spacing w:after="0" w:line="166" w:lineRule="exact"/>
              <w:rPr>
                <w:sz w:val="20"/>
                <w:szCs w:val="20"/>
                <w:color w:val="auto"/>
              </w:rPr>
            </w:pPr>
            <w:r>
              <w:rPr>
                <w:rFonts w:ascii="Times New Roman" w:cs="Times New Roman" w:eastAsia="Times New Roman" w:hAnsi="Times New Roman"/>
                <w:sz w:val="16"/>
                <w:szCs w:val="16"/>
                <w:b w:val="1"/>
                <w:bCs w:val="1"/>
                <w:color w:val="auto"/>
              </w:rPr>
              <w:t>Contributions Pending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59"/>
              <w:spacing w:after="0" w:line="166" w:lineRule="exact"/>
              <w:rPr>
                <w:sz w:val="20"/>
                <w:szCs w:val="20"/>
                <w:color w:val="auto"/>
              </w:rPr>
            </w:pPr>
            <w:r>
              <w:rPr>
                <w:rFonts w:ascii="Times New Roman" w:cs="Times New Roman" w:eastAsia="Times New Roman" w:hAnsi="Times New Roman"/>
                <w:sz w:val="16"/>
                <w:szCs w:val="16"/>
                <w:b w:val="1"/>
                <w:bCs w:val="1"/>
                <w:color w:val="auto"/>
              </w:rPr>
              <w:t>Prohibited Transaction</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Included </w:t>
            </w:r>
            <w:r>
              <w:rPr>
                <w:rFonts w:ascii="Arial" w:cs="Arial" w:eastAsia="Arial" w:hAnsi="Arial"/>
                <w:sz w:val="16"/>
                <w:szCs w:val="16"/>
                <w:color w:val="auto"/>
              </w:rPr>
              <w:t>x</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 Corrected</w:t>
            </w:r>
          </w:p>
        </w:tc>
        <w:tc>
          <w:tcPr>
            <w:tcW w:w="20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Outside VFCP</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Correction in VFCP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Exemption 2002-51</w:t>
            </w:r>
          </w:p>
        </w:tc>
        <w:tc>
          <w:tcPr>
            <w:tcW w:w="0" w:type="dxa"/>
            <w:vAlign w:val="bottom"/>
          </w:tcPr>
          <w:p>
            <w:pPr>
              <w:spacing w:after="0"/>
              <w:rPr>
                <w:sz w:val="1"/>
                <w:szCs w:val="1"/>
                <w:color w:val="auto"/>
              </w:rPr>
            </w:pPr>
          </w:p>
        </w:tc>
      </w:tr>
      <w:tr>
        <w:trPr>
          <w:trHeight w:val="205"/>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0" w:type="dxa"/>
            <w:vAlign w:val="bottom"/>
            <w:tcBorders>
              <w:top w:val="single" w:sz="8" w:color="auto"/>
            </w:tcBorders>
          </w:tcPr>
          <w:p>
            <w:pPr>
              <w:jc w:val="right"/>
              <w:ind w:right="181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7"/>
                <w:szCs w:val="17"/>
                <w:color w:val="auto"/>
              </w:rPr>
            </w:pPr>
          </w:p>
        </w:tc>
        <w:tc>
          <w:tcPr>
            <w:tcW w:w="1800" w:type="dxa"/>
            <w:vAlign w:val="bottom"/>
            <w:tcBorders>
              <w:top w:val="single" w:sz="8" w:color="auto"/>
            </w:tcBorders>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- 1</w:t>
      </w:r>
    </w:p>
    <w:p>
      <w:pPr>
        <w:sectPr>
          <w:pgSz w:w="11900" w:h="16838" w:orient="portrait"/>
          <w:cols w:equalWidth="0" w:num="1">
            <w:col w:w="10920"/>
          </w:cols>
          <w:pgMar w:left="640" w:top="144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SCHEDULE H, line 4i</w:t>
      </w:r>
    </w:p>
    <w:p>
      <w:pPr>
        <w:spacing w:after="0" w:line="31"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PARAMOUNT GLOBAL 401(k) PLAN (fka CBS 401(k) Plan)</w:t>
      </w:r>
    </w:p>
    <w:p>
      <w:pPr>
        <w:spacing w:after="0" w:line="9"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SCHEDULE OF ASSETS (HELD AT END OF YEAR)</w:t>
      </w:r>
    </w:p>
    <w:p>
      <w:pPr>
        <w:spacing w:after="0" w:line="8"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15"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ectPr>
          <w:pgSz w:w="11900" w:h="16838" w:orient="portrait"/>
          <w:cols w:equalWidth="0" w:num="1">
            <w:col w:w="11134"/>
          </w:cols>
          <w:pgMar w:left="426" w:top="603" w:right="339" w:bottom="1440" w:gutter="0" w:footer="0" w:header="0"/>
        </w:sectPr>
      </w:pPr>
    </w:p>
    <w:p>
      <w:pPr>
        <w:spacing w:after="0" w:line="165"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b w:val="1"/>
          <w:bCs w:val="1"/>
          <w:color w:val="auto"/>
        </w:rPr>
        <w:t>Identity of issue, borrower, lessor or similar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33655</wp:posOffset>
            </wp:positionV>
            <wp:extent cx="372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tabs>
          <w:tab w:leader="none" w:pos="2400" w:val="left"/>
          <w:tab w:leader="none" w:pos="3340" w:val="left"/>
        </w:tabs>
        <w:rPr>
          <w:sz w:val="20"/>
          <w:szCs w:val="20"/>
          <w:color w:val="auto"/>
        </w:rPr>
      </w:pPr>
      <w:r>
        <w:rPr>
          <w:rFonts w:ascii="Times New Roman" w:cs="Times New Roman" w:eastAsia="Times New Roman" w:hAnsi="Times New Roman"/>
          <w:sz w:val="14"/>
          <w:szCs w:val="14"/>
          <w:b w:val="1"/>
          <w:bCs w:val="1"/>
          <w:color w:val="auto"/>
        </w:rPr>
        <w:t>Maturity and Interest Rates</w:t>
      </w:r>
      <w:r>
        <w:rPr>
          <w:sz w:val="20"/>
          <w:szCs w:val="20"/>
          <w:color w:val="auto"/>
        </w:rPr>
        <w:tab/>
      </w: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9"/>
          <w:szCs w:val="9"/>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33655</wp:posOffset>
            </wp:positionV>
            <wp:extent cx="3086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5954" w:space="720"/>
            <w:col w:w="4460"/>
          </w:cols>
          <w:pgMar w:left="426" w:top="603" w:right="339" w:bottom="1440" w:gutter="0" w:footer="0" w:header="0"/>
          <w:type w:val="continuous"/>
        </w:sectPr>
      </w:pPr>
    </w:p>
    <w:p>
      <w:pPr>
        <w:ind w:left="294"/>
        <w:spacing w:after="0"/>
        <w:rPr>
          <w:sz w:val="20"/>
          <w:szCs w:val="20"/>
          <w:color w:val="auto"/>
        </w:rPr>
      </w:pPr>
      <w:r>
        <w:rPr>
          <w:rFonts w:ascii="Times New Roman" w:cs="Times New Roman" w:eastAsia="Times New Roman" w:hAnsi="Times New Roman"/>
          <w:sz w:val="14"/>
          <w:szCs w:val="14"/>
          <w:u w:val="single" w:color="auto"/>
          <w:color w:val="auto"/>
        </w:rPr>
        <w:t>Self-Directed Accounts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(1)</w:t>
      </w:r>
    </w:p>
    <w:p>
      <w:pPr>
        <w:spacing w:after="0" w:line="96"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u w:val="single" w:color="auto"/>
          <w:color w:val="auto"/>
        </w:rPr>
        <w:t>Corporate Common Stock Funds</w:t>
      </w:r>
    </w:p>
    <w:p>
      <w:pPr>
        <w:spacing w:after="0" w:line="42" w:lineRule="exact"/>
        <w:rPr>
          <w:sz w:val="20"/>
          <w:szCs w:val="20"/>
          <w:color w:val="auto"/>
        </w:rPr>
      </w:pPr>
    </w:p>
    <w:p>
      <w:pPr>
        <w:ind w:left="494" w:hanging="446"/>
        <w:spacing w:after="0"/>
        <w:tabs>
          <w:tab w:leader="none" w:pos="49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Paramount Global Class A Stock Fund</w:t>
      </w:r>
    </w:p>
    <w:p>
      <w:pPr>
        <w:spacing w:after="0" w:line="41" w:lineRule="exact"/>
        <w:rPr>
          <w:rFonts w:ascii="Times New Roman" w:cs="Times New Roman" w:eastAsia="Times New Roman" w:hAnsi="Times New Roman"/>
          <w:sz w:val="14"/>
          <w:szCs w:val="14"/>
          <w:color w:val="auto"/>
        </w:rPr>
      </w:pPr>
    </w:p>
    <w:p>
      <w:pPr>
        <w:ind w:left="494" w:hanging="446"/>
        <w:spacing w:after="0"/>
        <w:tabs>
          <w:tab w:leader="none" w:pos="49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Paramount Global Class B Stock Fund</w:t>
      </w:r>
    </w:p>
    <w:p>
      <w:pPr>
        <w:spacing w:after="0" w:line="41" w:lineRule="exact"/>
        <w:rPr>
          <w:rFonts w:ascii="Times New Roman" w:cs="Times New Roman" w:eastAsia="Times New Roman" w:hAnsi="Times New Roman"/>
          <w:sz w:val="14"/>
          <w:szCs w:val="14"/>
          <w:color w:val="auto"/>
        </w:rPr>
      </w:pPr>
    </w:p>
    <w:p>
      <w:pPr>
        <w:ind w:left="294" w:right="1720" w:hanging="246"/>
        <w:spacing w:after="0" w:line="352"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Institutional Money Market Government Portfolio Total Corporate Common Stock Funds</w:t>
      </w:r>
    </w:p>
    <w:p>
      <w:pPr>
        <w:ind w:left="294"/>
        <w:spacing w:after="0"/>
        <w:rPr>
          <w:sz w:val="20"/>
          <w:szCs w:val="20"/>
          <w:color w:val="auto"/>
        </w:rPr>
      </w:pPr>
      <w:r>
        <w:rPr>
          <w:rFonts w:ascii="Times New Roman" w:cs="Times New Roman" w:eastAsia="Times New Roman" w:hAnsi="Times New Roman"/>
          <w:sz w:val="14"/>
          <w:szCs w:val="14"/>
          <w:u w:val="single" w:color="auto"/>
          <w:color w:val="auto"/>
        </w:rPr>
        <w:t>Registered Investment Companies</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Vanguard FTSE Social Index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Metropolitan West Total Return Bond Fund</w:t>
      </w:r>
    </w:p>
    <w:p>
      <w:pPr>
        <w:spacing w:after="0" w:line="42" w:lineRule="exact"/>
        <w:rPr>
          <w:sz w:val="20"/>
          <w:szCs w:val="20"/>
          <w:color w:val="auto"/>
        </w:rPr>
      </w:pPr>
    </w:p>
    <w:p>
      <w:pPr>
        <w:ind w:left="294" w:right="1700" w:hanging="246"/>
        <w:spacing w:after="0" w:line="352" w:lineRule="auto"/>
        <w:tabs>
          <w:tab w:leader="none" w:pos="51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Institutional Money Market Government Portfolio Total Registered Investment Companies</w:t>
      </w:r>
    </w:p>
    <w:p>
      <w:pPr>
        <w:ind w:left="294"/>
        <w:spacing w:after="0"/>
        <w:rPr>
          <w:sz w:val="20"/>
          <w:szCs w:val="20"/>
          <w:color w:val="auto"/>
        </w:rPr>
      </w:pPr>
      <w:r>
        <w:rPr>
          <w:rFonts w:ascii="Times New Roman" w:cs="Times New Roman" w:eastAsia="Times New Roman" w:hAnsi="Times New Roman"/>
          <w:sz w:val="14"/>
          <w:szCs w:val="14"/>
          <w:u w:val="single" w:color="auto"/>
          <w:color w:val="auto"/>
        </w:rPr>
        <w:t>Common / Collective Funds</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S&amp;P 500 Index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Extended Equity Market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 US Bond Index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Vanguard Institutional Total International Stock Market Index Trust</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Retirement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2040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2050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2045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2035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2030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2055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2025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2060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BlackRock LifePath 2065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Wasatch Core Growth CIT Class A</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Cramer Rosenthal McGlynn Small /Mid Cap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Mawer International Equity Collective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GQG Partners International Equity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INVESCO International Growth Fund</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Pzena International Value All Country (Ex US) Fund</w:t>
      </w:r>
    </w:p>
    <w:p>
      <w:pPr>
        <w:spacing w:after="0" w:line="55"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color w:val="auto"/>
        </w:rPr>
        <w:t>Total Common Collective Funds</w:t>
      </w:r>
    </w:p>
    <w:p>
      <w:pPr>
        <w:spacing w:after="0" w:line="96"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u w:val="single" w:color="auto"/>
          <w:color w:val="auto"/>
        </w:rPr>
        <w:t>Separately Managed Accounts</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 xml:space="preserve">Sanders Capital </w:t>
      </w:r>
      <w:r>
        <w:rPr>
          <w:rFonts w:ascii="Times New Roman" w:cs="Times New Roman" w:eastAsia="Times New Roman" w:hAnsi="Times New Roman"/>
          <w:sz w:val="9"/>
          <w:szCs w:val="9"/>
          <w:color w:val="auto"/>
        </w:rPr>
        <w:t>(2)</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 xml:space="preserve">Wellington Management Company </w:t>
      </w:r>
      <w:r>
        <w:rPr>
          <w:rFonts w:ascii="Times New Roman" w:cs="Times New Roman" w:eastAsia="Times New Roman" w:hAnsi="Times New Roman"/>
          <w:sz w:val="9"/>
          <w:szCs w:val="9"/>
          <w:color w:val="auto"/>
        </w:rPr>
        <w:t>(2)</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 xml:space="preserve">Sustainable Growth Advisors </w:t>
      </w:r>
      <w:r>
        <w:rPr>
          <w:rFonts w:ascii="Times New Roman" w:cs="Times New Roman" w:eastAsia="Times New Roman" w:hAnsi="Times New Roman"/>
          <w:sz w:val="9"/>
          <w:szCs w:val="9"/>
          <w:color w:val="auto"/>
        </w:rPr>
        <w:t>(2)</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 xml:space="preserve">Dodge &amp; Cox </w:t>
      </w:r>
      <w:r>
        <w:rPr>
          <w:rFonts w:ascii="Times New Roman" w:cs="Times New Roman" w:eastAsia="Times New Roman" w:hAnsi="Times New Roman"/>
          <w:sz w:val="9"/>
          <w:szCs w:val="9"/>
          <w:color w:val="auto"/>
        </w:rPr>
        <w:t>(1) (2)</w:t>
      </w:r>
    </w:p>
    <w:p>
      <w:pPr>
        <w:spacing w:after="0" w:line="42"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4"/>
          <w:szCs w:val="14"/>
          <w:color w:val="auto"/>
        </w:rPr>
        <w:t xml:space="preserve">Snyder Capital Management </w:t>
      </w:r>
      <w:r>
        <w:rPr>
          <w:rFonts w:ascii="Times New Roman" w:cs="Times New Roman" w:eastAsia="Times New Roman" w:hAnsi="Times New Roman"/>
          <w:sz w:val="9"/>
          <w:szCs w:val="9"/>
          <w:color w:val="auto"/>
        </w:rPr>
        <w:t>(2)</w:t>
      </w:r>
    </w:p>
    <w:p>
      <w:pPr>
        <w:spacing w:after="0" w:line="42" w:lineRule="exact"/>
        <w:rPr>
          <w:sz w:val="20"/>
          <w:szCs w:val="20"/>
          <w:color w:val="auto"/>
        </w:rPr>
      </w:pPr>
    </w:p>
    <w:p>
      <w:pPr>
        <w:ind w:left="294" w:right="3080" w:hanging="246"/>
        <w:spacing w:after="0" w:line="352" w:lineRule="auto"/>
        <w:tabs>
          <w:tab w:leader="none" w:pos="5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Street Bank Govt STIF Fund Total Separately Managed Accounts</w:t>
      </w:r>
    </w:p>
    <w:p>
      <w:pPr>
        <w:ind w:left="294"/>
        <w:spacing w:after="0"/>
        <w:rPr>
          <w:sz w:val="20"/>
          <w:szCs w:val="20"/>
          <w:color w:val="auto"/>
        </w:rPr>
      </w:pPr>
      <w:r>
        <w:rPr>
          <w:rFonts w:ascii="Times New Roman" w:cs="Times New Roman" w:eastAsia="Times New Roman" w:hAnsi="Times New Roman"/>
          <w:sz w:val="14"/>
          <w:szCs w:val="14"/>
          <w:u w:val="single" w:color="auto"/>
          <w:color w:val="auto"/>
        </w:rPr>
        <w:t>Synthetic Guaranteed Investment Contracts</w:t>
      </w:r>
    </w:p>
    <w:p>
      <w:pPr>
        <w:spacing w:after="0" w:line="42"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color w:val="auto"/>
        </w:rPr>
        <w:t>Transamerica Premier Life Insurance Company: MDA01263TR</w:t>
      </w:r>
    </w:p>
    <w:p>
      <w:pPr>
        <w:spacing w:after="0" w:line="42"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color w:val="auto"/>
        </w:rPr>
        <w:t>Lincoln National Life Insurance Company: BVW0024G</w:t>
      </w:r>
    </w:p>
    <w:p>
      <w:pPr>
        <w:spacing w:after="0" w:line="42"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4"/>
          <w:szCs w:val="14"/>
          <w:color w:val="auto"/>
        </w:rPr>
        <w:t>Prudential Insurance Company of America: GA-62413</w:t>
      </w:r>
    </w:p>
    <w:p>
      <w:pPr>
        <w:spacing w:after="0" w:line="177" w:lineRule="exact"/>
        <w:rPr>
          <w:sz w:val="20"/>
          <w:szCs w:val="20"/>
          <w:color w:val="auto"/>
        </w:rPr>
      </w:pPr>
    </w:p>
    <w:p>
      <w:pPr>
        <w:ind w:left="294" w:right="2400" w:hanging="246"/>
        <w:spacing w:after="0" w:line="362" w:lineRule="auto"/>
        <w:tabs>
          <w:tab w:leader="none" w:pos="29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Street Bank and Trust Company: No 108002 Total Synthetic Guaranteed Investment Contracts</w:t>
      </w:r>
    </w:p>
    <w:p>
      <w:pPr>
        <w:spacing w:after="0" w:line="216" w:lineRule="exact"/>
        <w:rPr>
          <w:rFonts w:ascii="Times New Roman" w:cs="Times New Roman" w:eastAsia="Times New Roman" w:hAnsi="Times New Roman"/>
          <w:sz w:val="14"/>
          <w:szCs w:val="14"/>
          <w:color w:val="auto"/>
        </w:rPr>
      </w:pPr>
    </w:p>
    <w:p>
      <w:pPr>
        <w:ind w:left="294" w:hanging="246"/>
        <w:spacing w:after="0"/>
        <w:tabs>
          <w:tab w:leader="none" w:pos="29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Notes receivable from participants </w:t>
      </w:r>
      <w:r>
        <w:rPr>
          <w:rFonts w:ascii="Times New Roman" w:cs="Times New Roman" w:eastAsia="Times New Roman" w:hAnsi="Times New Roman"/>
          <w:sz w:val="9"/>
          <w:szCs w:val="9"/>
          <w:color w:val="auto"/>
        </w:rPr>
        <w:t>(3)</w:t>
      </w:r>
    </w:p>
    <w:p>
      <w:pPr>
        <w:spacing w:after="0" w:line="107" w:lineRule="exact"/>
        <w:rPr>
          <w:rFonts w:ascii="Times New Roman" w:cs="Times New Roman" w:eastAsia="Times New Roman" w:hAnsi="Times New Roman"/>
          <w:sz w:val="14"/>
          <w:szCs w:val="14"/>
          <w:color w:val="auto"/>
        </w:rPr>
      </w:pPr>
    </w:p>
    <w:p>
      <w:pPr>
        <w:ind w:left="29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Total investments and notes receivable from participants</w:t>
      </w:r>
    </w:p>
    <w:p>
      <w:pPr>
        <w:spacing w:after="0" w:line="151" w:lineRule="exact"/>
        <w:rPr>
          <w:rFonts w:ascii="Times New Roman" w:cs="Times New Roman" w:eastAsia="Times New Roman" w:hAnsi="Times New Roman"/>
          <w:sz w:val="14"/>
          <w:szCs w:val="14"/>
          <w:color w:val="auto"/>
        </w:rPr>
      </w:pPr>
    </w:p>
    <w:p>
      <w:pPr>
        <w:ind w:left="294" w:hanging="246"/>
        <w:spacing w:after="0"/>
        <w:tabs>
          <w:tab w:leader="none" w:pos="29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as a party-in-interest to the Plan.</w:t>
      </w:r>
    </w:p>
    <w:p>
      <w:pPr>
        <w:spacing w:after="0" w:line="42" w:lineRule="exact"/>
        <w:rPr>
          <w:sz w:val="20"/>
          <w:szCs w:val="20"/>
          <w:color w:val="auto"/>
        </w:rPr>
      </w:pPr>
    </w:p>
    <w:p>
      <w:pPr>
        <w:ind w:left="294" w:hanging="294"/>
        <w:spacing w:after="0"/>
        <w:tabs>
          <w:tab w:leader="none" w:pos="29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of investments identified as party-in-interest transactions to the Plan.</w:t>
      </w:r>
    </w:p>
    <w:p>
      <w:pPr>
        <w:spacing w:after="0" w:line="41" w:lineRule="exact"/>
        <w:rPr>
          <w:rFonts w:ascii="Times New Roman" w:cs="Times New Roman" w:eastAsia="Times New Roman" w:hAnsi="Times New Roman"/>
          <w:sz w:val="14"/>
          <w:szCs w:val="14"/>
          <w:color w:val="auto"/>
        </w:rPr>
      </w:pPr>
    </w:p>
    <w:p>
      <w:pPr>
        <w:ind w:left="294" w:hanging="294"/>
        <w:spacing w:after="0"/>
        <w:tabs>
          <w:tab w:leader="none" w:pos="29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Attachment A for listing of assets relating to these accounts.</w:t>
      </w:r>
    </w:p>
    <w:p>
      <w:pPr>
        <w:spacing w:after="0" w:line="41" w:lineRule="exact"/>
        <w:rPr>
          <w:rFonts w:ascii="Times New Roman" w:cs="Times New Roman" w:eastAsia="Times New Roman" w:hAnsi="Times New Roman"/>
          <w:sz w:val="14"/>
          <w:szCs w:val="14"/>
          <w:color w:val="auto"/>
        </w:rPr>
      </w:pPr>
    </w:p>
    <w:p>
      <w:pPr>
        <w:ind w:left="294" w:hanging="294"/>
        <w:spacing w:after="0"/>
        <w:tabs>
          <w:tab w:leader="none" w:pos="29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participant loans deemed distributed.</w:t>
      </w:r>
    </w:p>
    <w:p>
      <w:pPr>
        <w:spacing w:after="0" w:line="41" w:lineRule="exact"/>
        <w:rPr>
          <w:rFonts w:ascii="Times New Roman" w:cs="Times New Roman" w:eastAsia="Times New Roman" w:hAnsi="Times New Roman"/>
          <w:sz w:val="14"/>
          <w:szCs w:val="14"/>
          <w:color w:val="auto"/>
        </w:rPr>
      </w:pPr>
    </w:p>
    <w:p>
      <w:pPr>
        <w:ind w:left="294" w:hanging="294"/>
        <w:spacing w:after="0"/>
        <w:tabs>
          <w:tab w:leader="none" w:pos="29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non-participant directed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Evergreen and variable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Evergreen and variable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Evergreen and variable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Evergreen and variable %</w:t>
      </w:r>
    </w:p>
    <w:p>
      <w:pPr>
        <w:spacing w:after="0" w:line="258"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4"/>
          <w:szCs w:val="14"/>
          <w:color w:val="auto"/>
        </w:rPr>
        <w:t>Maturity dates ranging from 2022 to 2046 and interest rates ranging from 4.25% to 9.50%</w:t>
      </w:r>
    </w:p>
    <w:p>
      <w:pPr>
        <w:spacing w:after="0" w:line="20" w:lineRule="exact"/>
        <w:rPr>
          <w:sz w:val="20"/>
          <w:szCs w:val="20"/>
          <w:color w:val="auto"/>
        </w:rPr>
      </w:pPr>
      <w:r>
        <w:rPr>
          <w:sz w:val="20"/>
          <w:szCs w:val="20"/>
          <w:color w:val="auto"/>
        </w:rPr>
        <w:br w:type="column"/>
      </w:r>
    </w:p>
    <w:p>
      <w:pPr>
        <w:ind w:left="860" w:hanging="85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65,167</w:t>
      </w:r>
    </w:p>
    <w:p>
      <w:pPr>
        <w:spacing w:after="0" w:line="29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358</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142,567</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143,291</w:t>
      </w:r>
    </w:p>
    <w:p>
      <w:pPr>
        <w:spacing w:after="0" w:line="2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76,137</w:t>
      </w:r>
    </w:p>
    <w:p>
      <w:pPr>
        <w:spacing w:after="0" w:line="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18,061</w:t>
      </w:r>
    </w:p>
    <w:p>
      <w:pPr>
        <w:spacing w:after="0" w:line="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35,079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129,277</w:t>
      </w:r>
    </w:p>
    <w:p>
      <w:pPr>
        <w:spacing w:after="0" w:line="29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1,397,653</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370,013</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361,448</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325,581</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176,250</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288,594</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264,862</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252,771</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204,750</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154,630</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127,183</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126,009</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40,358</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1,101</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80,822</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40,609</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36,062</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35,801</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35,766</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4,355,891</w:t>
      </w:r>
    </w:p>
    <w:p>
      <w:pPr>
        <w:spacing w:after="0" w:line="29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181,501</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180,010</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179,188</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178,710</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39,361</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14,731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773,501</w:t>
      </w:r>
    </w:p>
    <w:p>
      <w:pPr>
        <w:spacing w:after="0" w:line="29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352,880</w:t>
      </w:r>
    </w:p>
    <w:p>
      <w:pPr>
        <w:spacing w:after="0" w:line="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287,414</w:t>
      </w:r>
    </w:p>
    <w:p>
      <w:pPr>
        <w:spacing w:after="0" w:line="1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241,813</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88,680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970,787</w:t>
      </w:r>
    </w:p>
    <w:p>
      <w:pPr>
        <w:spacing w:after="0" w:line="3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31,130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76" w:lineRule="exact"/>
        <w:rPr>
          <w:sz w:val="20"/>
          <w:szCs w:val="20"/>
          <w:color w:val="auto"/>
        </w:rPr>
      </w:pPr>
    </w:p>
    <w:p>
      <w:pPr>
        <w:ind w:left="680" w:hanging="679"/>
        <w:spacing w:after="0"/>
        <w:tabs>
          <w:tab w:leader="none" w:pos="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6,469,044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8483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8360" cy="17145"/>
                    </a:xfrm>
                    <a:prstGeom prst="rect">
                      <a:avLst/>
                    </a:prstGeom>
                    <a:noFill/>
                  </pic:spPr>
                </pic:pic>
              </a:graphicData>
            </a:graphic>
          </wp:anchor>
        </w:drawing>
      </w:r>
    </w:p>
    <w:p>
      <w:pPr>
        <w:spacing w:after="0" w:line="1288" w:lineRule="exact"/>
        <w:rPr>
          <w:sz w:val="20"/>
          <w:szCs w:val="20"/>
          <w:color w:val="auto"/>
        </w:rPr>
      </w:pPr>
    </w:p>
    <w:p>
      <w:pPr>
        <w:sectPr>
          <w:pgSz w:w="11900" w:h="16838" w:orient="portrait"/>
          <w:cols w:equalWidth="0" w:num="3">
            <w:col w:w="5574" w:space="720"/>
            <w:col w:w="2800" w:space="720"/>
            <w:col w:w="1320"/>
          </w:cols>
          <w:pgMar w:left="426" w:top="603" w:right="339" w:bottom="1440" w:gutter="0" w:footer="0" w:header="0"/>
          <w:type w:val="continuous"/>
        </w:sectPr>
      </w:pPr>
    </w:p>
    <w:p>
      <w:pPr>
        <w:jc w:val="center"/>
        <w:ind w:right="86"/>
        <w:spacing w:after="0"/>
        <w:rPr>
          <w:sz w:val="20"/>
          <w:szCs w:val="20"/>
          <w:color w:val="auto"/>
        </w:rPr>
      </w:pPr>
      <w:r>
        <w:rPr>
          <w:rFonts w:ascii="Times New Roman" w:cs="Times New Roman" w:eastAsia="Times New Roman" w:hAnsi="Times New Roman"/>
          <w:sz w:val="17"/>
          <w:szCs w:val="17"/>
          <w:color w:val="auto"/>
        </w:rPr>
        <w:t>S - 2</w:t>
      </w:r>
    </w:p>
    <w:p>
      <w:pPr>
        <w:sectPr>
          <w:pgSz w:w="11900" w:h="16838" w:orient="portrait"/>
          <w:cols w:equalWidth="0" w:num="1">
            <w:col w:w="11134"/>
          </w:cols>
          <w:pgMar w:left="426" w:top="60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22"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432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540" w:type="dxa"/>
            <w:vAlign w:val="bottom"/>
            <w:tcBorders>
              <w:bottom w:val="single" w:sz="8" w:color="auto"/>
            </w:tcBorders>
            <w:gridSpan w:val="2"/>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64"/>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ABIOMED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5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ADOBE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3,504</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MICRO DEVICES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4,831</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AFFIRM HOLDINGS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AIRBNB INC CLASS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AIRBUS SE UNSP ADR</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ALIGN TECHNOLOGY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ALPHABET INC CL 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13,157</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AMAZON.COM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11,997</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AMERICAN EXPRESS CO</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APPLE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15,861</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AUTODESK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AVALARA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BLACKSTONE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BLOCK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BOSTON SCIENTIFIC CORP</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BURLINGTON STORES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CDW CORPORATION</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CERIDIAN HCM HLDG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COINBASE GLOBAL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CONSTELLATION BRANDS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COPART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DISNEY CO</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DOCUSIGN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EQUINIX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FIDELITY NATL INFORM SVCS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FLEETCOR TECHNOLOGIES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PAYMENTS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HASHICORP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HILTON WORLDWIDE HOLDINGS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IDEX CORPORATION</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IHS MARKIT LTD</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ILLUMINA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INTUIT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LEGALZOOM.COM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LULULEMON ATHLETICA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MARKETAXESS HLDGS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MARSH &amp; MCLENNAN COS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MARVELL TECHNOLOGY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MASTERCARD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5,692</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MATCH GROUP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 PLATFORMS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5,020</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METTLER-TOLEDO INTL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MICROCHIP TECHNOLOGY</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2,655</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MICROSOFT CORP</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17,709</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MONOLITHIC POWER SYS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MONSTER BEVERAGE CORP</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NCINO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NORTHROP GRUMMAN CORP</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NVIDIA CORP</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4,327</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PAYPAL HLDGS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QUALTRICS INTERNATIONAL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RINGCENTRAL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RIVIAN AUTOMOTIVE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ROBLOX CORP</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S&amp;P GLOBAL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SALESFORCE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SEAGEN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SENTINELONE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SERVICENOW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SHOPIFY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SNAP INC -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SNOWFLAKE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TESLA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TRANSUNION</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3,208</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UBER TECHNOLOGIES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UIPATH INC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UNITEDHEALTH GROUP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VISA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WORKDAY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ZOETIS INC CL A</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ZOOMINFO TECHNOLOGIES INC</w:t>
            </w: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r>
      <w:tr>
        <w:trPr>
          <w:trHeight w:val="18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PAYABLES</w:t>
            </w:r>
          </w:p>
        </w:tc>
        <w:tc>
          <w:tcPr>
            <w:tcW w:w="4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3840" w:type="dxa"/>
            <w:vAlign w:val="bottom"/>
          </w:tcPr>
          <w:p>
            <w:pPr>
              <w:spacing w:after="0"/>
              <w:rPr>
                <w:sz w:val="15"/>
                <w:szCs w:val="15"/>
                <w:color w:val="auto"/>
              </w:rPr>
            </w:pPr>
          </w:p>
        </w:tc>
        <w:tc>
          <w:tcPr>
            <w:tcW w:w="4320" w:type="dxa"/>
            <w:vAlign w:val="bottom"/>
          </w:tcPr>
          <w:p>
            <w:pPr>
              <w:ind w:left="1600"/>
              <w:spacing w:after="0"/>
              <w:rPr>
                <w:sz w:val="20"/>
                <w:szCs w:val="20"/>
                <w:color w:val="auto"/>
              </w:rPr>
            </w:pPr>
            <w:r>
              <w:rPr>
                <w:rFonts w:ascii="Times New Roman" w:cs="Times New Roman" w:eastAsia="Times New Roman" w:hAnsi="Times New Roman"/>
                <w:sz w:val="13"/>
                <w:szCs w:val="13"/>
                <w:b w:val="1"/>
                <w:bCs w:val="1"/>
                <w:color w:val="auto"/>
              </w:rPr>
              <w:t>WELLINGTON MANAGEMENT CO</w:t>
            </w:r>
          </w:p>
        </w:tc>
        <w:tc>
          <w:tcPr>
            <w:tcW w:w="12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180,010</w:t>
            </w:r>
          </w:p>
        </w:tc>
      </w:tr>
    </w:tbl>
    <w:p>
      <w:pPr>
        <w:spacing w:after="0" w:line="200" w:lineRule="exact"/>
        <w:rPr>
          <w:sz w:val="20"/>
          <w:szCs w:val="20"/>
          <w:color w:val="auto"/>
        </w:rPr>
      </w:pPr>
    </w:p>
    <w:p>
      <w:pPr>
        <w:sectPr>
          <w:pgSz w:w="11900" w:h="16838" w:orient="portrait"/>
          <w:cols w:equalWidth="0" w:num="1">
            <w:col w:w="11240"/>
          </w:cols>
          <w:pgMar w:left="320" w:top="599" w:right="339" w:bottom="1161"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 - 3</w:t>
      </w:r>
    </w:p>
    <w:p>
      <w:pPr>
        <w:sectPr>
          <w:pgSz w:w="11900" w:h="16838" w:orient="portrait"/>
          <w:cols w:equalWidth="0" w:num="1">
            <w:col w:w="11240"/>
          </w:cols>
          <w:pgMar w:left="320" w:top="599" w:right="339" w:bottom="116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20" w:type="dxa"/>
            <w:vAlign w:val="bottom"/>
          </w:tcPr>
          <w:p>
            <w:pPr>
              <w:spacing w:after="0"/>
              <w:rPr>
                <w:sz w:val="15"/>
                <w:szCs w:val="15"/>
                <w:color w:val="auto"/>
              </w:rPr>
            </w:pP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2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20" w:type="dxa"/>
            <w:vAlign w:val="bottom"/>
            <w:tcBorders>
              <w:bottom w:val="single" w:sz="8" w:color="auto"/>
            </w:tcBorders>
            <w:gridSpan w:val="2"/>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64"/>
        </w:trPr>
        <w:tc>
          <w:tcPr>
            <w:tcW w:w="120" w:type="dxa"/>
            <w:vAlign w:val="bottom"/>
          </w:tcPr>
          <w:p>
            <w:pPr>
              <w:spacing w:after="0"/>
              <w:rPr>
                <w:sz w:val="14"/>
                <w:szCs w:val="1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AEGON NV (NY REGD) NEW YORK REGISTERED SHARES</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4"/>
                <w:szCs w:val="14"/>
                <w:color w:val="auto"/>
              </w:rPr>
            </w:pPr>
          </w:p>
        </w:tc>
        <w:tc>
          <w:tcPr>
            <w:tcW w:w="18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r>
      <w:tr>
        <w:trPr>
          <w:trHeight w:val="171"/>
        </w:trPr>
        <w:tc>
          <w:tcPr>
            <w:tcW w:w="120" w:type="dxa"/>
            <w:vAlign w:val="bottom"/>
          </w:tcPr>
          <w:p>
            <w:pPr>
              <w:spacing w:after="0"/>
              <w:rPr>
                <w:sz w:val="14"/>
                <w:szCs w:val="1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ALNYLAM PHARMACEUTICALS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ALPHABET INC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ALPHABET INC CL 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6,221</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AMERICAN EXPRESS CO</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ANHEUSER-BUSCH INBEV SPN ADR</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BAKER HUGHES CO</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 OF AMERICA CORPORATION</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 OF NEW YORK MELLON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BIOMARIN PHARMACEUTICAL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BRIGHTHOUSE FINANCIAL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BRISTOL-MYERS SQUIBB CO</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ONE FINANCIAL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5,731</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CARRIER GLOBAL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CELANESE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COMMUNICATIONS INC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CIGNA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CISCO SYSTEMS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COGNIZANT TECH SOLUTIONS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3,238</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COMCAST CORP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4,656</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CONOCOPHILLIPS</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 HEALTH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1,857</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DELL TECHNOLOGIES INC CL 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DISH NETWORK CORP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ELANCO ANIMAL HEALTH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FEDEX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4,914</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FISERV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4,214</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FOX CORP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2,054</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FOX CORPORATION B</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GAP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GILEAD SCIENCES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GLAXOSMITHKLINE PLC SPONS ADR</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5,867</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GOLDMAN SACHS GROUP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HALLIBURTON CO</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HESS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HEWLETT PACKARD ENTERPRISE CO</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HONDA MOTOR LTD SPON ADR</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HP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II-VI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INCYTE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JOHNSON CONTROLS INTERNATIONAL PLC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JUNIPER NETWORKS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LINCOLN NATIONAL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LYONDELLBASELL INDS CLASS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MEDTRONIC PLC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 PLATFORMS INC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METLIFE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4,562</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 FOCUS INTERNATIONAL PLC SPND ADR</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MICROCHIP TECHNOLOGY</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3,117</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MICROSOFT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MOLSON COORS BEVERAGE CO B</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NEWS CORP NEW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NOVARTIS AG SPON ADR</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3,892</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OCCIDENTAL PETROLEUM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OCCIDENTAL PETROLEUM CORP WT 08/03/27</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OTIS WORLDWIDE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QURATE RETAIL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RAYTHEON TECHNOLOGIES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REGENERON PHARMACEUTICALS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SANOFI SPON ADR</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6,814</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SCHLUMBERGER LTD</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SCHWAB CHARLES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w:t>
            </w:r>
          </w:p>
        </w:tc>
      </w:tr>
      <w:tr>
        <w:trPr>
          <w:trHeight w:val="2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STATE STREET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2,714</w:t>
            </w:r>
          </w:p>
        </w:tc>
      </w:tr>
      <w:tr>
        <w:trPr>
          <w:trHeight w:val="164"/>
        </w:trPr>
        <w:tc>
          <w:tcPr>
            <w:tcW w:w="120" w:type="dxa"/>
            <w:vAlign w:val="bottom"/>
          </w:tcPr>
          <w:p>
            <w:pPr>
              <w:spacing w:after="0"/>
              <w:rPr>
                <w:sz w:val="14"/>
                <w:szCs w:val="1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 CONNECTIVITY LTD</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BOOKING HOLDINGS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T-MOBILE US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FINANCIAL CORP</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UNITEDHEALTH GROUP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VMWARE INC CL A</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3,385</w:t>
            </w:r>
          </w:p>
        </w:tc>
      </w:tr>
      <w:tr>
        <w:trPr>
          <w:trHeight w:val="175"/>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WELLS FARGO &amp; CO</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6,497</w:t>
            </w:r>
          </w:p>
        </w:tc>
      </w:tr>
      <w:tr>
        <w:trPr>
          <w:trHeight w:val="176"/>
        </w:trPr>
        <w:tc>
          <w:tcPr>
            <w:tcW w:w="1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WILLIAMS COMPANIES INC</w:t>
            </w: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w:t>
            </w:r>
          </w:p>
        </w:tc>
      </w:tr>
      <w:tr>
        <w:trPr>
          <w:trHeight w:val="185"/>
        </w:trPr>
        <w:tc>
          <w:tcPr>
            <w:tcW w:w="120" w:type="dxa"/>
            <w:vAlign w:val="bottom"/>
          </w:tcPr>
          <w:p>
            <w:pPr>
              <w:spacing w:after="0"/>
              <w:rPr>
                <w:sz w:val="16"/>
                <w:szCs w:val="16"/>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PAYABLES</w:t>
            </w:r>
          </w:p>
        </w:tc>
        <w:tc>
          <w:tcPr>
            <w:tcW w:w="2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1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4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DODGE &amp; COX</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178,710</w:t>
            </w:r>
          </w:p>
        </w:tc>
      </w:tr>
    </w:tbl>
    <w:p>
      <w:pPr>
        <w:spacing w:after="0" w:line="153" w:lineRule="exact"/>
        <w:rPr>
          <w:sz w:val="20"/>
          <w:szCs w:val="20"/>
          <w:color w:val="auto"/>
        </w:rPr>
      </w:pPr>
    </w:p>
    <w:p>
      <w:pPr>
        <w:ind w:left="340" w:hanging="251"/>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Identified as a party-in-interest to the Plan.</w:t>
      </w:r>
    </w:p>
    <w:p>
      <w:pPr>
        <w:sectPr>
          <w:pgSz w:w="11900" w:h="16838" w:orient="portrait"/>
          <w:cols w:equalWidth="0" w:num="1">
            <w:col w:w="11240"/>
          </w:cols>
          <w:pgMar w:left="320" w:top="599" w:right="339" w:bottom="1440"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 - 4</w:t>
      </w:r>
    </w:p>
    <w:p>
      <w:pPr>
        <w:sectPr>
          <w:pgSz w:w="11900" w:h="16838" w:orient="portrait"/>
          <w:cols w:equalWidth="0" w:num="1">
            <w:col w:w="11240"/>
          </w:cols>
          <w:pgMar w:left="320" w:top="599" w:right="339" w:bottom="1440" w:gutter="0" w:footer="0" w:header="0"/>
          <w:type w:val="continuous"/>
        </w:sectPr>
      </w:pPr>
    </w:p>
    <w:bookmarkStart w:id="18" w:name="page19"/>
    <w:bookmarkEnd w:id="18"/>
    <w:p>
      <w:pPr>
        <w:ind w:left="80"/>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0"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38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20" w:type="dxa"/>
            <w:vAlign w:val="bottom"/>
            <w:tcBorders>
              <w:bottom w:val="single" w:sz="8" w:color="auto"/>
            </w:tcBorders>
            <w:gridSpan w:val="2"/>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64"/>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ABBVIE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8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r>
      <w:tr>
        <w:trPr>
          <w:trHeight w:val="171"/>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ALPHABET INC CL 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11,123</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ANTHEM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APPLE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9,663</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APTIV PLC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2,809</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BNPSA</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CIGNA CORP</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5,537</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CITIGROUP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 HORTON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3,762</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MOTORS CO</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HALLIBURTON CO</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HCA HEALTHCARE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8,769</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ING GROEP NV SPON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JOHNSON &amp; JOHNSON</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JPMORGAN CHASE &amp; CO</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LEAR CORP NEW</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LENNAR CORP CL A</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LENNAR CORP CL B</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MEDTRONIC PLC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4,339</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MERCEDES-BENZ GROUP AG - UNSP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MERCK &amp; CO INC NEW</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MERITAGE HOMES CORP</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 PLATFORMS INC CL A</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8,217</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MICRON TECHNOLOGY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9,427</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MICROSOFT CORP</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10,184</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NATWEST GROUP PLC SPON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NESTLE SA REG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4,436</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NORTHROP GRUMMAN CORP</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4,920</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PEPSICO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PFIZER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PROCTER &amp; GAMBLE CO</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ROCHE HOLDING LTD SPON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SEAGATE TECHNOLOGY HOLDINGS PLC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SPDR S&amp;P 500 ETF TRUST</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4,157</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STANLEY BLACK &amp; DECKER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SUMITOMO MITSUI FINANCIAL GRP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SUNCOR ENERGY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3,164</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SYNCHRONY FINANCIAL</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TAIWAN SEMICONDUCTOR MFG CO LTD SP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11,211</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BOOKING HOLDINGS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FINANCIAL CORP</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3,601</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UNILEVER PLC SPONS ADR</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UNITEDHEALTH GROUP INC</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8,952</w:t>
            </w: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WELLS FARGO &amp; CO</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w:t>
            </w: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WESTERN DIGITAL CORP</w:t>
            </w: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COMMON STOCK</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w:t>
            </w:r>
          </w:p>
        </w:tc>
      </w:tr>
      <w:tr>
        <w:trPr>
          <w:trHeight w:val="18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PAYABLES</w:t>
            </w:r>
          </w:p>
        </w:tc>
        <w:tc>
          <w:tcPr>
            <w:tcW w:w="3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4040" w:type="dxa"/>
            <w:vAlign w:val="bottom"/>
          </w:tcPr>
          <w:p>
            <w:pPr>
              <w:spacing w:after="0"/>
              <w:rPr>
                <w:sz w:val="15"/>
                <w:szCs w:val="15"/>
                <w:color w:val="auto"/>
              </w:rPr>
            </w:pPr>
          </w:p>
        </w:tc>
        <w:tc>
          <w:tcPr>
            <w:tcW w:w="384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SANDERS CAPITAL FUND</w:t>
            </w:r>
          </w:p>
        </w:tc>
        <w:tc>
          <w:tcPr>
            <w:tcW w:w="156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181,501</w:t>
            </w:r>
          </w:p>
        </w:tc>
      </w:tr>
    </w:tbl>
    <w:p>
      <w:pPr>
        <w:spacing w:after="0" w:line="200" w:lineRule="exact"/>
        <w:rPr>
          <w:sz w:val="20"/>
          <w:szCs w:val="20"/>
          <w:color w:val="auto"/>
        </w:rPr>
      </w:pP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 - 5</w:t>
      </w:r>
    </w:p>
    <w:p>
      <w:pPr>
        <w:sectPr>
          <w:pgSz w:w="11900" w:h="16838" w:orient="portrait"/>
          <w:cols w:equalWidth="0" w:num="1">
            <w:col w:w="11240"/>
          </w:cols>
          <w:pgMar w:left="320" w:top="896" w:right="339" w:bottom="1440" w:gutter="0" w:footer="0" w:header="0"/>
          <w:type w:val="continuous"/>
        </w:sectPr>
      </w:pPr>
    </w:p>
    <w:bookmarkStart w:id="19" w:name="page20"/>
    <w:bookmarkEnd w:id="19"/>
    <w:p>
      <w:pPr>
        <w:ind w:left="20"/>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43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40" w:type="dxa"/>
            <w:vAlign w:val="bottom"/>
            <w:tcBorders>
              <w:bottom w:val="single" w:sz="8" w:color="auto"/>
            </w:tcBorders>
            <w:gridSpan w:val="2"/>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64"/>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ABBOTT LABORATORIES</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6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6,351</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ALPHABET INC CL 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6,881</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AMAZON.COM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10,557</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AMERICAN EXPRESS CO</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AUTODESK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5,823</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BALL CORP</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7,637</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DANAHER CORP</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7,233</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DISNEY CO</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5,659</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EQUINIX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FLEETCOR TECHNOLOGIES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4,848</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IHS MARKIT LTD</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5,796</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ILLUMINA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3,774</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INTUIT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6,040</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INTUITIVE SURGICAL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3,919</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LINDE PLC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MATCH GROUP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 PLATFORMS INC CL A</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MICROSOFT CORP</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9,017</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MSCI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5,531</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NETFLIX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5,417</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PAYPAL HOLDINGS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6,169</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REGENERON PHARMACEUTICALS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RINGCENTRAL INC CL A</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3,595</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SALESFORCE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6,170</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THERMO FISHER SCIENTIFIC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6,086</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UNITEDHEALTH GROUP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9,027</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VISA INC CL A</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8,994</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WORKDAY INC CL A</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7,278</w:t>
            </w:r>
          </w:p>
        </w:tc>
      </w:tr>
      <w:tr>
        <w:trPr>
          <w:trHeight w:val="17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YUM BRANDS INC</w:t>
            </w: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6,988</w:t>
            </w:r>
          </w:p>
        </w:tc>
      </w:tr>
      <w:tr>
        <w:trPr>
          <w:trHeight w:val="18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PAYABLES</w:t>
            </w:r>
          </w:p>
        </w:tc>
        <w:tc>
          <w:tcPr>
            <w:tcW w:w="4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3760" w:type="dxa"/>
            <w:vAlign w:val="bottom"/>
          </w:tcPr>
          <w:p>
            <w:pPr>
              <w:spacing w:after="0"/>
              <w:rPr>
                <w:sz w:val="15"/>
                <w:szCs w:val="15"/>
                <w:color w:val="auto"/>
              </w:rPr>
            </w:pPr>
          </w:p>
        </w:tc>
        <w:tc>
          <w:tcPr>
            <w:tcW w:w="4300" w:type="dxa"/>
            <w:vAlign w:val="bottom"/>
          </w:tcPr>
          <w:p>
            <w:pPr>
              <w:ind w:left="1440"/>
              <w:spacing w:after="0"/>
              <w:rPr>
                <w:sz w:val="20"/>
                <w:szCs w:val="20"/>
                <w:color w:val="auto"/>
              </w:rPr>
            </w:pPr>
            <w:r>
              <w:rPr>
                <w:rFonts w:ascii="Times New Roman" w:cs="Times New Roman" w:eastAsia="Times New Roman" w:hAnsi="Times New Roman"/>
                <w:sz w:val="13"/>
                <w:szCs w:val="13"/>
                <w:b w:val="1"/>
                <w:bCs w:val="1"/>
                <w:color w:val="auto"/>
              </w:rPr>
              <w:t>SUSTAINABLE GROWTH ADVISORS</w:t>
            </w:r>
          </w:p>
        </w:tc>
        <w:tc>
          <w:tcPr>
            <w:tcW w:w="13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179,188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- 6</w:t>
      </w:r>
    </w:p>
    <w:p>
      <w:pPr>
        <w:sectPr>
          <w:pgSz w:w="11900" w:h="16838" w:orient="portrait"/>
          <w:cols w:equalWidth="0" w:num="1">
            <w:col w:w="11080"/>
          </w:cols>
          <w:pgMar w:left="480" w:top="950" w:right="339" w:bottom="1440" w:gutter="0" w:footer="0" w:header="0"/>
        </w:sectPr>
      </w:pPr>
    </w:p>
    <w:bookmarkStart w:id="20" w:name="page21"/>
    <w:bookmarkEnd w:id="20"/>
    <w:p>
      <w:pPr>
        <w:ind w:left="180"/>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0"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42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00" w:type="dxa"/>
            <w:vAlign w:val="bottom"/>
            <w:tcBorders>
              <w:bottom w:val="single" w:sz="8" w:color="auto"/>
            </w:tcBorders>
            <w:gridSpan w:val="2"/>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6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API GROUP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7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ENERGY INDUSTRIES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AGILYSYS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AVID BIOSERVICES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BWX TECHNOLOGIES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BRINKS CO</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BRIXMOR PROPERTY GROUP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CMC MATERIALS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CABOT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CACI INTERNATIONAL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CLEAN HARBORS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COGNEX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COHERENT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HELEN OF TROY LTD</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DORMAN PRODUCTS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EMERGENT BIOSOL</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ENTEGRIS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FTI CONSULTING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GLACIER BANCORP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GRACO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HALOZYME THERAPEUTICS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HEICO CORP CL A</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HOSTESS BRANDS INC CL A</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IAA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IDEX CORPORATION</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INGEVITY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INGREDION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KAR AUCTION SERVICES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KBR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KAMAN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LIGAND PHARMACEUTICALS</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MERCURY SYSTEMS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MINERALS TECHNOLOGIES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NELNET INC CL A</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PDF SOLUTIONS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PACIFIC PREMIER BANCORP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POWER INTEGRATIONS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PROSPERITY BANCSHARES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R1 RCM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RLI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RBC BEARINGS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SENSIENT TECHNOLOGIES CORP</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SIMPSON MANUFACTURING CO</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II-VI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UGI CORP NEW</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COMMUNITY BANKS GA</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VALVOLINE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WOODWARD INC</w:t>
            </w: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r>
      <w:tr>
        <w:trPr>
          <w:trHeight w:val="18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PAYABLES</w:t>
            </w:r>
          </w:p>
        </w:tc>
        <w:tc>
          <w:tcPr>
            <w:tcW w:w="4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3740" w:type="dxa"/>
            <w:vAlign w:val="bottom"/>
          </w:tcPr>
          <w:p>
            <w:pPr>
              <w:spacing w:after="0"/>
              <w:rPr>
                <w:sz w:val="15"/>
                <w:szCs w:val="15"/>
                <w:color w:val="auto"/>
              </w:rPr>
            </w:pPr>
          </w:p>
        </w:tc>
        <w:tc>
          <w:tcPr>
            <w:tcW w:w="4260" w:type="dxa"/>
            <w:vAlign w:val="bottom"/>
          </w:tcPr>
          <w:p>
            <w:pPr>
              <w:ind w:left="1460"/>
              <w:spacing w:after="0"/>
              <w:rPr>
                <w:sz w:val="20"/>
                <w:szCs w:val="20"/>
                <w:color w:val="auto"/>
              </w:rPr>
            </w:pPr>
            <w:r>
              <w:rPr>
                <w:rFonts w:ascii="Times New Roman" w:cs="Times New Roman" w:eastAsia="Times New Roman" w:hAnsi="Times New Roman"/>
                <w:sz w:val="13"/>
                <w:szCs w:val="13"/>
                <w:b w:val="1"/>
                <w:bCs w:val="1"/>
                <w:color w:val="auto"/>
              </w:rPr>
              <w:t>SNYDER CAPITAL MANAGEMENT</w:t>
            </w:r>
          </w:p>
        </w:tc>
        <w:tc>
          <w:tcPr>
            <w:tcW w:w="144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39,361</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- 7</w:t>
      </w:r>
    </w:p>
    <w:p>
      <w:pPr>
        <w:sectPr>
          <w:pgSz w:w="11900" w:h="16838" w:orient="portrait"/>
          <w:cols w:equalWidth="0" w:num="1">
            <w:col w:w="11240"/>
          </w:cols>
          <w:pgMar w:left="320" w:top="599"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persons who administer the Plan have duly caused this annual report to be signed on its behalf by the undersigned, hereunto duly authorized.</w:t>
      </w:r>
    </w:p>
    <w:p>
      <w:pPr>
        <w:sectPr>
          <w:pgSz w:w="11900" w:h="16838" w:orient="portrait"/>
          <w:cols w:equalWidth="0" w:num="1">
            <w:col w:w="10720"/>
          </w:cols>
          <w:pgMar w:left="32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tabs>
          <w:tab w:leader="none" w:pos="6100" w:val="left"/>
        </w:tabs>
        <w:rPr>
          <w:sz w:val="20"/>
          <w:szCs w:val="20"/>
          <w:color w:val="auto"/>
        </w:rPr>
      </w:pPr>
      <w:r>
        <w:rPr>
          <w:rFonts w:ascii="Times New Roman" w:cs="Times New Roman" w:eastAsia="Times New Roman" w:hAnsi="Times New Roman"/>
          <w:sz w:val="20"/>
          <w:szCs w:val="20"/>
          <w:color w:val="auto"/>
        </w:rPr>
        <w:t>Date: June 29, 2022</w:t>
      </w:r>
      <w:r>
        <w:rPr>
          <w:sz w:val="20"/>
          <w:szCs w:val="20"/>
          <w:color w:val="auto"/>
        </w:rPr>
        <w:tab/>
      </w:r>
      <w:r>
        <w:rPr>
          <w:rFonts w:ascii="Times New Roman" w:cs="Times New Roman" w:eastAsia="Times New Roman" w:hAnsi="Times New Roman"/>
          <w:sz w:val="19"/>
          <w:szCs w:val="19"/>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9"/>
          <w:szCs w:val="19"/>
          <w:b w:val="1"/>
          <w:bCs w:val="1"/>
          <w:color w:val="auto"/>
        </w:rPr>
        <w:t>PARAMOUNT GLOBAL 401(k) PLAN</w:t>
      </w:r>
    </w:p>
    <w:p>
      <w:pPr>
        <w:spacing w:after="0" w:line="2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/s/ Mark Beatty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22860</wp:posOffset>
            </wp:positionV>
            <wp:extent cx="2682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Mark Beatty</w:t>
      </w:r>
    </w:p>
    <w:p>
      <w:pPr>
        <w:spacing w:after="0" w:line="2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i w:val="1"/>
          <w:iCs w:val="1"/>
          <w:color w:val="auto"/>
        </w:rPr>
        <w:t>Member of the Administrative Committee</w:t>
      </w:r>
    </w:p>
    <w:p>
      <w:pPr>
        <w:spacing w:after="0" w:line="200" w:lineRule="exact"/>
        <w:rPr>
          <w:sz w:val="20"/>
          <w:szCs w:val="20"/>
          <w:color w:val="auto"/>
        </w:rPr>
      </w:pPr>
    </w:p>
    <w:p>
      <w:pPr>
        <w:spacing w:after="0" w:line="3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22860</wp:posOffset>
            </wp:positionV>
            <wp:extent cx="26828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Katherine Gill-Charest</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i w:val="1"/>
          <w:iCs w:val="1"/>
          <w:color w:val="auto"/>
        </w:rPr>
        <w:t>Executive Vice President, Controller and</w:t>
      </w:r>
    </w:p>
    <w:p>
      <w:pPr>
        <w:spacing w:after="0" w:line="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i w:val="1"/>
          <w:iCs w:val="1"/>
          <w:color w:val="auto"/>
        </w:rPr>
        <w:t>Chief Accounting Officer</w:t>
      </w:r>
    </w:p>
    <w:p>
      <w:pPr>
        <w:spacing w:after="0" w:line="200" w:lineRule="exact"/>
        <w:rPr>
          <w:sz w:val="20"/>
          <w:szCs w:val="20"/>
          <w:color w:val="auto"/>
        </w:rPr>
      </w:pPr>
    </w:p>
    <w:p>
      <w:pPr>
        <w:sectPr>
          <w:pgSz w:w="11900" w:h="16838" w:orient="portrait"/>
          <w:cols w:equalWidth="0" w:num="2">
            <w:col w:w="6400" w:space="440"/>
            <w:col w:w="3880"/>
          </w:cols>
          <w:pgMar w:left="320" w:top="1440" w:right="8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S - 8</w:t>
      </w:r>
    </w:p>
    <w:p>
      <w:pPr>
        <w:sectPr>
          <w:pgSz w:w="11900" w:h="16838" w:orient="portrait"/>
          <w:cols w:equalWidth="0" w:num="1">
            <w:col w:w="10720"/>
          </w:cols>
          <w:pgMar w:left="320" w:top="1440" w:right="85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(No. 333-204282) of Paramount Global of our report dated June 29, 2022 relating to the financial statements and supplemental schedules of Paramount Global 401(k) Plan (fka CBS 401(k) Plan), which appears in this Form 11-K.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29, 2022</w:t>
      </w: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2022-06-29T17:11:32Z</dcterms:created>
  <dcterms:modified xsi:type="dcterms:W3CDTF">2022-06-29T17:11:32Z</dcterms:modified>
</cp:coreProperties>
</file>