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CATZ SAFRA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1515 BROADWAY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Paramount Skydance Corp</w:t>
              </w:r>
            </w:hyperlink>
            <w:r>
              <w:rPr/>
              <w:t xml:space="preserve"> [ </w:t>
            </w:r>
            <w:r>
              <w:rPr>
                <w:rFonts w:ascii="Times;serif" w:hAnsi="Times;serif"/>
                <w:color w:val="0000FF"/>
                <w:sz w:val="24"/>
                <w:shd w:fill="FFFFFF" w:val="clear"/>
              </w:rPr>
              <w:t>PSKY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1"/>
        <w:gridCol w:w="905"/>
        <w:gridCol w:w="774"/>
        <w:gridCol w:w="601"/>
        <w:gridCol w:w="351"/>
        <w:gridCol w:w="980"/>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25,000</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8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46"/>
        <w:gridCol w:w="801"/>
        <w:gridCol w:w="801"/>
        <w:gridCol w:w="936"/>
        <w:gridCol w:w="831"/>
        <w:gridCol w:w="846"/>
      </w:tblGrid>
      <w:tr>
        <w:trPr>
          <w:tblHeader w:val="true"/>
        </w:trPr>
        <w:tc>
          <w:tcPr>
            <w:tcW w:w="125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46,893</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46,893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46,893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identified in Table I were issued on July 21, 2026, upon vesting of the Restricted Stock Units ("RSUs") identified in Table II, which were granted on August 7, 2025. On July 21, 2026 the closing price of the Class B common stock on The NASDAQ Global Select Market was $8.53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share of the Issuer's Class B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RSUs will generally vest on the earlier of (i) the date of the Issuer's 2027 Annual Meeting of Stockholders and (ii) July 21, 2027, and a corresponding number of shares of Class B common stock will be delivered on the vesting date, unless the director has elected to defer receipt.</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Stephanie Kyoko McKinnon,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5005" TargetMode="External"/><Relationship Id="rId5" Type="http://schemas.openxmlformats.org/officeDocument/2006/relationships/hyperlink" Target="http://www.sec.gov/cgi-bin/browse-edgar?action=getcompany&amp;CIK=00020416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720</Words>
  <Characters>3792</Characters>
  <CharactersWithSpaces>4420</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