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Jobs Laurene Powell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Skydance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SKYD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6"/>
        <w:gridCol w:w="900"/>
        <w:gridCol w:w="771"/>
        <w:gridCol w:w="597"/>
        <w:gridCol w:w="339"/>
        <w:gridCol w:w="1225"/>
        <w:gridCol w:w="430"/>
        <w:gridCol w:w="593"/>
        <w:gridCol w:w="1337"/>
        <w:gridCol w:w="967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20,833,333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20,833,333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33,118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33,118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33,118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B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will generally vest on the earlier of (i) the date of the Issuer's 2027 Annual Meeting of Stockholders and (ii) October 6, 2027, and a corresponding number of shares of Class B common stock will be delivered on the vesting date, unless the director has elected to defer receipt.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Kyoko McKinnon,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8819" TargetMode="External"/><Relationship Id="rId5" Type="http://schemas.openxmlformats.org/officeDocument/2006/relationships/hyperlink" Target="http://www.sec.gov/cgi-bin/browse-edgar?action=getcompany&amp;CIK=00020416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3493</Characters>
  <CharactersWithSpaces>4066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